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  <w:jc w:val="center"/>
      </w:pPr>
      <w:r>
        <w:rPr>
          <w:rFonts w:ascii="Times New Roman" w:cs="Times New Roman" w:eastAsia="SimSun" w:hAnsi="Times New Roman"/>
          <w:b/>
          <w:bCs/>
          <w:color w:val="1A1A1A"/>
          <w:sz w:val="32"/>
          <w:szCs w:val="32"/>
        </w:rPr>
        <w:t xml:space="preserve">有向超边重叠 α 的可计算定义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解决大纲 II.2 / 风险 2.2（α 的操作化定义与解析入口）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供 II.2 正文、V.4 扫描工具、以及 I.2 边界声明引用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0. 为什么原定义不能用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大纲原文把 α 描述为"尾集内部两两节点间的有向关系与超边整体方向一致的比例"。这个描述有三处使它无法进入理论：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它不是超边之间的量。</w:t>
      </w:r>
      <w:r>
        <w:rPr>
          <w:rFonts w:ascii="Times New Roman" w:cs="Times New Roman" w:eastAsia="SimSun" w:hAnsi="Times New Roman"/>
        </w:rPr>
        <w:t xml:space="preserve"> 它描述的是</w:t>
      </w:r>
      <w:r>
        <w:rPr>
          <w:rFonts w:ascii="Times New Roman" w:cs="Times New Roman" w:eastAsia="SimSun" w:hAnsi="Times New Roman"/>
          <w:b/>
          <w:bCs/>
        </w:rPr>
        <w:t xml:space="preserve">单条超边内部</w:t>
      </w:r>
      <w:r>
        <w:rPr>
          <w:rFonts w:ascii="Times New Roman" w:cs="Times New Roman" w:eastAsia="SimSun" w:hAnsi="Times New Roman"/>
        </w:rPr>
        <w:t xml:space="preserve">尾集的成对投影，而"重叠"在文献中一律指</w:t>
      </w:r>
      <w:r>
        <w:rPr>
          <w:rFonts w:ascii="Times New Roman" w:cs="Times New Roman" w:eastAsia="SimSun" w:hAnsi="Times New Roman"/>
          <w:b/>
          <w:bCs/>
        </w:rPr>
        <w:t xml:space="preserve">两条超边之间</w:t>
      </w:r>
      <w:r>
        <w:rPr>
          <w:rFonts w:ascii="Times New Roman" w:cs="Times New Roman" w:eastAsia="SimSun" w:hAnsi="Times New Roman"/>
        </w:rPr>
        <w:t xml:space="preserve">共享节点的程度 [malizia2025overlap, lamataotin2025matrix]。用同一个词指不同的对象，审稿人第一轮就会要求澄清。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它需要一个不存在的成对底图。</w:t>
      </w:r>
      <w:r>
        <w:rPr>
          <w:rFonts w:ascii="Times New Roman" w:cs="Times New Roman" w:eastAsia="SimSun" w:hAnsi="Times New Roman"/>
        </w:rPr>
        <w:t xml:space="preserve"> "尾集内部两两节点间的有向关系"预设了节点之间已有成对有向边；但在纯超图模型里没有这样的底图，必须先选一个投影规则（clique 展开？star 展开？），而不同投影会给出不同的 α，结论随之改变。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它没有解析入口。</w:t>
      </w:r>
      <w:r>
        <w:rPr>
          <w:rFonts w:ascii="Times New Roman" w:cs="Times New Roman" w:eastAsia="SimSun" w:hAnsi="Times New Roman"/>
        </w:rPr>
        <w:t xml:space="preserve"> 正因为它不是超边间的量，它不会出现在任何自洽方程的分支结构里，因此无法进入 PGF 或房室闭合——这正是风险 2.2 记录的困难。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下面给出的定义把 α 重新安置成</w:t>
      </w:r>
      <w:r>
        <w:rPr>
          <w:rFonts w:ascii="Times New Roman" w:cs="Times New Roman" w:eastAsia="SimSun" w:hAnsi="Times New Roman"/>
          <w:b/>
          <w:bCs/>
        </w:rPr>
        <w:t xml:space="preserve">超边之间的、有向分解的重叠</w:t>
      </w:r>
      <w:r>
        <w:rPr>
          <w:rFonts w:ascii="Times New Roman" w:cs="Times New Roman" w:eastAsia="SimSun" w:hAnsi="Times New Roman"/>
        </w:rPr>
        <w:t xml:space="preserve">。它同时满足三个要求：无向极限下</w:t>
      </w:r>
      <w:r>
        <w:rPr>
          <w:rFonts w:ascii="Times New Roman" w:cs="Times New Roman" w:eastAsia="SimSun" w:hAnsi="Times New Roman"/>
          <w:b/>
          <w:bCs/>
        </w:rPr>
        <w:t xml:space="preserve">精确退化</w:t>
      </w:r>
      <w:r>
        <w:rPr>
          <w:rFonts w:ascii="Times New Roman" w:cs="Times New Roman" w:eastAsia="SimSun" w:hAnsi="Times New Roman"/>
        </w:rPr>
        <w:t xml:space="preserve">为顶刊现行定义、在保度约束下</w:t>
      </w:r>
      <w:r>
        <w:rPr>
          <w:rFonts w:ascii="Times New Roman" w:cs="Times New Roman" w:eastAsia="SimSun" w:hAnsi="Times New Roman"/>
          <w:b/>
          <w:bCs/>
        </w:rPr>
        <w:t xml:space="preserve">确实可调</w:t>
      </w:r>
      <w:r>
        <w:rPr>
          <w:rFonts w:ascii="Times New Roman" w:cs="Times New Roman" w:eastAsia="SimSun" w:hAnsi="Times New Roman"/>
        </w:rPr>
        <w:t xml:space="preserve">、并且有</w:t>
      </w:r>
      <w:r>
        <w:rPr>
          <w:rFonts w:ascii="Times New Roman" w:cs="Times New Roman" w:eastAsia="SimSun" w:hAnsi="Times New Roman"/>
          <w:b/>
          <w:bCs/>
        </w:rPr>
        <w:t xml:space="preserve">明确的解析入口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1. 定义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1.1 重叠列联矩阵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设有向超图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=(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，超边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=(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),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))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)∩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)=∅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对任意</w:t>
      </w:r>
      <w:r>
        <w:rPr>
          <w:rFonts w:ascii="Times New Roman" w:cs="Times New Roman" w:eastAsia="SimSun" w:hAnsi="Times New Roman"/>
          <w:b/>
          <w:bCs/>
        </w:rPr>
        <w:t xml:space="preserve">有序</w:t>
      </w:r>
      <w:r>
        <w:rPr>
          <w:rFonts w:ascii="Times New Roman" w:cs="Times New Roman" w:eastAsia="SimSun" w:hAnsi="Times New Roman"/>
        </w:rPr>
        <w:t xml:space="preserve">超边对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≠ 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Times New Roman" w:cs="Times New Roman" w:eastAsia="SimSun" w:hAnsi="Times New Roman"/>
        </w:rPr>
        <w:t xml:space="preserve">，定义 </w:t>
      </w:r>
      <w:r>
        <w:rPr>
          <w:rFonts w:ascii="Cambria Math" w:eastAsia="SimSun" w:hAnsi="Cambria Math"/>
          <w:i w:val="false"/>
          <w:iCs w:val="false"/>
        </w:rPr>
        <w:t xml:space="preserve">2×2</w:t>
      </w:r>
      <w:r>
        <w:rPr>
          <w:rFonts w:ascii="Times New Roman" w:cs="Times New Roman" w:eastAsia="SimSun" w:hAnsi="Times New Roman"/>
        </w:rPr>
        <w:t xml:space="preserve"> </w:t>
      </w:r>
      <w:r>
        <w:rPr>
          <w:rFonts w:ascii="Times New Roman" w:cs="Times New Roman" w:eastAsia="SimSun" w:hAnsi="Times New Roman"/>
          <w:b/>
          <w:bCs/>
        </w:rPr>
        <w:t xml:space="preserve">重叠列联矩阵</w:t>
      </w:r>
    </w:p>
    <w:p>
      <w:pPr>
        <w:spacing w:after="180" w:before="180" w:line="30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,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;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HT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,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HH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], 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)=|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)∩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 |,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∈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其中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 当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 当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/>
          <w:iCs/>
        </w:rPr>
        <w:t xml:space="preserve">B</w:t>
      </w:r>
      <w:r>
        <w:rPr>
          <w:rFonts w:ascii="Times New Roman" w:cs="Times New Roman" w:eastAsia="SimSun" w:hAnsi="Times New Roman"/>
        </w:rPr>
        <w:t xml:space="preserve"> 同理。四个分量各有独立的动力学含义：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分量</w:t>
            </w:r>
          </w:p>
        </w:tc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结构含义</w:t>
            </w:r>
          </w:p>
        </w:tc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动力学含义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/>
                <w:iCs/>
              </w:rPr>
              <w:t xml:space="preserve">N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TT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共发</w:t>
            </w:r>
            <w:r>
              <w:rPr>
                <w:rFonts w:ascii="Times New Roman" w:cs="Times New Roman" w:eastAsia="SimSun" w:hAnsi="Times New Roman"/>
              </w:rPr>
              <w:t xml:space="preserve">（co-sending）：一个节点同时是 </w:t>
            </w:r>
            <w:r>
              <w:rPr>
                <w:rFonts w:ascii="Cambria Math" w:eastAsia="SimSun" w:hAnsi="Cambria Math"/>
                <w:i/>
                <w:iCs/>
              </w:rPr>
              <w:t xml:space="preserve">e</w:t>
            </w:r>
            <w:r>
              <w:rPr>
                <w:rFonts w:ascii="Times New Roman" w:cs="Times New Roman" w:eastAsia="SimSun" w:hAnsi="Times New Roman"/>
              </w:rPr>
              <w:t xml:space="preserve"> 与 </w:t>
            </w:r>
            <w:r>
              <w:rPr>
                <w:rFonts w:ascii="Cambria Math" w:eastAsia="SimSun" w:hAnsi="Cambria Math"/>
                <w:i/>
                <w:iCs/>
              </w:rPr>
              <w:t xml:space="preserve">f</w:t>
            </w:r>
            <w:r>
              <w:rPr>
                <w:rFonts w:ascii="Times New Roman" w:cs="Times New Roman" w:eastAsia="SimSun" w:hAnsi="Times New Roman"/>
              </w:rPr>
              <w:t xml:space="preserve"> 的施压方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源冗余；同一感染源向两个不同头集扇出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/>
                <w:iCs/>
              </w:rPr>
              <w:t xml:space="preserve">N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HH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共收</w:t>
            </w:r>
            <w:r>
              <w:rPr>
                <w:rFonts w:ascii="Times New Roman" w:cs="Times New Roman" w:eastAsia="SimSun" w:hAnsi="Times New Roman"/>
              </w:rPr>
              <w:t xml:space="preserve">（co-receiving）：一个节点同时是两条超边的受压方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剂量汇聚；群体阈值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θ</w:t>
            </w:r>
            <w:r>
              <w:rPr>
                <w:rFonts w:ascii="Times New Roman" w:cs="Times New Roman" w:eastAsia="SimSun" w:hAnsi="Times New Roman"/>
              </w:rPr>
              <w:t xml:space="preserve"> 在此累积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跨超边</w:t>
            </w:r>
            <w:r>
              <w:rPr>
                <w:rFonts w:ascii="Times New Roman" w:cs="Times New Roman" w:eastAsia="SimSun" w:hAnsi="Times New Roman"/>
              </w:rPr>
              <w:t xml:space="preserve">的压力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/>
                <w:iCs/>
              </w:rPr>
              <w:t xml:space="preserve">N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HT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串联正向</w:t>
            </w:r>
            <w:r>
              <w:rPr>
                <w:rFonts w:ascii="Times New Roman" w:cs="Times New Roman" w:eastAsia="SimSun" w:hAnsi="Times New Roman"/>
              </w:rPr>
              <w:t xml:space="preserve">：</w:t>
            </w:r>
            <w:r>
              <w:rPr>
                <w:rFonts w:ascii="Cambria Math" w:eastAsia="SimSun" w:hAnsi="Cambria Math"/>
                <w:i/>
                <w:iCs/>
              </w:rPr>
              <w:t xml:space="preserve">e</w:t>
            </w:r>
            <w:r>
              <w:rPr>
                <w:rFonts w:ascii="Times New Roman" w:cs="Times New Roman" w:eastAsia="SimSun" w:hAnsi="Times New Roman"/>
              </w:rPr>
              <w:t xml:space="preserve"> 的头集落入 </w:t>
            </w:r>
            <w:r>
              <w:rPr>
                <w:rFonts w:ascii="Cambria Math" w:eastAsia="SimSun" w:hAnsi="Cambria Math"/>
                <w:i/>
                <w:iCs/>
              </w:rPr>
              <w:t xml:space="preserve">f</w:t>
            </w:r>
            <w:r>
              <w:rPr>
                <w:rFonts w:ascii="Times New Roman" w:cs="Times New Roman" w:eastAsia="SimSun" w:hAnsi="Times New Roman"/>
              </w:rPr>
              <w:t xml:space="preserve"> 的尾集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传播链本身：</w:t>
            </w:r>
            <w:r>
              <w:rPr>
                <w:rFonts w:ascii="Cambria Math" w:eastAsia="SimSun" w:hAnsi="Cambria Math"/>
                <w:i/>
                <w:iCs/>
              </w:rPr>
              <w:t xml:space="preserve">e</w:t>
            </w:r>
            <w:r>
              <w:rPr>
                <w:rFonts w:ascii="Times New Roman" w:cs="Times New Roman" w:eastAsia="SimSun" w:hAnsi="Times New Roman"/>
              </w:rPr>
              <w:t xml:space="preserve"> 激活后经该节点驱动 </w:t>
            </w:r>
            <w:r>
              <w:rPr>
                <w:rFonts w:ascii="Cambria Math" w:eastAsia="SimSun" w:hAnsi="Cambria Math"/>
                <w:i/>
                <w:iCs/>
              </w:rPr>
              <w:t xml:space="preserve">f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/>
                <w:iCs/>
              </w:rPr>
              <w:t xml:space="preserve">N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TH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串联反向</w:t>
            </w:r>
            <w:r>
              <w:rPr>
                <w:rFonts w:ascii="Times New Roman" w:cs="Times New Roman" w:eastAsia="SimSun" w:hAnsi="Times New Roman"/>
              </w:rPr>
              <w:t xml:space="preserve">：</w:t>
            </w:r>
            <w:r>
              <w:rPr>
                <w:rFonts w:ascii="Cambria Math" w:eastAsia="SimSun" w:hAnsi="Cambria Math"/>
                <w:i/>
                <w:iCs/>
              </w:rPr>
              <w:t xml:space="preserve">f</w:t>
            </w:r>
            <w:r>
              <w:rPr>
                <w:rFonts w:ascii="Times New Roman" w:cs="Times New Roman" w:eastAsia="SimSun" w:hAnsi="Times New Roman"/>
              </w:rPr>
              <w:t xml:space="preserve"> 的头集落入 </w:t>
            </w:r>
            <w:r>
              <w:rPr>
                <w:rFonts w:ascii="Cambria Math" w:eastAsia="SimSun" w:hAnsi="Cambria Math"/>
                <w:i/>
                <w:iCs/>
              </w:rPr>
              <w:t xml:space="preserve">e</w:t>
            </w:r>
            <w:r>
              <w:rPr>
                <w:rFonts w:ascii="Times New Roman" w:cs="Times New Roman" w:eastAsia="SimSun" w:hAnsi="Times New Roman"/>
              </w:rPr>
              <w:t xml:space="preserve"> 的尾集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反向链；与 </w:t>
            </w:r>
            <w:r>
              <w:rPr>
                <w:rFonts w:ascii="Cambria Math" w:eastAsia="SimSun" w:hAnsi="Cambria Math"/>
                <w:i/>
                <w:iCs/>
              </w:rPr>
              <w:t xml:space="preserve">N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HT</w:t>
            </w:r>
            <w:r>
              <w:rPr>
                <w:rFonts w:ascii="Times New Roman" w:cs="Times New Roman" w:eastAsia="SimSun" w:hAnsi="Times New Roman"/>
              </w:rPr>
              <w:t xml:space="preserve"> 同时非零即为高阶互惠 [lotito2026directed]</w:t>
            </w:r>
          </w:p>
        </w:tc>
      </w:tr>
    </w:tbl>
    <w:p>
      <w:pPr>
        <w:spacing w:after="160"/>
      </w:pP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"共发/共收"这组词不是我们自造的：Lotito 等在有向超图的微观组织框架里正是用 </w:t>
      </w:r>
      <w:r>
        <w:rPr>
          <w:rFonts w:ascii="Times New Roman" w:cs="Times New Roman" w:eastAsia="SimSun" w:hAnsi="Times New Roman"/>
          <w:b/>
          <w:bCs/>
        </w:rPr>
        <w:t xml:space="preserve">co-sending / co-receiving</w:t>
      </w:r>
      <w:r>
        <w:rPr>
          <w:rFonts w:ascii="Times New Roman" w:cs="Times New Roman" w:eastAsia="SimSun" w:hAnsi="Times New Roman"/>
        </w:rPr>
        <w:t xml:space="preserve"> 来刻画源集与靶集的重叠 [lotito2026directed]。本定义与该词汇表一致。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1.2 归一化与阶分辨聚合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归一化到 </w:t>
      </w:r>
      <w:r>
        <w:rPr>
          <w:rFonts w:ascii="Cambria Math" w:eastAsia="SimSun" w:hAnsi="Cambria Math"/>
          <w:i w:val="false"/>
          <w:iCs w:val="false"/>
        </w:rPr>
        <w:t xml:space="preserve">[0,1]</w:t>
      </w:r>
      <w:r>
        <w:rPr>
          <w:rFonts w:ascii="Times New Roman" w:cs="Times New Roman" w:eastAsia="SimSun" w:hAnsi="Times New Roman"/>
        </w:rPr>
        <w:t xml:space="preserve">：</w:t>
      </w:r>
    </w:p>
    <w:p>
      <w:pPr>
        <w:spacing w:after="180" w:before="180" w:line="30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))/(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(|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)|,|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)|))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记超边的</w:t>
      </w:r>
      <w:r>
        <w:rPr>
          <w:rFonts w:ascii="Times New Roman" w:cs="Times New Roman" w:eastAsia="SimSun" w:hAnsi="Times New Roman"/>
          <w:b/>
          <w:bCs/>
        </w:rPr>
        <w:t xml:space="preserve">阶</w:t>
      </w:r>
      <w:r>
        <w:rPr>
          <w:rFonts w:ascii="Times New Roman" w:cs="Times New Roman" w:eastAsia="SimSun" w:hAnsi="Times New Roman"/>
        </w:rPr>
        <w:t xml:space="preserve"> </w:t>
      </w:r>
      <w:r>
        <w:rPr>
          <w:rFonts w:ascii="Cambria Math" w:eastAsia="SimSun" w:hAnsi="Cambria Math"/>
          <w:i w:val="false"/>
          <w:iCs w:val="false"/>
        </w:rPr>
        <w:t xml:space="preserve">σ(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)=(|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)|,|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)|)</w:t>
      </w:r>
      <w:r>
        <w:rPr>
          <w:rFonts w:ascii="Times New Roman" w:cs="Times New Roman" w:eastAsia="SimSun" w:hAnsi="Times New Roman"/>
        </w:rPr>
        <w:t xml:space="preserve">。定义</w:t>
      </w:r>
      <w:r>
        <w:rPr>
          <w:rFonts w:ascii="Times New Roman" w:cs="Times New Roman" w:eastAsia="SimSun" w:hAnsi="Times New Roman"/>
          <w:b/>
          <w:bCs/>
        </w:rPr>
        <w:t xml:space="preserve">有向重叠张量</w:t>
      </w:r>
    </w:p>
    <w:p>
      <w:pPr>
        <w:spacing w:after="180" w:before="180" w:line="300"/>
        <w:jc w:val="center"/>
      </w:pP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σσ'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=⟨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|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)≥ 1,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σ(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)=σ,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σ(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)=σ'  ⟩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即：</w:t>
      </w:r>
      <w:r>
        <w:rPr>
          <w:rFonts w:ascii="Times New Roman" w:cs="Times New Roman" w:eastAsia="SimSun" w:hAnsi="Times New Roman"/>
          <w:b/>
          <w:bCs/>
        </w:rPr>
        <w:t xml:space="preserve">在确实发生重叠的超边对上，重叠的平均深度</w:t>
      </w:r>
      <w:r>
        <w:rPr>
          <w:rFonts w:ascii="Times New Roman" w:cs="Times New Roman" w:eastAsia="SimSun" w:hAnsi="Times New Roman"/>
        </w:rPr>
        <w:t xml:space="preserve">。条件化（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</w:rPr>
        <w:t xml:space="preserve">≥1</w:t>
      </w:r>
      <w:r>
        <w:rPr>
          <w:rFonts w:ascii="Times New Roman" w:cs="Times New Roman" w:eastAsia="SimSun" w:hAnsi="Times New Roman"/>
        </w:rPr>
        <w:t xml:space="preserve">）不是修饰，是必需的——理由见 §3。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阶对角块 </w:t>
      </w:r>
      <w:r>
        <w:rPr>
          <w:rFonts w:ascii="Cambria Math" w:eastAsia="SimSun" w:hAnsi="Cambria Math"/>
          <w:i w:val="false"/>
          <w:iCs w:val="false"/>
        </w:rPr>
        <w:t xml:space="preserve">σ=σ'</w:t>
      </w:r>
      <w:r>
        <w:rPr>
          <w:rFonts w:ascii="Times New Roman" w:cs="Times New Roman" w:eastAsia="SimSun" w:hAnsi="Times New Roman"/>
        </w:rPr>
        <w:t xml:space="preserve"> 是</w:t>
      </w:r>
      <w:r>
        <w:rPr>
          <w:rFonts w:ascii="Times New Roman" w:cs="Times New Roman" w:eastAsia="SimSun" w:hAnsi="Times New Roman"/>
          <w:b/>
          <w:bCs/>
        </w:rPr>
        <w:t xml:space="preserve">阶内重叠</w:t>
      </w:r>
      <w:r>
        <w:rPr>
          <w:rFonts w:ascii="Times New Roman" w:cs="Times New Roman" w:eastAsia="SimSun" w:hAnsi="Times New Roman"/>
        </w:rPr>
        <w:t xml:space="preserve">（intra-order），非对角块是</w:t>
      </w:r>
      <w:r>
        <w:rPr>
          <w:rFonts w:ascii="Times New Roman" w:cs="Times New Roman" w:eastAsia="SimSun" w:hAnsi="Times New Roman"/>
          <w:b/>
          <w:bCs/>
        </w:rPr>
        <w:t xml:space="preserve">阶间重叠</w:t>
      </w:r>
      <w:r>
        <w:rPr>
          <w:rFonts w:ascii="Times New Roman" w:cs="Times New Roman" w:eastAsia="SimSun" w:hAnsi="Times New Roman"/>
        </w:rPr>
        <w:t xml:space="preserve">（inter-order）。这一对角/非对角的划分与 Lamata-Otín 等的超边重叠矩阵完全一致 [lamataotin2025matrix]；本定义在其每个矩阵元上再展开出 </w:t>
      </w:r>
      <w:r>
        <w:rPr>
          <w:rFonts w:ascii="Cambria Math" w:eastAsia="SimSun" w:hAnsi="Cambria Math"/>
          <w:i w:val="false"/>
          <w:iCs w:val="false"/>
        </w:rPr>
        <w:t xml:space="preserve">2×2</w:t>
      </w:r>
      <w:r>
        <w:rPr>
          <w:rFonts w:ascii="Times New Roman" w:cs="Times New Roman" w:eastAsia="SimSun" w:hAnsi="Times New Roman"/>
        </w:rPr>
        <w:t xml:space="preserve"> 的方向通道，因此是</w:t>
      </w:r>
      <w:r>
        <w:rPr>
          <w:rFonts w:ascii="Times New Roman" w:cs="Times New Roman" w:eastAsia="SimSun" w:hAnsi="Times New Roman"/>
          <w:b/>
          <w:bCs/>
        </w:rPr>
        <w:t xml:space="preserve">张量</w:t>
      </w:r>
      <w:r>
        <w:rPr>
          <w:rFonts w:ascii="Times New Roman" w:cs="Times New Roman" w:eastAsia="SimSun" w:hAnsi="Times New Roman"/>
        </w:rPr>
        <w:t xml:space="preserve">而非矩阵。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术语提醒：大纲把 α 叫作"阶间重叠"。在上式里，"阶间"专指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σ≠σ'</w:t>
      </w:r>
      <w:r>
        <w:rPr>
          <w:rFonts w:ascii="Times New Roman" w:cs="Times New Roman" w:eastAsia="SimSun" w:hAnsi="Times New Roman"/>
          <w:color w:val="3A4A5A"/>
        </w:rPr>
        <w:t xml:space="preserve">。若主线采用同质阶数（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|</w:t>
      </w:r>
      <w:r>
        <w:rPr>
          <w:rFonts w:ascii="Cambria Math" w:eastAsia="SimSun" w:hAnsi="Cambria Math"/>
          <w:i/>
          <w:iCs/>
          <w:color w:val="3A4A5A"/>
        </w:rPr>
        <w:t xml:space="preserve">T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(</w:t>
      </w:r>
      <w:r>
        <w:rPr>
          <w:rFonts w:ascii="Cambria Math" w:eastAsia="SimSun" w:hAnsi="Cambria Math"/>
          <w:i/>
          <w:iCs/>
          <w:color w:val="3A4A5A"/>
        </w:rPr>
        <w:t xml:space="preserve">e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)|=τ</w:t>
      </w:r>
      <w:r>
        <w:rPr>
          <w:rFonts w:ascii="Times New Roman" w:cs="Times New Roman" w:eastAsia="SimSun" w:hAnsi="Times New Roman"/>
          <w:color w:val="3A4A5A"/>
        </w:rPr>
        <w:t xml:space="preserve">、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|</w:t>
      </w:r>
      <w:r>
        <w:rPr>
          <w:rFonts w:ascii="Cambria Math" w:eastAsia="SimSun" w:hAnsi="Cambria Math"/>
          <w:i/>
          <w:iCs/>
          <w:color w:val="3A4A5A"/>
        </w:rPr>
        <w:t xml:space="preserve">H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(</w:t>
      </w:r>
      <w:r>
        <w:rPr>
          <w:rFonts w:ascii="Cambria Math" w:eastAsia="SimSun" w:hAnsi="Cambria Math"/>
          <w:i/>
          <w:iCs/>
          <w:color w:val="3A4A5A"/>
        </w:rPr>
        <w:t xml:space="preserve">e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)|=η</w:t>
      </w:r>
      <w:r>
        <w:rPr>
          <w:rFonts w:ascii="Times New Roman" w:cs="Times New Roman" w:eastAsia="SimSun" w:hAnsi="Times New Roman"/>
          <w:color w:val="3A4A5A"/>
        </w:rPr>
        <w:t xml:space="preserve"> 对所有 </w:t>
      </w:r>
      <w:r>
        <w:rPr>
          <w:rFonts w:ascii="Cambria Math" w:eastAsia="SimSun" w:hAnsi="Cambria Math"/>
          <w:i/>
          <w:iCs/>
          <w:color w:val="3A4A5A"/>
        </w:rPr>
        <w:t xml:space="preserve">e</w:t>
      </w:r>
      <w:r>
        <w:rPr>
          <w:rFonts w:ascii="Times New Roman" w:cs="Times New Roman" w:eastAsia="SimSun" w:hAnsi="Times New Roman"/>
          <w:color w:val="3A4A5A"/>
        </w:rPr>
        <w:t xml:space="preserve">），则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只剩阶内块</w:t>
      </w:r>
      <w:r>
        <w:rPr>
          <w:rFonts w:ascii="Times New Roman" w:cs="Times New Roman" w:eastAsia="SimSun" w:hAnsi="Times New Roman"/>
          <w:color w:val="3A4A5A"/>
        </w:rPr>
        <w:t xml:space="preserve">，此时应改称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有向超边重叠</w:t>
      </w:r>
      <w:r>
        <w:rPr>
          <w:rFonts w:ascii="Times New Roman" w:cs="Times New Roman" w:eastAsia="SimSun" w:hAnsi="Times New Roman"/>
          <w:color w:val="3A4A5A"/>
        </w:rPr>
        <w:t xml:space="preserve">，不要再写"阶间"，否则与 [lamataotin2025matrix, malizia2025gbcm] 的术语冲突。异质阶数留到附录时"阶间"才重新有意义。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1.3 方向对称性分解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全局方向翻转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：对所有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交换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)↔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。它是空间上的对合（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2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 w:val="false"/>
          <w:iCs w:val="false"/>
        </w:rPr>
        <w:t xml:space="preserve">id</w:t>
      </w:r>
      <w:r>
        <w:rPr>
          <w:rFonts w:ascii="Times New Roman" w:cs="Times New Roman" w:eastAsia="SimSun" w:hAnsi="Times New Roman"/>
        </w:rPr>
        <w:t xml:space="preserve">），四个通道在其下的变换为</w:t>
      </w:r>
    </w:p>
    <w:p>
      <w:pPr>
        <w:spacing w:after="180" w:before="180" w:line="30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:  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TT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↔α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HH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  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HT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↔α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TH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据此把四通道重组为</w:t>
      </w:r>
      <w:r>
        <w:rPr>
          <w:rFonts w:ascii="Times New Roman" w:cs="Times New Roman" w:eastAsia="SimSun" w:hAnsi="Times New Roman"/>
          <w:b/>
          <w:bCs/>
        </w:rPr>
        <w:t xml:space="preserve">宇称本征量</w:t>
      </w:r>
      <w:r>
        <w:rPr>
          <w:rFonts w:ascii="Times New Roman" w:cs="Times New Roman" w:eastAsia="SimSun" w:hAnsi="Times New Roman"/>
        </w:rPr>
        <w:t xml:space="preserve">（略去阶指标）：</w:t>
      </w:r>
    </w:p>
    <w:p>
      <w:pPr>
        <w:spacing w:after="180" w:before="180" w:line="300"/>
        <w:jc w:val="center"/>
      </w:pP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⇉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=1/2(α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HT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TH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  （串联／同向，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-偶）</w:t>
      </w:r>
    </w:p>
    <w:p>
      <w:pPr>
        <w:spacing w:after="180" w:before="180" w:line="300"/>
        <w:jc w:val="center"/>
      </w:pP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⇄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=强互惠超边占比（定义见下）  （互惠／反向，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-偶）</w:t>
      </w:r>
    </w:p>
    <w:p>
      <w:pPr>
        <w:spacing w:after="180" w:before="180" w:line="300"/>
        <w:jc w:val="center"/>
      </w:pP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∥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=1/2(α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TT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HH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  （并联，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-偶）</w:t>
      </w:r>
    </w:p>
    <w:p>
      <w:pPr>
        <w:spacing w:after="180" w:before="180" w:line="300"/>
        <w:jc w:val="center"/>
      </w:pP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Δα=1/2(α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TT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HH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  （极性失衡，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boldsymbol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-奇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）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这就把大纲的两个记号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⇉</w:t>
      </w:r>
      <w:r>
        <w:rPr>
          <w:rFonts w:ascii="Cambria Math" w:eastAsia="SimSun" w:hAnsi="Cambria Math"/>
          <w:i w:val="false"/>
          <w:iCs w:val="false"/>
        </w:rPr>
        <w:t xml:space="preserve">/α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⇄</w:t>
      </w:r>
      <w:r>
        <w:rPr>
          <w:rFonts w:ascii="Times New Roman" w:cs="Times New Roman" w:eastAsia="SimSun" w:hAnsi="Times New Roman"/>
        </w:rPr>
        <w:t xml:space="preserve"> 落到了确定的可计算式上，同时暴露出</w:t>
      </w:r>
      <w:r>
        <w:rPr>
          <w:rFonts w:ascii="Times New Roman" w:cs="Times New Roman" w:eastAsia="SimSun" w:hAnsi="Times New Roman"/>
          <w:b/>
          <w:bCs/>
        </w:rPr>
        <w:t xml:space="preserve">大纲遗漏的两个自由度</w:t>
      </w:r>
      <w:r>
        <w:rPr>
          <w:rFonts w:ascii="Times New Roman" w:cs="Times New Roman" w:eastAsia="SimSun" w:hAnsi="Times New Roman"/>
        </w:rPr>
        <w:t xml:space="preserve">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∥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。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∥</w:t>
      </w:r>
      <w:r>
        <w:rPr>
          <w:rFonts w:ascii="Times New Roman" w:cs="Times New Roman" w:eastAsia="SimSun" w:hAnsi="Times New Roman"/>
        </w:rPr>
        <w:t xml:space="preserve"> 必须在扫描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⇉</w:t>
      </w:r>
      <w:r>
        <w:rPr>
          <w:rFonts w:ascii="Times New Roman" w:cs="Times New Roman" w:eastAsia="SimSun" w:hAnsi="Times New Roman"/>
        </w:rPr>
        <w:t xml:space="preserve"> 时</w:t>
      </w:r>
      <w:r>
        <w:rPr>
          <w:rFonts w:ascii="Times New Roman" w:cs="Times New Roman" w:eastAsia="SimSun" w:hAnsi="Times New Roman"/>
          <w:b/>
          <w:bCs/>
        </w:rPr>
        <w:t xml:space="preserve">固定住</w:t>
      </w:r>
      <w:r>
        <w:rPr>
          <w:rFonts w:ascii="Times New Roman" w:cs="Times New Roman" w:eastAsia="SimSun" w:hAnsi="Times New Roman"/>
        </w:rPr>
        <w:t xml:space="preserve">，否则扫描把三种效应混在一起；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 则是下一节的主角。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1.4 </w:t>
      </w:r>
      <w:r>
        <w:rPr>
          <w:rFonts w:ascii="Cambria Math" w:eastAsia="SimSun" w:hAnsi="Cambria Math"/>
          <w:b/>
          <w:bCs/>
          <w:i w:val="false"/>
          <w:iCs w:val="false"/>
          <w:color w:val="1A1A1A"/>
          <w:sz w:val="23"/>
          <w:szCs w:val="23"/>
        </w:rPr>
        <w:t xml:space="preserve">α</w:t>
      </w:r>
      <w:r>
        <w:rPr>
          <w:rFonts w:ascii="Cambria Math" w:eastAsia="SimSun" w:hAnsi="Cambria Math"/>
          <w:b/>
          <w:bCs/>
          <w:i w:val="false"/>
          <w:iCs w:val="false"/>
          <w:color w:val="1A1A1A"/>
          <w:sz w:val="23"/>
          <w:szCs w:val="23"/>
          <w:vertAlign w:val="superscript"/>
        </w:rPr>
        <w:t xml:space="preserve">⇄</w:t>
      </w: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：采用现成的强互惠定义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互惠性不自己造。有向超图的互惠性已有两套独立的成熟测量：Kim 等最早给出系统的测度、真实数据发现与配套生成器 [kim2023reciprocity]，Lotito 等随后在微观组织框架中给出 exact / strong / weak 三档 [lotito2026directed]。本文</w:t>
      </w:r>
      <w:r>
        <w:rPr>
          <w:rFonts w:ascii="Times New Roman" w:cs="Times New Roman" w:eastAsia="SimSun" w:hAnsi="Times New Roman"/>
          <w:b/>
          <w:bCs/>
        </w:rPr>
        <w:t xml:space="preserve">直接采用 Lotito 的 strong 档</w:t>
      </w:r>
      <w:r>
        <w:rPr>
          <w:rFonts w:ascii="Times New Roman" w:cs="Times New Roman" w:eastAsia="SimSun" w:hAnsi="Times New Roman"/>
        </w:rPr>
        <w:t xml:space="preserve">，取</w:t>
      </w:r>
    </w:p>
    <w:p>
      <w:pPr>
        <w:spacing w:after="180" w:before="180" w:line="300"/>
        <w:jc w:val="center"/>
      </w:pP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⇄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frac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#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∈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: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被强互惠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|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|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三档的层级为：</w:t>
      </w:r>
      <w:r>
        <w:rPr>
          <w:rFonts w:ascii="Times New Roman" w:cs="Times New Roman" w:eastAsia="SimSun" w:hAnsi="Times New Roman"/>
          <w:b/>
          <w:bCs/>
        </w:rPr>
        <w:t xml:space="preserve">exact</w:t>
      </w:r>
      <w:r>
        <w:rPr>
          <w:rFonts w:ascii="Times New Roman" w:cs="Times New Roman" w:eastAsia="SimSun" w:hAnsi="Times New Roman"/>
        </w:rPr>
        <w:t xml:space="preserve">——存在单条超边 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Times New Roman" w:cs="Times New Roman" w:eastAsia="SimSun" w:hAnsi="Times New Roman"/>
        </w:rPr>
        <w:t xml:space="preserve"> 使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Cambria Math" w:eastAsia="SimSun" w:hAnsi="Cambria Math"/>
          <w:i w:val="false"/>
          <w:iCs w:val="false"/>
        </w:rPr>
        <w:t xml:space="preserve">)=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且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Cambria Math" w:eastAsia="SimSun" w:hAnsi="Cambria Math"/>
          <w:i w:val="false"/>
          <w:iCs w:val="false"/>
        </w:rPr>
        <w:t xml:space="preserve">)=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，即一条超边把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完全反转；</w:t>
      </w:r>
      <w:r>
        <w:rPr>
          <w:rFonts w:ascii="Times New Roman" w:cs="Times New Roman" w:eastAsia="SimSun" w:hAnsi="Times New Roman"/>
          <w:b/>
          <w:bCs/>
        </w:rPr>
        <w:t xml:space="preserve">strong</w:t>
      </w:r>
      <w:r>
        <w:rPr>
          <w:rFonts w:ascii="Times New Roman" w:cs="Times New Roman" w:eastAsia="SimSun" w:hAnsi="Times New Roman"/>
        </w:rPr>
        <w:t xml:space="preserve">——存在一</w:t>
      </w:r>
      <w:r>
        <w:rPr>
          <w:rFonts w:ascii="Times New Roman" w:cs="Times New Roman" w:eastAsia="SimSun" w:hAnsi="Times New Roman"/>
          <w:b/>
          <w:bCs/>
        </w:rPr>
        <w:t xml:space="preserve">组</w:t>
      </w:r>
      <w:r>
        <w:rPr>
          <w:rFonts w:ascii="Times New Roman" w:cs="Times New Roman" w:eastAsia="SimSun" w:hAnsi="Times New Roman"/>
        </w:rPr>
        <w:t xml:space="preserve">超边</w:t>
      </w:r>
      <w:r>
        <w:rPr>
          <w:rFonts w:ascii="Times New Roman" w:cs="Times New Roman" w:eastAsia="SimSun" w:hAnsi="Times New Roman"/>
          <w:b/>
          <w:bCs/>
        </w:rPr>
        <w:t xml:space="preserve">共同</w:t>
      </w:r>
      <w:r>
        <w:rPr>
          <w:rFonts w:ascii="Times New Roman" w:cs="Times New Roman" w:eastAsia="SimSun" w:hAnsi="Times New Roman"/>
        </w:rPr>
        <w:t xml:space="preserve">完成反转，即它们的尾集并覆盖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、头集并覆盖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；</w:t>
      </w:r>
      <w:r>
        <w:rPr>
          <w:rFonts w:ascii="Times New Roman" w:cs="Times New Roman" w:eastAsia="SimSun" w:hAnsi="Times New Roman"/>
          <w:b/>
          <w:bCs/>
        </w:rPr>
        <w:t xml:space="preserve">weak</w:t>
      </w:r>
      <w:r>
        <w:rPr>
          <w:rFonts w:ascii="Times New Roman" w:cs="Times New Roman" w:eastAsia="SimSun" w:hAnsi="Times New Roman"/>
        </w:rPr>
        <w:t xml:space="preserve">——只要求至少一个节点参与反向交互。取 strong 是因为 exact 在真实数据中几乎恒为零（要求两个集合精确相等），weak 又过于宽松（单点即计）；strong 同时具备判别力与非平凡的经验取值。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口径复用：</w:t>
      </w:r>
      <w:r>
        <w:rPr>
          <w:rFonts w:ascii="Times New Roman" w:cs="Times New Roman" w:eastAsia="SimSun" w:hAnsi="Times New Roman"/>
          <w:color w:val="3A4A5A"/>
        </w:rPr>
        <w:t xml:space="preserve"> 采用 strong 档的直接好处是第 VII 部分可以复用 [lotito2026directed] 在比特币交易、代谢网络与引用数据上的现成测量口径，我们的实测值与其报告值可以直接并列，无需自证测量方式可比。[kim2023reciprocity] 的生成器还可作为互惠性维度的独立零模型来源。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必须写进正文的类型代价.</w:t>
      </w:r>
      <w:r>
        <w:rPr>
          <w:rFonts w:ascii="Times New Roman" w:cs="Times New Roman" w:eastAsia="SimSun" w:hAnsi="Times New Roman"/>
        </w:rPr>
        <w:t xml:space="preserve"> 这个选择有一处结构后果，不能含糊过去：strong 互惠是</w:t>
      </w:r>
      <w:r>
        <w:rPr>
          <w:rFonts w:ascii="Times New Roman" w:cs="Times New Roman" w:eastAsia="SimSun" w:hAnsi="Times New Roman"/>
          <w:b/>
          <w:bCs/>
        </w:rPr>
        <w:t xml:space="preserve">超边级的集合覆盖判据</w:t>
      </w:r>
      <w:r>
        <w:rPr>
          <w:rFonts w:ascii="Times New Roman" w:cs="Times New Roman" w:eastAsia="SimSun" w:hAnsi="Times New Roman"/>
        </w:rPr>
        <w:t xml:space="preserve">，而 §1.2 的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是</w:t>
      </w:r>
      <w:r>
        <w:rPr>
          <w:rFonts w:ascii="Times New Roman" w:cs="Times New Roman" w:eastAsia="SimSun" w:hAnsi="Times New Roman"/>
          <w:b/>
          <w:bCs/>
        </w:rPr>
        <w:t xml:space="preserve">超边对级的重叠深度</w:t>
      </w:r>
      <w:r>
        <w:rPr>
          <w:rFonts w:ascii="Times New Roman" w:cs="Times New Roman" w:eastAsia="SimSun" w:hAnsi="Times New Roman"/>
        </w:rPr>
        <w:t xml:space="preserve">。因此</w:t>
      </w:r>
    </w:p>
    <w:p>
      <w:pPr>
        <w:pStyle w:val="ListParagraph"/>
        <w:numPr>
          <w:ilvl w:val="0"/>
          <w:numId w:val="3"/>
        </w:numPr>
        <w:spacing w:after="60" w:before="60" w:line="310"/>
      </w:pP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⇉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∥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Δα</w:t>
      </w:r>
      <w:r>
        <w:rPr>
          <w:rFonts w:ascii="Times New Roman" w:cs="Times New Roman" w:eastAsia="SimSun" w:hAnsi="Times New Roman"/>
        </w:rPr>
        <w:t xml:space="preserve"> 三者仍是同一张量的分量，共享 §2 性质 1 的退化关系；</w:t>
      </w:r>
    </w:p>
    <w:p>
      <w:pPr>
        <w:pStyle w:val="ListParagraph"/>
        <w:numPr>
          <w:ilvl w:val="0"/>
          <w:numId w:val="3"/>
        </w:numPr>
        <w:spacing w:after="60" w:before="60" w:line="310"/>
      </w:pP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⇄</w:t>
      </w:r>
      <w:r>
        <w:rPr>
          <w:rFonts w:ascii="Times New Roman" w:cs="Times New Roman" w:eastAsia="SimSun" w:hAnsi="Times New Roman"/>
        </w:rPr>
        <w:t xml:space="preserve"> </w:t>
      </w:r>
      <w:r>
        <w:rPr>
          <w:rFonts w:ascii="Times New Roman" w:cs="Times New Roman" w:eastAsia="SimSun" w:hAnsi="Times New Roman"/>
          <w:b/>
          <w:bCs/>
        </w:rPr>
        <w:t xml:space="preserve">不是</w:t>
      </w:r>
      <w:r>
        <w:rPr>
          <w:rFonts w:ascii="Times New Roman" w:cs="Times New Roman" w:eastAsia="SimSun" w:hAnsi="Times New Roman"/>
        </w:rPr>
        <w:t xml:space="preserve">该张量的分量，性质 1 对它不成立，它也不参与 §3 中转移算子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Times New Roman" w:cs="Times New Roman" w:eastAsia="SimSun" w:hAnsi="Times New Roman"/>
        </w:rPr>
        <w:t xml:space="preserve"> 的权重构造。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换言之，我们用"张量的三个宇称分量 + 一个外部互惠标量"这四个量刻画方向化重叠，而不是四个同类量。正文须明确写出这一点，否则读者会误以为四者可以相互换算。作为代价的补偿，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⇄</w:t>
      </w:r>
      <w:r>
        <w:rPr>
          <w:rFonts w:ascii="Times New Roman" w:cs="Times New Roman" w:eastAsia="SimSun" w:hAnsi="Times New Roman"/>
        </w:rPr>
        <w:t xml:space="preserve"> 获得了与两套已发表测量的直接可比性——这正是取 strong 档而非 </w:t>
      </w:r>
      <w:r>
        <w:rPr>
          <w:rFonts w:ascii="Cambria Math" w:eastAsia="SimSun" w:hAnsi="Cambria Math"/>
          <w:i w:val="false"/>
          <w:iCs w:val="false"/>
        </w:rPr>
        <w:t xml:space="preserve">⟨</w:t>
      </w:r>
      <w:r>
        <w:rPr>
          <w:rFonts w:ascii="Cambria Math" w:eastAsia="SimSun" w:hAnsi="Cambria Math"/>
          <w:i/>
          <w:iCs/>
        </w:rPr>
        <w:t xml:space="preserve">min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HT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TH</w:t>
      </w:r>
      <w:r>
        <w:rPr>
          <w:rFonts w:ascii="Cambria Math" w:eastAsia="SimSun" w:hAnsi="Cambria Math"/>
          <w:i w:val="false"/>
          <w:iCs w:val="false"/>
        </w:rPr>
        <w:t xml:space="preserve">)⟩</w:t>
      </w:r>
      <w:r>
        <w:rPr>
          <w:rFonts w:ascii="Times New Roman" w:cs="Times New Roman" w:eastAsia="SimSun" w:hAnsi="Times New Roman"/>
        </w:rPr>
        <w:t xml:space="preserve"> 的理由。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待转录：</w:t>
      </w:r>
      <w:r>
        <w:rPr>
          <w:rFonts w:ascii="Times New Roman" w:cs="Times New Roman" w:eastAsia="SimSun" w:hAnsi="Times New Roman"/>
          <w:color w:val="3A4A5A"/>
        </w:rPr>
        <w:t xml:space="preserve"> strong 互惠的精确判据（覆盖是否要求 </w:t>
      </w:r>
      <w:r>
        <w:rPr>
          <w:rFonts w:ascii="Cambria Math" w:eastAsia="SimSun" w:hAnsi="Cambria Math"/>
          <w:i/>
          <w:iCs/>
          <w:color w:val="3A4A5A"/>
        </w:rPr>
        <w:t xml:space="preserve">f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≠ </w:t>
      </w:r>
      <w:r>
        <w:rPr>
          <w:rFonts w:ascii="Cambria Math" w:eastAsia="SimSun" w:hAnsi="Cambria Math"/>
          <w:i/>
          <w:iCs/>
          <w:color w:val="3A4A5A"/>
        </w:rPr>
        <w:t xml:space="preserve">e</w:t>
      </w:r>
      <w:r>
        <w:rPr>
          <w:rFonts w:ascii="Times New Roman" w:cs="Times New Roman" w:eastAsia="SimSun" w:hAnsi="Times New Roman"/>
          <w:color w:val="3A4A5A"/>
        </w:rPr>
        <w:t xml:space="preserve">、是否允许 </w:t>
      </w:r>
      <w:r>
        <w:rPr>
          <w:rFonts w:ascii="Cambria Math" w:eastAsia="SimSun" w:hAnsi="Cambria Math"/>
          <w:i/>
          <w:iCs/>
          <w:color w:val="3A4A5A"/>
        </w:rPr>
        <w:t xml:space="preserve">f</w:t>
      </w:r>
      <w:r>
        <w:rPr>
          <w:rFonts w:ascii="Times New Roman" w:cs="Times New Roman" w:eastAsia="SimSun" w:hAnsi="Times New Roman"/>
          <w:color w:val="3A4A5A"/>
        </w:rPr>
        <w:t xml:space="preserve"> 重复计入、</w:t>
      </w:r>
      <w:r>
        <w:rPr>
          <w:rFonts w:ascii="Cambria Math" w:eastAsia="SimSun" w:hAnsi="Cambria Math"/>
          <w:i/>
          <w:iCs/>
          <w:color w:val="3A4A5A"/>
        </w:rPr>
        <w:t xml:space="preserve">T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(</w:t>
      </w:r>
      <w:r>
        <w:rPr>
          <w:rFonts w:ascii="Cambria Math" w:eastAsia="SimSun" w:hAnsi="Cambria Math"/>
          <w:i/>
          <w:iCs/>
          <w:color w:val="3A4A5A"/>
        </w:rPr>
        <w:t xml:space="preserve">f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)</w:t>
      </w:r>
      <w:r>
        <w:rPr>
          <w:rFonts w:ascii="Times New Roman" w:cs="Times New Roman" w:eastAsia="SimSun" w:hAnsi="Times New Roman"/>
          <w:color w:val="3A4A5A"/>
        </w:rPr>
        <w:t xml:space="preserve"> 与 </w:t>
      </w:r>
      <w:r>
        <w:rPr>
          <w:rFonts w:ascii="Cambria Math" w:eastAsia="SimSun" w:hAnsi="Cambria Math"/>
          <w:i/>
          <w:iCs/>
          <w:color w:val="3A4A5A"/>
        </w:rPr>
        <w:t xml:space="preserve">H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(</w:t>
      </w:r>
      <w:r>
        <w:rPr>
          <w:rFonts w:ascii="Cambria Math" w:eastAsia="SimSun" w:hAnsi="Cambria Math"/>
          <w:i/>
          <w:iCs/>
          <w:color w:val="3A4A5A"/>
        </w:rPr>
        <w:t xml:space="preserve">e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)</w:t>
      </w:r>
      <w:r>
        <w:rPr>
          <w:rFonts w:ascii="Times New Roman" w:cs="Times New Roman" w:eastAsia="SimSun" w:hAnsi="Times New Roman"/>
          <w:color w:val="3A4A5A"/>
        </w:rPr>
        <w:t xml:space="preserve"> 是否要求相等而非包含）须从 [lotito2026directed] 正文逐字转录后再定稿。本节所述层级来自其摘要与公开描述，方向正确，但边界条件尚未逐字核对。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2. 三条必须写进正文的性质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性质 1（退化）：无向极限下精确回收顶刊定义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令 </w:t>
      </w:r>
      <w:r>
        <w:rPr>
          <w:rFonts w:ascii="Cambria Math" w:eastAsia="SimSun" w:hAnsi="Cambria Math"/>
          <w:i/>
          <w:iCs/>
        </w:rPr>
        <w:t xml:space="preserve">bar</w:t>
      </w:r>
      <w:r>
        <w:rPr>
          <w:rFonts w:ascii="Cambria Math" w:eastAsia="SimSun" w:hAnsi="Cambria Math"/>
          <w:i w:val="false"/>
          <w:iCs w:val="false"/>
        </w:rPr>
        <w:t xml:space="preserve">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)∪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为超边的支撑集。由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)∩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)=∅</w:t>
      </w:r>
      <w:r>
        <w:rPr>
          <w:rFonts w:ascii="Times New Roman" w:cs="Times New Roman" w:eastAsia="SimSun" w:hAnsi="Times New Roman"/>
        </w:rPr>
        <w:t xml:space="preserve">，</w:t>
      </w:r>
    </w:p>
    <w:p>
      <w:pPr>
        <w:spacing w:after="180" w:before="180" w:line="300"/>
        <w:jc w:val="center"/>
      </w:pP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|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bar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∩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bar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|=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HT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HH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因此通道求和后的张量</w:t>
      </w:r>
      <w:r>
        <w:rPr>
          <w:rFonts w:ascii="Times New Roman" w:cs="Times New Roman" w:eastAsia="SimSun" w:hAnsi="Times New Roman"/>
          <w:b/>
          <w:bCs/>
        </w:rPr>
        <w:t xml:space="preserve">逐超边对地</w:t>
      </w:r>
      <w:r>
        <w:rPr>
          <w:rFonts w:ascii="Times New Roman" w:cs="Times New Roman" w:eastAsia="SimSun" w:hAnsi="Times New Roman"/>
        </w:rPr>
        <w:t xml:space="preserve">等于 [malizia2025overlap, lamataotin2025matrix] 的无向超边重叠。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这条性质是 I.2 中"α 是 refinement 而非另起炉灶"这一增量声明的全部依据。</w:t>
      </w:r>
      <w:r>
        <w:rPr>
          <w:rFonts w:ascii="Times New Roman" w:cs="Times New Roman" w:eastAsia="SimSun" w:hAnsi="Times New Roman"/>
          <w:color w:val="3A4A5A"/>
        </w:rPr>
        <w:t xml:space="preserve"> 没有它，审稿人有权认为我们换了个定义使自己的结论无法与已有文献对照。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性质 2（宇称）：方向对称性破缺的必要条件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设结构系综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 生成随机有向超图，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 为 SIR 终态爆发规模。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命题.</w:t>
      </w:r>
      <w:r>
        <w:rPr>
          <w:rFonts w:ascii="Times New Roman" w:cs="Times New Roman" w:eastAsia="SimSun" w:hAnsi="Times New Roman"/>
        </w:rPr>
        <w:t xml:space="preserve"> 若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Times New Roman" w:cs="Times New Roman" w:eastAsia="SimSun" w:hAnsi="Times New Roman"/>
        </w:rPr>
        <w:t xml:space="preserve"> 在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下不变，即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RH</w:t>
      </w:r>
      <w:r>
        <w:rPr>
          <w:rFonts w:ascii="Cambria Math" w:eastAsia="SimSun" w:hAnsi="Cambria Math"/>
          <w:i w:val="false"/>
          <w:iCs w:val="false"/>
        </w:rPr>
        <w:t xml:space="preserve">]=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，则 </w:t>
      </w:r>
      <w:r>
        <w:rPr>
          <w:rFonts w:ascii="Cambria Math" w:eastAsia="SimSun" w:hAnsi="Cambria Math"/>
          <w:i w:val="false"/>
          <w:iCs w:val="false"/>
        </w:rPr>
        <w:t xml:space="preserve">⟨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P</w:t>
      </w:r>
      <w:r>
        <w:rPr>
          <w:rFonts w:ascii="Times New Roman" w:cs="Times New Roman" w:eastAsia="SimSun" w:hAnsi="Times New Roman"/>
        </w:rPr>
        <w:t xml:space="preserve"> 在方向翻转下不变；因而</w:t>
      </w:r>
      <w:r>
        <w:rPr>
          <w:rFonts w:ascii="Times New Roman" w:cs="Times New Roman" w:eastAsia="SimSun" w:hAnsi="Times New Roman"/>
          <w:b/>
          <w:bCs/>
        </w:rPr>
        <w:t xml:space="preserve">系综层面的方向对称性破缺要求至少一个 </w:t>
      </w:r>
      <w:r>
        <w:rPr>
          <w:rFonts w:ascii="Cambria Math" w:eastAsia="SimSun" w:hAnsi="Cambria Math"/>
          <w:b/>
          <w:bCs/>
          <w:i/>
          <w:iCs/>
        </w:rPr>
        <w:t xml:space="preserve">R</w:t>
      </w:r>
      <w:r>
        <w:rPr>
          <w:rFonts w:ascii="Times New Roman" w:cs="Times New Roman" w:eastAsia="SimSun" w:hAnsi="Times New Roman"/>
          <w:b/>
          <w:bCs/>
        </w:rPr>
        <w:t xml:space="preserve">-奇不变量非零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i/>
          <w:iCs/>
        </w:rPr>
        <w:t xml:space="preserve">证明.</w:t>
      </w:r>
      <w:r>
        <w:rPr>
          <w:rFonts w:ascii="Times New Roman" w:cs="Times New Roman" w:eastAsia="SimSun" w:hAnsi="Times New Roman"/>
        </w:rPr>
        <w:t xml:space="preserve">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是有向超图空间上的可测对合。</w:t>
      </w:r>
      <w:r>
        <w:rPr>
          <w:rFonts w:ascii="Cambria Math" w:eastAsia="SimSun" w:hAnsi="Cambria Math"/>
          <w:i w:val="false"/>
          <w:iCs w:val="false"/>
        </w:rPr>
        <w:t xml:space="preserve">⟨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RP</w:t>
      </w:r>
      <w:r>
        <w:rPr>
          <w:rFonts w:ascii="Cambria Math" w:eastAsia="SimSun" w:hAnsi="Cambria Math"/>
          <w:i w:val="false"/>
          <w:iCs w:val="false"/>
        </w:rPr>
        <w:t xml:space="preserve">=Σ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H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RH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]=Σ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H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[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]=⟨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P</w:t>
      </w:r>
      <w:r>
        <w:rPr>
          <w:rFonts w:ascii="Times New Roman" w:cs="Times New Roman" w:eastAsia="SimSun" w:hAnsi="Times New Roman"/>
        </w:rPr>
        <w:t xml:space="preserve">，第二个等号用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Times New Roman" w:cs="Times New Roman" w:eastAsia="SimSun" w:hAnsi="Times New Roman"/>
        </w:rPr>
        <w:t xml:space="preserve"> 的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-不变性并对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↦</w:t>
      </w:r>
      <w:r>
        <w:rPr>
          <w:rFonts w:ascii="Cambria Math" w:eastAsia="SimSun" w:hAnsi="Cambria Math"/>
          <w:i/>
          <w:iCs/>
        </w:rPr>
        <w:t xml:space="preserve">RH</w:t>
      </w:r>
      <w:r>
        <w:rPr>
          <w:rFonts w:ascii="Times New Roman" w:cs="Times New Roman" w:eastAsia="SimSun" w:hAnsi="Times New Roman"/>
        </w:rPr>
        <w:t xml:space="preserve"> 换元。∎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把系综的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-奇不变量列全，就得到一张</w:t>
      </w:r>
      <w:r>
        <w:rPr>
          <w:rFonts w:ascii="Times New Roman" w:cs="Times New Roman" w:eastAsia="SimSun" w:hAnsi="Times New Roman"/>
          <w:b/>
          <w:bCs/>
        </w:rPr>
        <w:t xml:space="preserve">破缺来源清单</w:t>
      </w:r>
      <w:r>
        <w:rPr>
          <w:rFonts w:ascii="Times New Roman" w:cs="Times New Roman" w:eastAsia="SimSun" w:hAnsi="Times New Roman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b/>
                <w:bCs/>
                <w:i/>
                <w:iCs/>
              </w:rPr>
              <w:t xml:space="preserve">R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-奇不变量</w:t>
            </w:r>
          </w:p>
        </w:tc>
        <w:tc>
          <w:tcPr>
            <w:tcW w:type="dxa" w:w="468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 w:val="false"/>
                <w:iCs w:val="false"/>
              </w:rPr>
              <w:t xml:space="preserve">τ-η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尾集与头集基数不等。注意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⟨ </w:t>
            </w:r>
            <w:r>
              <w:rPr>
                <w:rFonts w:ascii="Cambria Math" w:eastAsia="SimSun" w:hAnsi="Cambria Math"/>
                <w:i/>
                <w:iCs/>
              </w:rPr>
              <w:t xml:space="preserve">k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out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⟩ </w:t>
            </w:r>
            <w:r>
              <w:rPr>
                <w:rFonts w:ascii="Cambria Math" w:eastAsia="SimSun" w:hAnsi="Cambria Math"/>
                <w:i/>
                <w:iCs/>
              </w:rPr>
              <w:t xml:space="preserve">N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=τ| </w:t>
            </w:r>
            <w:r>
              <w:rPr>
                <w:rFonts w:ascii="Cambria Math" w:eastAsia="SimSun" w:hAnsi="Cambria Math"/>
                <w:i/>
                <w:iCs/>
              </w:rPr>
              <w:t xml:space="preserve">E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|</w:t>
            </w:r>
            <w:r>
              <w:rPr>
                <w:rFonts w:ascii="Times New Roman" w:cs="Times New Roman" w:eastAsia="SimSun" w:hAnsi="Times New Roman"/>
              </w:rPr>
              <w:t xml:space="preserve">、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⟨ </w:t>
            </w:r>
            <w:r>
              <w:rPr>
                <w:rFonts w:ascii="Cambria Math" w:eastAsia="SimSun" w:hAnsi="Cambria Math"/>
                <w:i/>
                <w:iCs/>
              </w:rPr>
              <w:t xml:space="preserve">k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in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⟩ </w:t>
            </w:r>
            <w:r>
              <w:rPr>
                <w:rFonts w:ascii="Cambria Math" w:eastAsia="SimSun" w:hAnsi="Cambria Math"/>
                <w:i/>
                <w:iCs/>
              </w:rPr>
              <w:t xml:space="preserve">N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=η| </w:t>
            </w:r>
            <w:r>
              <w:rPr>
                <w:rFonts w:ascii="Cambria Math" w:eastAsia="SimSun" w:hAnsi="Cambria Math"/>
                <w:i/>
                <w:iCs/>
              </w:rPr>
              <w:t xml:space="preserve">E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|</w:t>
            </w:r>
            <w:r>
              <w:rPr>
                <w:rFonts w:ascii="Times New Roman" w:cs="Times New Roman" w:eastAsia="SimSun" w:hAnsi="Times New Roman"/>
              </w:rPr>
              <w:t xml:space="preserve">，故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τ≠η</w:t>
            </w:r>
            <w:r>
              <w:rPr>
                <w:rFonts w:ascii="Times New Roman" w:cs="Times New Roman" w:eastAsia="SimSun" w:hAnsi="Times New Roman"/>
              </w:rPr>
              <w:t xml:space="preserve"> 自动使两个平均度不等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/>
                <w:iCs/>
              </w:rPr>
              <w:t xml:space="preserve">P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(</w:t>
            </w:r>
            <w:r>
              <w:rPr>
                <w:rFonts w:ascii="Cambria Math" w:eastAsia="SimSun" w:hAnsi="Cambria Math"/>
                <w:i/>
                <w:iCs/>
              </w:rPr>
              <w:t xml:space="preserve">k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in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,</w:t>
            </w:r>
            <w:r>
              <w:rPr>
                <w:rFonts w:ascii="Cambria Math" w:eastAsia="SimSun" w:hAnsi="Cambria Math"/>
                <w:i/>
                <w:iCs/>
              </w:rPr>
              <w:t xml:space="preserve">k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out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)-</w:t>
            </w:r>
            <w:r>
              <w:rPr>
                <w:rFonts w:ascii="Cambria Math" w:eastAsia="SimSun" w:hAnsi="Cambria Math"/>
                <w:i/>
                <w:iCs/>
              </w:rPr>
              <w:t xml:space="preserve">P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(</w:t>
            </w:r>
            <w:r>
              <w:rPr>
                <w:rFonts w:ascii="Cambria Math" w:eastAsia="SimSun" w:hAnsi="Cambria Math"/>
                <w:i/>
                <w:iCs/>
              </w:rPr>
              <w:t xml:space="preserve">k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out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,</w:t>
            </w:r>
            <w:r>
              <w:rPr>
                <w:rFonts w:ascii="Cambria Math" w:eastAsia="SimSun" w:hAnsi="Cambria Math"/>
                <w:i/>
                <w:iCs/>
              </w:rPr>
              <w:t xml:space="preserve">k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in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)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联合度分布关于对角线的不对称部分（如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⟨ </w:t>
            </w:r>
            <w:r>
              <w:rPr>
                <w:rFonts w:ascii="Cambria Math" w:eastAsia="SimSun" w:hAnsi="Cambria Math"/>
                <w:i/>
                <w:iCs/>
              </w:rPr>
              <w:t xml:space="preserve">k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in</w:t>
            </w:r>
            <w:r>
              <w:rPr>
                <w:rFonts w:ascii="Cambria Math" w:eastAsia="SimSun" w:hAnsi="Cambria Math"/>
                <w:i w:val="false"/>
                <w:iCs w:val="false"/>
                <w:vertAlign w:val="superscript"/>
              </w:rPr>
              <w:t xml:space="preserve">2</w:t>
            </w:r>
            <w:r>
              <w:rPr>
                <w:rFonts w:ascii="Cambria Math" w:eastAsia="SimSun" w:hAnsi="Cambria Math"/>
                <w:i/>
                <w:iCs/>
              </w:rPr>
              <w:t xml:space="preserve">k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out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⟩-⟨ </w:t>
            </w:r>
            <w:r>
              <w:rPr>
                <w:rFonts w:ascii="Cambria Math" w:eastAsia="SimSun" w:hAnsi="Cambria Math"/>
                <w:i/>
                <w:iCs/>
              </w:rPr>
              <w:t xml:space="preserve">k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in</w:t>
            </w:r>
            <w:r>
              <w:rPr>
                <w:rFonts w:ascii="Cambria Math" w:eastAsia="SimSun" w:hAnsi="Cambria Math"/>
                <w:i/>
                <w:iCs/>
              </w:rPr>
              <w:t xml:space="preserve">k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out</w:t>
            </w:r>
            <w:r>
              <w:rPr>
                <w:rFonts w:ascii="Cambria Math" w:eastAsia="SimSun" w:hAnsi="Cambria Math"/>
                <w:i w:val="false"/>
                <w:iCs w:val="false"/>
                <w:vertAlign w:val="superscript"/>
              </w:rPr>
              <w:t xml:space="preserve">2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⟩</w:t>
            </w:r>
            <w:r>
              <w:rPr>
                <w:rFonts w:ascii="Times New Roman" w:cs="Times New Roman" w:eastAsia="SimSun" w:hAnsi="Times New Roman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 w:val="false"/>
                <w:iCs w:val="false"/>
              </w:rPr>
              <w:t xml:space="preserve">Δα=1/2(α</w:t>
            </w:r>
            <w:r>
              <w:rPr>
                <w:rFonts w:ascii="Cambria Math" w:eastAsia="SimSun" w:hAnsi="Cambria Math"/>
                <w:i w:val="false"/>
                <w:iCs w:val="false"/>
                <w:vertAlign w:val="superscript"/>
              </w:rPr>
              <w:t xml:space="preserve">TT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-α</w:t>
            </w:r>
            <w:r>
              <w:rPr>
                <w:rFonts w:ascii="Cambria Math" w:eastAsia="SimSun" w:hAnsi="Cambria Math"/>
                <w:i w:val="false"/>
                <w:iCs w:val="false"/>
                <w:vertAlign w:val="superscript"/>
              </w:rPr>
              <w:t xml:space="preserve">HH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)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共发重叠与共收重叠之差</w:t>
            </w:r>
          </w:p>
        </w:tc>
      </w:tr>
    </w:tbl>
    <w:p>
      <w:pPr>
        <w:spacing w:after="160"/>
      </w:pP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一个立即可用的推论：</w:t>
      </w:r>
      <w:r>
        <w:rPr>
          <w:rFonts w:ascii="Cambria Math" w:eastAsia="SimSun" w:hAnsi="Cambria Math"/>
          <w:b/>
          <w:bCs/>
          <w:i/>
          <w:iCs/>
        </w:rPr>
        <w:t xml:space="preserve">r</w:t>
      </w:r>
      <w:r>
        <w:rPr>
          <w:rFonts w:ascii="Cambria Math" w:eastAsia="SimSun" w:hAnsi="Cambria Math"/>
          <w:b/>
          <w:bCs/>
          <w:i w:val="false"/>
          <w:iCs w:val="false"/>
          <w:vertAlign w:val="subscript"/>
        </w:rPr>
        <w:t xml:space="preserve">io</w:t>
      </w:r>
      <w:r>
        <w:rPr>
          <w:rFonts w:ascii="Times New Roman" w:cs="Times New Roman" w:eastAsia="SimSun" w:hAnsi="Times New Roman"/>
          <w:b/>
          <w:bCs/>
        </w:rPr>
        <w:t xml:space="preserve"> 是 </w:t>
      </w:r>
      <w:r>
        <w:rPr>
          <w:rFonts w:ascii="Cambria Math" w:eastAsia="SimSun" w:hAnsi="Cambria Math"/>
          <w:b/>
          <w:bCs/>
          <w:i/>
          <w:iCs/>
        </w:rPr>
        <w:t xml:space="preserve">R</w:t>
      </w:r>
      <w:r>
        <w:rPr>
          <w:rFonts w:ascii="Times New Roman" w:cs="Times New Roman" w:eastAsia="SimSun" w:hAnsi="Times New Roman"/>
          <w:b/>
          <w:bCs/>
        </w:rPr>
        <w:t xml:space="preserve">-偶的，因此它本身不能产生方向对称性破缺。</w:t>
      </w:r>
      <w:r>
        <w:rPr>
          <w:rFonts w:ascii="Times New Roman" w:cs="Times New Roman" w:eastAsia="SimSun" w:hAnsi="Times New Roman"/>
        </w:rPr>
        <w:t xml:space="preserve"> 理由：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把每个节点的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互换，而 Pearson 相关系数对两个变量对称，故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RH</w:t>
      </w:r>
      <w:r>
        <w:rPr>
          <w:rFonts w:ascii="Cambria Math" w:eastAsia="SimSun" w:hAnsi="Cambria Math"/>
          <w:i w:val="false"/>
          <w:iCs w:val="false"/>
        </w:rPr>
        <w:t xml:space="preserve">)=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io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这个推论直接改写大纲 V.5 与 C4 的做法：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在 </w:t>
      </w:r>
      <w:r>
        <w:rPr>
          <w:rFonts w:ascii="Cambria Math" w:eastAsia="SimSun" w:hAnsi="Cambria Math"/>
          <w:b/>
          <w:bCs/>
          <w:i w:val="false"/>
          <w:iCs w:val="false"/>
          <w:color w:val="3A4A5A"/>
        </w:rPr>
        <w:t xml:space="preserve">τ=η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、</w:t>
      </w:r>
      <w:r>
        <w:rPr>
          <w:rFonts w:ascii="Cambria Math" w:eastAsia="SimSun" w:hAnsi="Cambria Math"/>
          <w:b/>
          <w:bCs/>
          <w:i/>
          <w:iCs/>
          <w:color w:val="3A4A5A"/>
        </w:rPr>
        <w:t xml:space="preserve">P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 关于对角线对称的设定下扫描 </w:t>
      </w:r>
      <w:r>
        <w:rPr>
          <w:rFonts w:ascii="Cambria Math" w:eastAsia="SimSun" w:hAnsi="Cambria Math"/>
          <w:b/>
          <w:bCs/>
          <w:i/>
          <w:iCs/>
          <w:color w:val="3A4A5A"/>
        </w:rPr>
        <w:t xml:space="preserve">r</w:t>
      </w:r>
      <w:r>
        <w:rPr>
          <w:rFonts w:ascii="Cambria Math" w:eastAsia="SimSun" w:hAnsi="Cambria Math"/>
          <w:b/>
          <w:bCs/>
          <w:i w:val="false"/>
          <w:iCs w:val="false"/>
          <w:color w:val="3A4A5A"/>
          <w:vertAlign w:val="subscript"/>
        </w:rPr>
        <w:t xml:space="preserve">io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，系综平均的爆发规模必然对称</w:t>
      </w:r>
      <w:r>
        <w:rPr>
          <w:rFonts w:ascii="Times New Roman" w:cs="Times New Roman" w:eastAsia="SimSun" w:hAnsi="Times New Roman"/>
          <w:color w:val="3A4A5A"/>
        </w:rPr>
        <w:t xml:space="preserve">，观测到的任何差异只是有限尺寸涨落。破缺实验必须显式打开一个 </w:t>
      </w:r>
      <w:r>
        <w:rPr>
          <w:rFonts w:ascii="Cambria Math" w:eastAsia="SimSun" w:hAnsi="Cambria Math"/>
          <w:i/>
          <w:iCs/>
          <w:color w:val="3A4A5A"/>
        </w:rPr>
        <w:t xml:space="preserve">R</w:t>
      </w:r>
      <w:r>
        <w:rPr>
          <w:rFonts w:ascii="Times New Roman" w:cs="Times New Roman" w:eastAsia="SimSun" w:hAnsi="Times New Roman"/>
          <w:color w:val="3A4A5A"/>
        </w:rPr>
        <w:t xml:space="preserve">-奇量——最干净的做法是固定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τ=η</w:t>
      </w:r>
      <w:r>
        <w:rPr>
          <w:rFonts w:ascii="Times New Roman" w:cs="Times New Roman" w:eastAsia="SimSun" w:hAnsi="Times New Roman"/>
          <w:color w:val="3A4A5A"/>
        </w:rPr>
        <w:t xml:space="preserve"> 与 </w:t>
      </w:r>
      <w:r>
        <w:rPr>
          <w:rFonts w:ascii="Cambria Math" w:eastAsia="SimSun" w:hAnsi="Cambria Math"/>
          <w:i/>
          <w:iCs/>
          <w:color w:val="3A4A5A"/>
        </w:rPr>
        <w:t xml:space="preserve">P</w:t>
      </w:r>
      <w:r>
        <w:rPr>
          <w:rFonts w:ascii="Times New Roman" w:cs="Times New Roman" w:eastAsia="SimSun" w:hAnsi="Times New Roman"/>
          <w:color w:val="3A4A5A"/>
        </w:rPr>
        <w:t xml:space="preserve"> 的对称性，只扫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Δα</w:t>
      </w:r>
      <w:r>
        <w:rPr>
          <w:rFonts w:ascii="Times New Roman" w:cs="Times New Roman" w:eastAsia="SimSun" w:hAnsi="Times New Roman"/>
          <w:color w:val="3A4A5A"/>
        </w:rPr>
        <w:t xml:space="preserve">，从而把破缺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单独归因</w:t>
      </w:r>
      <w:r>
        <w:rPr>
          <w:rFonts w:ascii="Times New Roman" w:cs="Times New Roman" w:eastAsia="SimSun" w:hAnsi="Times New Roman"/>
          <w:color w:val="3A4A5A"/>
        </w:rPr>
        <w:t xml:space="preserve">到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Δα</w:t>
      </w:r>
      <w:r>
        <w:rPr>
          <w:rFonts w:ascii="Times New Roman" w:cs="Times New Roman" w:eastAsia="SimSun" w:hAnsi="Times New Roman"/>
          <w:color w:val="3A4A5A"/>
        </w:rPr>
        <w:t xml:space="preserve">。这把大纲里"严格证明为拉伸目标"的部分变成了一个可证的必要条件加一个干净的数值设计。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性质 3（可调性）：为什么必须条件化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求和规则.</w:t>
      </w:r>
      <w:r>
        <w:rPr>
          <w:rFonts w:ascii="Times New Roman" w:cs="Times New Roman" w:eastAsia="SimSun" w:hAnsi="Times New Roman"/>
        </w:rPr>
        <w:t xml:space="preserve"> 对固定的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，把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对所有 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Cambria Math" w:eastAsia="SimSun" w:hAnsi="Cambria Math"/>
          <w:i w:val="false"/>
          <w:iCs w:val="false"/>
        </w:rPr>
        <w:t xml:space="preserve">≠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求和，按共享节点计数得</w:t>
      </w:r>
    </w:p>
    <w:p>
      <w:pPr>
        <w:spacing w:after="180" w:before="180" w:line="300"/>
        <w:jc w:val="center"/>
      </w:pP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f≠ e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v∈ T(e)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)-1),   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f≠ e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HH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v∈ H(e)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)-1)</w:t>
      </w:r>
    </w:p>
    <w:p>
      <w:pPr>
        <w:spacing w:after="180" w:before="180" w:line="300"/>
        <w:jc w:val="center"/>
      </w:pP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f≠ e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HT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v∈ H(e)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),   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f≠ e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TH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v∈ T(e)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v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右端</w:t>
      </w:r>
      <w:r>
        <w:rPr>
          <w:rFonts w:ascii="Times New Roman" w:cs="Times New Roman" w:eastAsia="SimSun" w:hAnsi="Times New Roman"/>
          <w:b/>
          <w:bCs/>
        </w:rPr>
        <w:t xml:space="preserve">只依赖度序列</w:t>
      </w:r>
      <w:r>
        <w:rPr>
          <w:rFonts w:ascii="Times New Roman" w:cs="Times New Roman" w:eastAsia="SimSun" w:hAnsi="Times New Roman"/>
        </w:rPr>
        <w:t xml:space="preserve">。所以：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在严格保度的约束下，四个通道的重叠总量是常数，不可调。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这是一条硬约束，而大纲 V.4（"在保度前提下调节 α"）默认了 α 可调却从未验证。若把 α 定义为无条件均值 </w:t>
      </w:r>
      <w:r>
        <w:rPr>
          <w:rFonts w:ascii="Cambria Math" w:eastAsia="SimSun" w:hAnsi="Cambria Math"/>
          <w:i w:val="false"/>
          <w:iCs w:val="false"/>
        </w:rPr>
        <w:t xml:space="preserve">⟨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，则它正比于上述固定总量除以超边对数，</w:t>
      </w:r>
      <w:r>
        <w:rPr>
          <w:rFonts w:ascii="Times New Roman" w:cs="Times New Roman" w:eastAsia="SimSun" w:hAnsi="Times New Roman"/>
          <w:b/>
          <w:bCs/>
        </w:rPr>
        <w:t xml:space="preserve">恒为常数，扫描无从谈起</w:t>
      </w:r>
      <w:r>
        <w:rPr>
          <w:rFonts w:ascii="Times New Roman" w:cs="Times New Roman" w:eastAsia="SimSun" w:hAnsi="Times New Roman"/>
        </w:rPr>
        <w:t xml:space="preserve">——工具 2 会在实现阶段撞上这堵墙。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条件化解决了这个问题：固定总量下，仍可自由改变重叠的</w:t>
      </w:r>
      <w:r>
        <w:rPr>
          <w:rFonts w:ascii="Times New Roman" w:cs="Times New Roman" w:eastAsia="SimSun" w:hAnsi="Times New Roman"/>
          <w:b/>
          <w:bCs/>
        </w:rPr>
        <w:t xml:space="preserve">堆积方式</w:t>
      </w:r>
      <w:r>
        <w:rPr>
          <w:rFonts w:ascii="Times New Roman" w:cs="Times New Roman" w:eastAsia="SimSun" w:hAnsi="Times New Roman"/>
        </w:rPr>
        <w:t xml:space="preserve">——是让少数超边对深度共享，还是让共享摊薄到大量超边对上。形式化地，记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</w:rPr>
        <w:t xml:space="preserve">=#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Cambria Math" w:eastAsia="SimSun" w:hAnsi="Cambria Math"/>
          <w:i w:val="false"/>
          <w:iCs w:val="false"/>
        </w:rPr>
        <w:t xml:space="preserve">):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</w:rPr>
        <w:t xml:space="preserve">≥1</w:t>
      </w:r>
      <w:r>
        <w:rPr>
          <w:rFonts w:ascii="Times New Roman" w:cs="Times New Roman" w:eastAsia="SimSun" w:hAnsi="Times New Roman"/>
        </w:rPr>
        <w:t xml:space="preserve"> 为发生重叠的对数，则</w:t>
      </w:r>
    </w:p>
    <w:p>
      <w:pPr>
        <w:spacing w:after="180" w:before="180" w:line="300"/>
        <w:jc w:val="center"/>
      </w:pP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∝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(固定总量)/(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调 α 等价于调 </w:t>
      </w:r>
      <w:r>
        <w:rPr>
          <w:rFonts w:ascii="Cambria Math" w:eastAsia="SimSun" w:hAnsi="Cambria Math"/>
          <w:b/>
          <w:bCs/>
          <w:i/>
          <w:iCs/>
        </w:rPr>
        <w:t xml:space="preserve">m</w:t>
      </w:r>
      <w:r>
        <w:rPr>
          <w:rFonts w:ascii="Cambria Math" w:eastAsia="SimSun" w:hAnsi="Cambria Math"/>
          <w:b/>
          <w:bCs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，而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在保度纤维内确实可变。这同时给出扫描的物理图像与实现路径：</w:t>
      </w:r>
      <w:r>
        <w:rPr>
          <w:rFonts w:ascii="Times New Roman" w:cs="Times New Roman" w:eastAsia="SimSun" w:hAnsi="Times New Roman"/>
          <w:i/>
          <w:iCs/>
        </w:rPr>
        <w:t xml:space="preserve">降低</w:t>
      </w:r>
      <w:r>
        <w:rPr>
          <w:rFonts w:ascii="Times New Roman" w:cs="Times New Roman" w:eastAsia="SimSun" w:hAnsi="Times New Roman"/>
        </w:rPr>
        <w:t xml:space="preserve"> α = 把重叠摊开到更多超边对；</w:t>
      </w:r>
      <w:r>
        <w:rPr>
          <w:rFonts w:ascii="Times New Roman" w:cs="Times New Roman" w:eastAsia="SimSun" w:hAnsi="Times New Roman"/>
          <w:i/>
          <w:iCs/>
        </w:rPr>
        <w:t xml:space="preserve">提高</w:t>
      </w:r>
      <w:r>
        <w:rPr>
          <w:rFonts w:ascii="Times New Roman" w:cs="Times New Roman" w:eastAsia="SimSun" w:hAnsi="Times New Roman"/>
        </w:rPr>
        <w:t xml:space="preserve"> α = 把重叠集中到更少的对上。这与 Malizia 等"低阶内重叠 → 爆炸式转变"的结论在方向上可直接对照 [malizia2025overlap]。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3. 解析入口（风险 2.2）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重叠破坏局部树状假设，节点级 PGF 因而不闭合。可行路径是把自洽方程从</w:t>
      </w:r>
      <w:r>
        <w:rPr>
          <w:rFonts w:ascii="Times New Roman" w:cs="Times New Roman" w:eastAsia="SimSun" w:hAnsi="Times New Roman"/>
          <w:b/>
          <w:bCs/>
        </w:rPr>
        <w:t xml:space="preserve">节点级抬到超边级</w:t>
      </w:r>
      <w:r>
        <w:rPr>
          <w:rFonts w:ascii="Times New Roman" w:cs="Times New Roman" w:eastAsia="SimSun" w:hAnsi="Times New Roman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群体级房室闭合。</w:t>
      </w:r>
      <w:r>
        <w:rPr>
          <w:rFonts w:ascii="Times New Roman" w:cs="Times New Roman" w:eastAsia="SimSun" w:hAnsi="Times New Roman"/>
        </w:rPr>
        <w:t xml:space="preserve"> Malizia 等的 group-based compartmental modeling（GBCM）正是为"跨阶相关"设计的均场框架，能解析地分离各阶贡献 [malizia2025gbcm]。把它有向化：状态变量取"超边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尚未被激活"的概率，转移项按 §1.1 的四个通道分列。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四通道转移算子。</w:t>
      </w:r>
      <w:r>
        <w:rPr>
          <w:rFonts w:ascii="Times New Roman" w:cs="Times New Roman" w:eastAsia="SimSun" w:hAnsi="Times New Roman"/>
        </w:rPr>
        <w:t xml:space="preserve"> 超边级自洽方程的线性化给出分块转移算子</w:t>
      </w:r>
    </w:p>
    <w:p>
      <w:pPr>
        <w:spacing w:after="180" w:before="180" w:line="30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TT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,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TH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;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HT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,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HH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], 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的权重由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与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φ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给出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爆发阈值即 </w:t>
      </w:r>
      <w:r>
        <w:rPr>
          <w:rFonts w:ascii="Cambria Math" w:eastAsia="SimSun" w:hAnsi="Cambria Math"/>
          <w:i w:val="false"/>
          <w:iCs w:val="false"/>
        </w:rPr>
        <w:t xml:space="preserve">ρ(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)=1</w:t>
      </w:r>
      <w:r>
        <w:rPr>
          <w:rFonts w:ascii="Times New Roman" w:cs="Times New Roman" w:eastAsia="SimSun" w:hAnsi="Times New Roman"/>
        </w:rPr>
        <w:t xml:space="preserve">（谱半径）。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 于是</w:t>
      </w:r>
      <w:r>
        <w:rPr>
          <w:rFonts w:ascii="Times New Roman" w:cs="Times New Roman" w:eastAsia="SimSun" w:hAnsi="Times New Roman"/>
          <w:b/>
          <w:bCs/>
        </w:rPr>
        <w:t xml:space="preserve">显式</w:t>
      </w:r>
      <w:r>
        <w:rPr>
          <w:rFonts w:ascii="Times New Roman" w:cs="Times New Roman" w:eastAsia="SimSun" w:hAnsi="Times New Roman"/>
        </w:rPr>
        <w:t xml:space="preserve">进入阈值条件，风险 2.2 关闭。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宇称的算子表述.</w:t>
      </w:r>
      <w:r>
        <w:rPr>
          <w:rFonts w:ascii="Times New Roman" w:cs="Times New Roman" w:eastAsia="SimSun" w:hAnsi="Times New Roman"/>
        </w:rPr>
        <w:t xml:space="preserve">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在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Times New Roman" w:cs="Times New Roman" w:eastAsia="SimSun" w:hAnsi="Times New Roman"/>
        </w:rPr>
        <w:t xml:space="preserve"> 上的作用是反对角共轭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↦ </w:t>
      </w:r>
      <w:r>
        <w:rPr>
          <w:rFonts w:ascii="Cambria Math" w:eastAsia="SimSun" w:hAnsi="Cambria Math"/>
          <w:i/>
          <w:iCs/>
        </w:rPr>
        <w:t xml:space="preserve">JM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 ⊤</w:t>
      </w:r>
      <w:r>
        <w:rPr>
          <w:rFonts w:ascii="Cambria Math" w:eastAsia="SimSun" w:hAnsi="Cambria Math"/>
          <w:i/>
          <w:iCs/>
        </w:rPr>
        <w:t xml:space="preserve">J</w:t>
      </w:r>
      <w:r>
        <w:rPr>
          <w:rFonts w:ascii="Times New Roman" w:cs="Times New Roman" w:eastAsia="SimSun" w:hAnsi="Times New Roman"/>
        </w:rPr>
        <w:t xml:space="preserve">（</w:t>
      </w:r>
      <w:r>
        <w:rPr>
          <w:rFonts w:ascii="Cambria Math" w:eastAsia="SimSun" w:hAnsi="Cambria Math"/>
          <w:i/>
          <w:iCs/>
        </w:rPr>
        <w:t xml:space="preserve">J</w:t>
      </w:r>
      <w:r>
        <w:rPr>
          <w:rFonts w:ascii="Times New Roman" w:cs="Times New Roman" w:eastAsia="SimSun" w:hAnsi="Times New Roman"/>
        </w:rPr>
        <w:t xml:space="preserve"> 为通道交换）。</w:t>
      </w:r>
      <w:r>
        <w:rPr>
          <w:rFonts w:ascii="Cambria Math" w:eastAsia="SimSun" w:hAnsi="Cambria Math"/>
          <w:i w:val="false"/>
          <w:iCs w:val="false"/>
        </w:rPr>
        <w:t xml:space="preserve">Δα=0</w:t>
      </w:r>
      <w:r>
        <w:rPr>
          <w:rFonts w:ascii="Times New Roman" w:cs="Times New Roman" w:eastAsia="SimSun" w:hAnsi="Times New Roman"/>
        </w:rPr>
        <w:t xml:space="preserve"> 时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Times New Roman" w:cs="Times New Roman" w:eastAsia="SimSun" w:hAnsi="Times New Roman"/>
        </w:rPr>
        <w:t xml:space="preserve"> 在该共轭下不变，谱不变，阈值对称——与性质 2 一致。这也正是附录 D"张量后向算子"所需的算子语言。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诚实标注：</w:t>
      </w:r>
      <w:r>
        <w:rPr>
          <w:rFonts w:ascii="Times New Roman" w:cs="Times New Roman" w:eastAsia="SimSun" w:hAnsi="Times New Roman"/>
        </w:rPr>
        <w:t xml:space="preserve"> 第 2 步中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的权重需要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之外的信息（重叠对的度分布），因此严格来说 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 是</w:t>
      </w:r>
      <w:r>
        <w:rPr>
          <w:rFonts w:ascii="Times New Roman" w:cs="Times New Roman" w:eastAsia="SimSun" w:hAnsi="Times New Roman"/>
          <w:b/>
          <w:bCs/>
        </w:rPr>
        <w:t xml:space="preserve">闭合的一阶控制量</w:t>
      </w:r>
      <w:r>
        <w:rPr>
          <w:rFonts w:ascii="Times New Roman" w:cs="Times New Roman" w:eastAsia="SimSun" w:hAnsi="Times New Roman"/>
        </w:rPr>
        <w:t xml:space="preserve">而非完备描述；GBCM 在无向情形也是这样的近似 [malizia2025gbcm]。正文应写成"至一阶闭合"，不要写成精确。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4. 对下游各节的影响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位置</w:t>
            </w:r>
          </w:p>
        </w:tc>
        <w:tc>
          <w:tcPr>
            <w:tcW w:type="dxa" w:w="468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需要的改动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II.2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用 §1 替换现有描述；同质阶数下术语从"阶间重叠"改为"有向超边重叠"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V.4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扫描目标从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α</w:t>
            </w:r>
            <w:r>
              <w:rPr>
                <w:rFonts w:ascii="Times New Roman" w:cs="Times New Roman" w:eastAsia="SimSun" w:hAnsi="Times New Roman"/>
              </w:rPr>
              <w:t xml:space="preserve"> 的均值改为条件均值；实现上以 </w:t>
            </w:r>
            <w:r>
              <w:rPr>
                <w:rFonts w:ascii="Cambria Math" w:eastAsia="SimSun" w:hAnsi="Cambria Math"/>
                <w:i/>
                <w:iCs/>
              </w:rPr>
              <w:t xml:space="preserve">m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ab</w:t>
            </w:r>
            <w:r>
              <w:rPr>
                <w:rFonts w:ascii="Times New Roman" w:cs="Times New Roman" w:eastAsia="SimSun" w:hAnsi="Times New Roman"/>
              </w:rPr>
              <w:t xml:space="preserve"> 为调节手柄；必须同时固定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α</w:t>
            </w:r>
            <w:r>
              <w:rPr>
                <w:rFonts w:ascii="Cambria Math" w:eastAsia="SimSun" w:hAnsi="Cambria Math"/>
                <w:i w:val="false"/>
                <w:iCs w:val="false"/>
                <w:vertAlign w:val="superscript"/>
              </w:rPr>
              <w:t xml:space="preserve">∥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V.5 / C4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按性质 2 重新设计：固定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τ=η</w:t>
            </w:r>
            <w:r>
              <w:rPr>
                <w:rFonts w:ascii="Times New Roman" w:cs="Times New Roman" w:eastAsia="SimSun" w:hAnsi="Times New Roman"/>
              </w:rPr>
              <w:t xml:space="preserve"> 与 </w:t>
            </w:r>
            <w:r>
              <w:rPr>
                <w:rFonts w:ascii="Cambria Math" w:eastAsia="SimSun" w:hAnsi="Cambria Math"/>
                <w:i/>
                <w:iCs/>
              </w:rPr>
              <w:t xml:space="preserve">P</w:t>
            </w:r>
            <w:r>
              <w:rPr>
                <w:rFonts w:ascii="Times New Roman" w:cs="Times New Roman" w:eastAsia="SimSun" w:hAnsi="Times New Roman"/>
              </w:rPr>
              <w:t xml:space="preserve"> 的对角对称性，只扫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Δα</w:t>
            </w:r>
            <w:r>
              <w:rPr>
                <w:rFonts w:ascii="Times New Roman" w:cs="Times New Roman" w:eastAsia="SimSun" w:hAnsi="Times New Roman"/>
              </w:rPr>
              <w:t xml:space="preserve">，把破缺单独归因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IV.2–IV.3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阈值条件写成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ρ(</w:t>
            </w:r>
            <w:r>
              <w:rPr>
                <w:rFonts w:ascii="Cambria Math" w:eastAsia="SimSun" w:hAnsi="Cambria Math"/>
                <w:i/>
                <w:iCs/>
              </w:rPr>
              <w:t xml:space="preserve">M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)=1</w:t>
            </w:r>
            <w:r>
              <w:rPr>
                <w:rFonts w:ascii="Times New Roman" w:cs="Times New Roman" w:eastAsia="SimSun" w:hAnsi="Times New Roman"/>
              </w:rPr>
              <w:t xml:space="preserve">，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α</w:t>
            </w:r>
            <w:r>
              <w:rPr>
                <w:rFonts w:ascii="Cambria Math" w:eastAsia="SimSun" w:hAnsi="Cambria Math"/>
                <w:i w:val="false"/>
                <w:iCs w:val="false"/>
                <w:vertAlign w:val="superscript"/>
              </w:rPr>
              <w:t xml:space="preserve">ab</w:t>
            </w:r>
            <w:r>
              <w:rPr>
                <w:rFonts w:ascii="Times New Roman" w:cs="Times New Roman" w:eastAsia="SimSun" w:hAnsi="Times New Roman"/>
              </w:rPr>
              <w:t xml:space="preserve"> 显式出现在 </w:t>
            </w:r>
            <w:r>
              <w:rPr>
                <w:rFonts w:ascii="Cambria Math" w:eastAsia="SimSun" w:hAnsi="Cambria Math"/>
                <w:i/>
                <w:iCs/>
              </w:rPr>
              <w:t xml:space="preserve">M</w:t>
            </w:r>
            <w:r>
              <w:rPr>
                <w:rFonts w:ascii="Times New Roman" w:cs="Times New Roman" w:eastAsia="SimSun" w:hAnsi="Times New Roman"/>
              </w:rPr>
              <w:t xml:space="preserve"> 中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附录 D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后向算子即 §3 的 </w:t>
            </w:r>
            <w:r>
              <w:rPr>
                <w:rFonts w:ascii="Cambria Math" w:eastAsia="SimSun" w:hAnsi="Cambria Math"/>
                <w:i/>
                <w:iCs/>
              </w:rPr>
              <w:t xml:space="preserve">M</w:t>
            </w:r>
            <w:r>
              <w:rPr>
                <w:rFonts w:ascii="Times New Roman" w:cs="Times New Roman" w:eastAsia="SimSun" w:hAnsi="Times New Roman"/>
              </w:rPr>
              <w:t xml:space="preserve">；宇称由反对角共轭给出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I.2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增量声明依据性质 1（退化）与性质 2（宇称），二者都可证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5. 仍需拍板</w:t>
      </w:r>
    </w:p>
    <w:p>
      <w:pPr>
        <w:pStyle w:val="ListParagraph"/>
        <w:numPr>
          <w:ilvl w:val="0"/>
          <w:numId w:val="3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归一化的分母。</w:t>
      </w:r>
      <w:r>
        <w:rPr>
          <w:rFonts w:ascii="Times New Roman" w:cs="Times New Roman" w:eastAsia="SimSun" w:hAnsi="Times New Roman"/>
        </w:rPr>
        <w:t xml:space="preserve"> 上文取 </w:t>
      </w:r>
      <w:r>
        <w:rPr>
          <w:rFonts w:ascii="Cambria Math" w:eastAsia="SimSun" w:hAnsi="Cambria Math"/>
          <w:i/>
          <w:iCs/>
        </w:rPr>
        <w:t xml:space="preserve">min</w:t>
      </w:r>
      <w:r>
        <w:rPr>
          <w:rFonts w:ascii="Cambria Math" w:eastAsia="SimSun" w:hAnsi="Cambria Math"/>
          <w:i w:val="false"/>
          <w:iCs w:val="false"/>
        </w:rPr>
        <w:t xml:space="preserve">(|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)|,|</w:t>
      </w:r>
      <w:r>
        <w:rPr>
          <w:rFonts w:ascii="Cambria Math" w:eastAsia="SimSun" w:hAnsi="Cambria Math"/>
          <w:i/>
          <w:iCs/>
        </w:rPr>
        <w:t xml:space="preserve">B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Cambria Math" w:eastAsia="SimSun" w:hAnsi="Cambria Math"/>
          <w:i w:val="false"/>
          <w:iCs w:val="false"/>
        </w:rPr>
        <w:t xml:space="preserve">)|)</w:t>
      </w:r>
      <w:r>
        <w:rPr>
          <w:rFonts w:ascii="Times New Roman" w:cs="Times New Roman" w:eastAsia="SimSun" w:hAnsi="Times New Roman"/>
        </w:rPr>
        <w:t xml:space="preserve">。同质阶数下这就是 </w:t>
      </w:r>
      <w:r>
        <w:rPr>
          <w:rFonts w:ascii="Cambria Math" w:eastAsia="SimSun" w:hAnsi="Cambria Math"/>
          <w:i w:val="false"/>
          <w:iCs w:val="false"/>
        </w:rPr>
        <w:t xml:space="preserve">τ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η</w:t>
      </w:r>
      <w:r>
        <w:rPr>
          <w:rFonts w:ascii="Times New Roman" w:cs="Times New Roman" w:eastAsia="SimSun" w:hAnsi="Times New Roman"/>
        </w:rPr>
        <w:t xml:space="preserve"> 或 </w:t>
      </w:r>
      <w:r>
        <w:rPr>
          <w:rFonts w:ascii="Cambria Math" w:eastAsia="SimSun" w:hAnsi="Cambria Math"/>
          <w:i/>
          <w:iCs/>
        </w:rPr>
        <w:t xml:space="preserve">min</w:t>
      </w:r>
      <w:r>
        <w:rPr>
          <w:rFonts w:ascii="Cambria Math" w:eastAsia="SimSun" w:hAnsi="Cambria Math"/>
          <w:i w:val="false"/>
          <w:iCs w:val="false"/>
        </w:rPr>
        <w:t xml:space="preserve">(τ,η)</w:t>
      </w:r>
      <w:r>
        <w:rPr>
          <w:rFonts w:ascii="Times New Roman" w:cs="Times New Roman" w:eastAsia="SimSun" w:hAnsi="Times New Roman"/>
        </w:rPr>
        <w:t xml:space="preserve">，无歧义；异质阶数下另有取 </w:t>
      </w:r>
      <w:r>
        <w:rPr>
          <w:rFonts w:ascii="Cambria Math" w:eastAsia="SimSun" w:hAnsi="Cambria Math"/>
          <w:i w:val="false"/>
          <w:iCs w:val="false"/>
        </w:rPr>
        <w:t xml:space="preserve">√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||</w:t>
      </w:r>
      <w:r>
        <w:rPr>
          <w:rFonts w:ascii="Cambria Math" w:eastAsia="SimSun" w:hAnsi="Cambria Math"/>
          <w:i/>
          <w:iCs/>
        </w:rPr>
        <w:t xml:space="preserve">B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Times New Roman" w:cs="Times New Roman" w:eastAsia="SimSun" w:hAnsi="Times New Roman"/>
        </w:rPr>
        <w:t xml:space="preserve">（余弦型）的选项，两者在异质性强时结论可能不同。</w:t>
      </w:r>
      <w:r>
        <w:rPr>
          <w:rFonts w:ascii="Times New Roman" w:cs="Times New Roman" w:eastAsia="SimSun" w:hAnsi="Times New Roman"/>
          <w:b/>
          <w:bCs/>
        </w:rPr>
        <w:t xml:space="preserve">主线沿用 </w:t>
      </w:r>
      <w:r>
        <w:rPr>
          <w:rFonts w:ascii="Cambria Math" w:eastAsia="SimSun" w:hAnsi="Cambria Math"/>
          <w:b/>
          <w:bCs/>
          <w:i/>
          <w:iCs/>
        </w:rPr>
        <w:t xml:space="preserve">min</w:t>
      </w:r>
      <w:r>
        <w:rPr>
          <w:rFonts w:ascii="Times New Roman" w:cs="Times New Roman" w:eastAsia="SimSun" w:hAnsi="Times New Roman"/>
        </w:rPr>
        <w:t xml:space="preserve">，附录做敏感性检查。</w:t>
      </w:r>
    </w:p>
    <w:p>
      <w:pPr>
        <w:pStyle w:val="ListParagraph"/>
        <w:numPr>
          <w:ilvl w:val="0"/>
          <w:numId w:val="3"/>
        </w:numPr>
        <w:spacing w:after="60" w:before="60" w:line="310"/>
      </w:pPr>
      <w:r>
        <w:rPr>
          <w:rFonts w:ascii="Cambria Math" w:eastAsia="SimSun" w:hAnsi="Cambria Math"/>
          <w:b/>
          <w:bCs/>
          <w:i w:val="false"/>
          <w:iCs w:val="false"/>
        </w:rPr>
        <w:t xml:space="preserve">α</w:t>
      </w:r>
      <w:r>
        <w:rPr>
          <w:rFonts w:ascii="Cambria Math" w:eastAsia="SimSun" w:hAnsi="Cambria Math"/>
          <w:b/>
          <w:bCs/>
          <w:i w:val="false"/>
          <w:iCs w:val="false"/>
          <w:vertAlign w:val="superscript"/>
        </w:rPr>
        <w:t xml:space="preserve">⇄</w:t>
      </w:r>
      <w:r>
        <w:rPr>
          <w:rFonts w:ascii="Times New Roman" w:cs="Times New Roman" w:eastAsia="SimSun" w:hAnsi="Times New Roman"/>
          <w:b/>
          <w:bCs/>
        </w:rPr>
        <w:t xml:space="preserve"> 已定：</w:t>
      </w:r>
      <w:r>
        <w:rPr>
          <w:rFonts w:ascii="Times New Roman" w:cs="Times New Roman" w:eastAsia="SimSun" w:hAnsi="Times New Roman"/>
        </w:rPr>
        <w:t xml:space="preserve"> 采用 [lotito2026directed] 的 strong 互惠档（§1.4），其精确边界条件待从原文逐字转录。</w:t>
      </w:r>
    </w:p>
    <w:p>
      <w:pPr>
        <w:pBdr>
          <w:bottom w:val="single" w:color="BBBBBB" w:sz="6" w:space="1"/>
        </w:pBdr>
        <w:spacing w:after="200" w:before="200"/>
      </w:pPr>
    </w:p>
    <w:p>
      <w:pPr>
        <w:pStyle w:val="Heading2"/>
        <w:spacing w:after="160" w:before="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参考文献</w:t>
      </w:r>
    </w:p>
    <w:p>
      <w:pPr>
        <w:spacing w:after="120" w:before="120" w:line="320"/>
      </w:pPr>
      <w:r>
        <w:rPr>
          <w:rFonts w:ascii="Times New Roman" w:cs="Times New Roman" w:eastAsia="SimSun" w:hAnsi="Times New Roman"/>
        </w:rPr>
        <w:t xml:space="preserve">按 BibTeX key 字母序排列，正文中的 [key] 与此处一一对应。全部条目已通过 cite-verify 核验。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[abuissa2026dinghy] </w:t>
      </w:r>
      <w:r>
        <w:rPr>
          <w:rFonts w:ascii="Times New Roman" w:cs="Times New Roman" w:eastAsia="SimSun" w:hAnsi="Times New Roman"/>
          <w:sz w:val="19"/>
          <w:szCs w:val="19"/>
        </w:rPr>
        <w:t xml:space="preserve">Maryam Abuissa, Matteo Riondato, Eli Upfal (2026) DiNgHy: null models for non-degenerate directed hypergraphs. Data Mining and Knowledge Discovery 40.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doi:10.1007/s10618-026-01209-8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[battiston2020]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Battiston, Giulia Cencetti, Iacopo Iacopini, Vito Latora, Maxime Lucas, Alice Patania et al. (2020) Networks beyond pairwise interactions: Structure and dynamics. Physics Reports 874, 1–92.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doi:10.1016/j.physrep.2020.05.004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[battiston2021]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Battiston, Enrico Amico, Alain Barrat, Ginestra Bianconi, Guilherme Ferraz de Arruda, Benedetta Franceschiello et al. (2021) The physics of higher-order interactions in complex systems. Nature Physics 17, 1093–1098.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doi:10.1038/s41567-021-01371-4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[baxter2010bootstrap]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G. J. Baxter, S. N. Dorogovtsev, A. V. Goltsev, J. F. F. Mendes (2010) Bootstrap percolation on complex networks. Physical Review E 82, 011103.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doi:10.1103/PhysRevE.82.011103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[benson2018] </w:t>
      </w:r>
      <w:r>
        <w:rPr>
          <w:rFonts w:ascii="Times New Roman" w:cs="Times New Roman" w:eastAsia="SimSun" w:hAnsi="Times New Roman"/>
          <w:sz w:val="19"/>
          <w:szCs w:val="19"/>
        </w:rPr>
        <w:t xml:space="preserve">Austin R. Benson, Rediet Abebe, Michael T. Schaub, Ali Jadbabaie, Jon Kleinberg (2018) Simplicial closure and higher-order link prediction. Proceedings of the National Academy of Sciences 115, E11221–E11230.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doi:10.1073/pnas.1800683115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[bianconi2024percolation] </w:t>
      </w:r>
      <w:r>
        <w:rPr>
          <w:rFonts w:ascii="Times New Roman" w:cs="Times New Roman" w:eastAsia="SimSun" w:hAnsi="Times New Roman"/>
          <w:sz w:val="19"/>
          <w:szCs w:val="19"/>
        </w:rPr>
        <w:t xml:space="preserve">Ginestra Bianconi, Sergey N. Dorogovtsev (2024) Theory of percolation on hypergraphs. Physical Review E 109, 014306.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doi:10.1103/PhysRevE.109.014306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[boguna2005directed]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Marián Boguñá, M. Ángeles Serrano (2005) Generalized percolation in random directed networks. Physical Review E 72, 016106.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doi:10.1103/PhysRevE.72.016106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[centola2007] </w:t>
      </w:r>
      <w:r>
        <w:rPr>
          <w:rFonts w:ascii="Times New Roman" w:cs="Times New Roman" w:eastAsia="SimSun" w:hAnsi="Times New Roman"/>
          <w:sz w:val="19"/>
          <w:szCs w:val="19"/>
        </w:rPr>
        <w:t xml:space="preserve">Damon Centola, Michael Macy (2007) Complex contagions and the weakness of long ties. American Journal of Sociology 113, 702–734.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doi:10.1086/521848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[chodrow2020]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Philip S. Chodrow (2020) Configuration models of random hypergraphs. Journal of Complex Networks 8, cnaa018.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doi:10.1093/comnet/cnaa018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[contrerasaso2024beyond] </w:t>
      </w:r>
      <w:r>
        <w:rPr>
          <w:rFonts w:ascii="Times New Roman" w:cs="Times New Roman" w:eastAsia="SimSun" w:hAnsi="Times New Roman"/>
          <w:sz w:val="19"/>
          <w:szCs w:val="19"/>
        </w:rPr>
        <w:t xml:space="preserve">Gonzalo Contreras-Aso, Regino Criado, Miguel Romance (2024) Beyond directed hypergraphs: heterogeneous hypergraphs and spectral centralities. Journal of Complex Networks 12.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doi:10.1093/comnet/cnae037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[dearruda2020]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Guilherme Ferraz de Arruda, Giovanni Petri, Yamir Moreno (2020) Social contagion models on hypergraphs. Physical Review Research 2, 023032.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doi:10.1103/PhysRevResearch.2.023032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[dearruda2024review]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Guilherme Ferraz de Arruda, Alberto Aleta, Yamir Moreno (2024) Contagion dynamics on higher-order networks. Nature Reviews Physics 6, 468–482.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doi:10.1038/s42254-024-00733-0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[dorogovtsev2001giant] </w:t>
      </w:r>
      <w:r>
        <w:rPr>
          <w:rFonts w:ascii="Times New Roman" w:cs="Times New Roman" w:eastAsia="SimSun" w:hAnsi="Times New Roman"/>
          <w:sz w:val="19"/>
          <w:szCs w:val="19"/>
        </w:rPr>
        <w:t xml:space="preserve">S. N. Dorogovtsev, J. F. F. Mendes, A. N. Samukhin (2001) Giant strongly connected component of directed networks. Physical Review E 64, 025101.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doi:10.1103/PhysRevE.64.025101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[dorogovtsev2006kcore] </w:t>
      </w:r>
      <w:r>
        <w:rPr>
          <w:rFonts w:ascii="Times New Roman" w:cs="Times New Roman" w:eastAsia="SimSun" w:hAnsi="Times New Roman"/>
          <w:sz w:val="19"/>
          <w:szCs w:val="19"/>
        </w:rPr>
        <w:t xml:space="preserve">S. N. Dorogovtsev, A. V. Goltsev, J. F. F. Mendes (2006) k-core organization of complex networks. Physical Review Letters 96, 040601.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doi:10.1103/PhysRevLett.96.040601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[gallo1993] </w:t>
      </w:r>
      <w:r>
        <w:rPr>
          <w:rFonts w:ascii="Times New Roman" w:cs="Times New Roman" w:eastAsia="SimSun" w:hAnsi="Times New Roman"/>
          <w:sz w:val="19"/>
          <w:szCs w:val="19"/>
        </w:rPr>
        <w:t xml:space="preserve">Giorgio Gallo, Giustino Longo, Stefano Pallottino, Sang Nguyen (1993) Directed hypergraphs and applications. Discrete Applied Mathematics 42, 177–201.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doi:10.1016/0166-218X(93)90045-P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[gallo2024memory] </w:t>
      </w:r>
      <w:r>
        <w:rPr>
          <w:rFonts w:ascii="Times New Roman" w:cs="Times New Roman" w:eastAsia="SimSun" w:hAnsi="Times New Roman"/>
          <w:sz w:val="19"/>
          <w:szCs w:val="19"/>
        </w:rPr>
        <w:t xml:space="preserve">Luca Gallo, Lucas Lacasa, Vito Latora, Federico Battiston (2024) Higher-order correlations reveal complex memory in temporal hypergraphs. Nature Communications 15.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doi:10.1038/s41467-024-48578-6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[gillespie1977] </w:t>
      </w:r>
      <w:r>
        <w:rPr>
          <w:rFonts w:ascii="Times New Roman" w:cs="Times New Roman" w:eastAsia="SimSun" w:hAnsi="Times New Roman"/>
          <w:sz w:val="19"/>
          <w:szCs w:val="19"/>
        </w:rPr>
        <w:t xml:space="preserve">Daniel T. Gillespie (1977) Exact stochastic simulation of coupled chemical reactions. The Journal of Physical Chemistry 81, 2340–2361.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doi:10.1021/j100540a008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[grassberger1983] </w:t>
      </w:r>
      <w:r>
        <w:rPr>
          <w:rFonts w:ascii="Times New Roman" w:cs="Times New Roman" w:eastAsia="SimSun" w:hAnsi="Times New Roman"/>
          <w:sz w:val="19"/>
          <w:szCs w:val="19"/>
        </w:rPr>
        <w:t xml:space="preserve">Peter Grassberger (1983) On the critical behavior of the general epidemic process and dynamical percolation. Mathematical Biosciences 63, 157–172.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doi:10.1016/0025-5564(82)90036-0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[iacopini2019] </w:t>
      </w:r>
      <w:r>
        <w:rPr>
          <w:rFonts w:ascii="Times New Roman" w:cs="Times New Roman" w:eastAsia="SimSun" w:hAnsi="Times New Roman"/>
          <w:sz w:val="19"/>
          <w:szCs w:val="19"/>
        </w:rPr>
        <w:t xml:space="preserve">Iacopo Iacopini, Giovanni Petri, Alain Barrat, Vito Latora (2019) Simplicial models of social contagion. Nature Communications 10, 2485.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doi:10.1038/s41467-019-10431-6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[kenah2007] </w:t>
      </w:r>
      <w:r>
        <w:rPr>
          <w:rFonts w:ascii="Times New Roman" w:cs="Times New Roman" w:eastAsia="SimSun" w:hAnsi="Times New Roman"/>
          <w:sz w:val="19"/>
          <w:szCs w:val="19"/>
        </w:rPr>
        <w:t xml:space="preserve">Eben Kenah, James M. Robins (2007) Second look at the spread of epidemics on networks. Physical Review E 76, 036113.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doi:10.1103/PhysRevE.76.036113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[kim2023reciprocity] </w:t>
      </w:r>
      <w:r>
        <w:rPr>
          <w:rFonts w:ascii="Times New Roman" w:cs="Times New Roman" w:eastAsia="SimSun" w:hAnsi="Times New Roman"/>
          <w:sz w:val="19"/>
          <w:szCs w:val="19"/>
        </w:rPr>
        <w:t xml:space="preserve">Sunwoo Kim, Minyoung Choe, Jaemin Yoo, Kijung Shin (2023) Reciprocity in directed hypergraphs: measures, findings, and generators. Data Mining and Knowledge Discovery.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doi:10.1007/s10618-023-00955-3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[kim2024components] </w:t>
      </w:r>
      <w:r>
        <w:rPr>
          <w:rFonts w:ascii="Times New Roman" w:cs="Times New Roman" w:eastAsia="SimSun" w:hAnsi="Times New Roman"/>
          <w:sz w:val="19"/>
          <w:szCs w:val="19"/>
        </w:rPr>
        <w:t xml:space="preserve">Jung-Ho Kim, K.-I. Goh (2024) Higher-Order Components Dictate Higher-Order Contagion Dynamics in Hypergraphs. Physical Review Letters 132, 087401.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doi:10.1103/PhysRevLett.132.087401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[klamt2009] </w:t>
      </w:r>
      <w:r>
        <w:rPr>
          <w:rFonts w:ascii="Times New Roman" w:cs="Times New Roman" w:eastAsia="SimSun" w:hAnsi="Times New Roman"/>
          <w:sz w:val="19"/>
          <w:szCs w:val="19"/>
        </w:rPr>
        <w:t xml:space="preserve">Steffen Klamt, Utz-Uwe Haus, Fabian Theis (2009) Hypergraphs and cellular networks. PLoS Computational Biology 5, e1000385.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doi:10.1371/journal.pcbi.1000385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[kraakman2026sampling] </w:t>
      </w:r>
      <w:r>
        <w:rPr>
          <w:rFonts w:ascii="Times New Roman" w:cs="Times New Roman" w:eastAsia="SimSun" w:hAnsi="Times New Roman"/>
          <w:sz w:val="19"/>
          <w:szCs w:val="19"/>
        </w:rPr>
        <w:t xml:space="preserve">Yanna J. Kraakman, Clara Stegehuis (2026) Uniformly sampling random directed hypergraphs with fixed degrees. Discrete Mathematics 349, 114961.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doi:10.1016/j.disc.2025.114961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[lamataotin2025matrix] </w:t>
      </w:r>
      <w:r>
        <w:rPr>
          <w:rFonts w:ascii="Times New Roman" w:cs="Times New Roman" w:eastAsia="SimSun" w:hAnsi="Times New Roman"/>
          <w:sz w:val="19"/>
          <w:szCs w:val="19"/>
        </w:rPr>
        <w:t xml:space="preserve">Santiago Lamata-Otín, Federico Malizia, Vito Latora, Mattia Frasca, Jesús Gómez-Gardeñes (2025) Hyperedge overlap drives synchronizability of systems with higher-order interactions. Physical Review E 111, 034302.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doi:10.1103/PhysRevE.111.034302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[landry2020]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Nicholas W. Landry, Juan G. Restrepo (2020) The effect of heterogeneity on hypergraph contagion models. Chaos 30, 103117.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doi:10.1063/5.0020034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[lee2021overlap]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Geon Lee, Minyoung Choe, Kijung Shin (2021) How Do Hyperedges Overlap in Real-World Hypergraphs? - Patterns, Measures, and Generators. Proceedings of the Web Conference 2021.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doi:10.1145/3442381.3450010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[li2024directed]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Juyi Li, Xiaoqun Wu, Jinhu Lü, Ling Lei (2024) Enhancing predictive accuracy in social contagion dynamics via directed hypergraph structures. Communications Physics 7.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doi:10.1038/s42005-024-01614-9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[lotito2026directed]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Quintino Francesco Lotito, Alberto Vendramini, Alberto Montresor, Federico Battiston (2026) The microscale organization of directed hypergraphs. Communications Physics 9.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doi:10.1038/s42005-025-02472-9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[malizia2025gbcm]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Malizia, Andrés Guzmán, Iacopo Iacopini, Istvan Z. Kiss (2025) Disentangling the Role of Heterogeneity and Hyperedge Overlap in Explosive Contagion on Higher-Order Networks. Physical Review Letters.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doi:10.1103/z3d5-94zb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[malizia2025overlap]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Malizia, Santiago Lamata-Otín, Mattia Frasca, Vito Latora, Jesús Gómez-Gardeñes (2025) Hyperedge overlap drives explosive transitions in systems with higher-order interactions. Nature Communications 16.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doi:10.1038/s41467-024-55506-1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[mancastroppa2023] </w:t>
      </w:r>
      <w:r>
        <w:rPr>
          <w:rFonts w:ascii="Times New Roman" w:cs="Times New Roman" w:eastAsia="SimSun" w:hAnsi="Times New Roman"/>
          <w:sz w:val="19"/>
          <w:szCs w:val="19"/>
        </w:rPr>
        <w:t xml:space="preserve">Marco Mancastroppa, Iacopo Iacopini, Giovanni Petri, Alain Barrat (2023) Hyper-cores promote localization and efficient seeding in higher-order processes. Nature Communications 14, 6223.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doi:10.1038/s41467-023-41887-2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[meyers2006directed]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Lauren Ancel Meyers, M. E. J. Newman, Babak Pourbohloul (2006) Predicting epidemics on directed contact networks. Journal of Theoretical Biology 240, 400–418.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doi:10.1016/j.jtbi.2005.10.004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[miller2012ebcm] </w:t>
      </w:r>
      <w:r>
        <w:rPr>
          <w:rFonts w:ascii="Times New Roman" w:cs="Times New Roman" w:eastAsia="SimSun" w:hAnsi="Times New Roman"/>
          <w:sz w:val="19"/>
          <w:szCs w:val="19"/>
        </w:rPr>
        <w:t xml:space="preserve">Joel C. Miller, Anja C. Slim, Erik M. Volz (2012) Edge-based compartmental modelling for infectious disease spread. Journal of the Royal Society Interface 9, 890–906.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doi:10.1098/rsif.2011.0403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[nakajima2022randomizing] </w:t>
      </w:r>
      <w:r>
        <w:rPr>
          <w:rFonts w:ascii="Times New Roman" w:cs="Times New Roman" w:eastAsia="SimSun" w:hAnsi="Times New Roman"/>
          <w:sz w:val="19"/>
          <w:szCs w:val="19"/>
        </w:rPr>
        <w:t xml:space="preserve">Kazuki Nakajima, Kazuyuki Shudo, Naoki Masuda (2022) Randomizing Hypergraphs Preserving Degree Correlation and Local Clustering. IEEE Transactions on Network Science and Engineering 9, 1139–1153.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doi:10.1109/TNSE.2021.3133380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[newman2001random] </w:t>
      </w:r>
      <w:r>
        <w:rPr>
          <w:rFonts w:ascii="Times New Roman" w:cs="Times New Roman" w:eastAsia="SimSun" w:hAnsi="Times New Roman"/>
          <w:sz w:val="19"/>
          <w:szCs w:val="19"/>
        </w:rPr>
        <w:t xml:space="preserve">M. E. J. Newman, S. H. Strogatz, D. J. Watts (2001) Random graphs with arbitrary degree distributions and their applications. Physical Review E 64, 026118.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doi:10.1103/PhysRevE.64.026118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[newman2002assortative] </w:t>
      </w:r>
      <w:r>
        <w:rPr>
          <w:rFonts w:ascii="Times New Roman" w:cs="Times New Roman" w:eastAsia="SimSun" w:hAnsi="Times New Roman"/>
          <w:sz w:val="19"/>
          <w:szCs w:val="19"/>
        </w:rPr>
        <w:t xml:space="preserve">M. E. J. Newman (2002) Assortative mixing in networks. Physical Review Letters 89, 208701.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doi:10.1103/PhysRevLett.89.208701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[newman2002spread] </w:t>
      </w:r>
      <w:r>
        <w:rPr>
          <w:rFonts w:ascii="Times New Roman" w:cs="Times New Roman" w:eastAsia="SimSun" w:hAnsi="Times New Roman"/>
          <w:sz w:val="19"/>
          <w:szCs w:val="19"/>
        </w:rPr>
        <w:t xml:space="preserve">M. E. J. Newman (2002) Spread of epidemic disease on networks. Physical Review E 66, 016128.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doi:10.1103/PhysRevE.66.016128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[pastorsatorras2001] </w:t>
      </w:r>
      <w:r>
        <w:rPr>
          <w:rFonts w:ascii="Times New Roman" w:cs="Times New Roman" w:eastAsia="SimSun" w:hAnsi="Times New Roman"/>
          <w:sz w:val="19"/>
          <w:szCs w:val="19"/>
        </w:rPr>
        <w:t xml:space="preserve">Romualdo Pastor-Satorras, Alessandro Vespignani (2001) Epidemic spreading in scale-free networks. Physical Review Letters 86, 3200–3203.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doi:10.1103/PhysRevLett.86.3200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[pastorsatorras2015] </w:t>
      </w:r>
      <w:r>
        <w:rPr>
          <w:rFonts w:ascii="Times New Roman" w:cs="Times New Roman" w:eastAsia="SimSun" w:hAnsi="Times New Roman"/>
          <w:sz w:val="19"/>
          <w:szCs w:val="19"/>
        </w:rPr>
        <w:t xml:space="preserve">Romualdo Pastor-Satorras, Claudio Castellano, Piet Van Mieghem, Alessandro Vespignani (2015) Epidemic processes in complex networks. Reviews of Modern Physics 87, 925–979.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doi:10.1103/RevModPhys.87.925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[stonge2021prl]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Guillaume St-Onge, Hanlin Sun, Antoine Allard, Laurent Hébert-Dufresne, Ginestra Bianconi (2021) Universal nonlinear infection kernel from heterogeneous exposure on higher-order networks. Physical Review Letters 127, 158301.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doi:10.1103/PhysRevLett.127.158301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[stonge2022]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Guillaume St-Onge, Iacopo Iacopini, Vito Latora, Alain Barrat, Giovanni Petri, Antoine Allard et al. (2022) Influential groups for seeding and sustaining nonlinear contagion in heterogeneous hypergraphs. Communications Physics 5, 25.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doi:10.1038/s42005-021-00788-w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[sun2021multiplex] </w:t>
      </w:r>
      <w:r>
        <w:rPr>
          <w:rFonts w:ascii="Times New Roman" w:cs="Times New Roman" w:eastAsia="SimSun" w:hAnsi="Times New Roman"/>
          <w:sz w:val="19"/>
          <w:szCs w:val="19"/>
        </w:rPr>
        <w:t xml:space="preserve">Hanlin Sun, Ginestra Bianconi (2021) Higher-order percolation processes on multiplex hypergraphs. Physical Review E 104, 034306.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doi:10.1103/PhysRevE.104.034306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[sun2023triadic] </w:t>
      </w:r>
      <w:r>
        <w:rPr>
          <w:rFonts w:ascii="Times New Roman" w:cs="Times New Roman" w:eastAsia="SimSun" w:hAnsi="Times New Roman"/>
          <w:sz w:val="19"/>
          <w:szCs w:val="19"/>
        </w:rPr>
        <w:t xml:space="preserve">Hanlin Sun, Filippo Radicchi, Jürgen Kurths, Ginestra Bianconi (2023) The dynamic nature of percolation on networks with triadic interactions. Nature Communications 14, 1308.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doi:10.1038/s41467-023-37019-5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[vanmieghem2013] </w:t>
      </w:r>
      <w:r>
        <w:rPr>
          <w:rFonts w:ascii="Times New Roman" w:cs="Times New Roman" w:eastAsia="SimSun" w:hAnsi="Times New Roman"/>
          <w:sz w:val="19"/>
          <w:szCs w:val="19"/>
        </w:rPr>
        <w:t xml:space="preserve">P. Van Mieghem, R. van de Bovenkamp (2013) Non-Markovian infection spread dramatically alters the susceptible-infected-susceptible epidemic threshold in networks. Physical Review Letters 110, 108701.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doi:10.1103/PhysRevLett.110.108701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[volz2008] </w:t>
      </w:r>
      <w:r>
        <w:rPr>
          <w:rFonts w:ascii="Times New Roman" w:cs="Times New Roman" w:eastAsia="SimSun" w:hAnsi="Times New Roman"/>
          <w:sz w:val="19"/>
          <w:szCs w:val="19"/>
        </w:rPr>
        <w:t xml:space="preserve">Erik Volz (2008) SIR dynamics in random networks with heterogeneous connectivity. Journal of Mathematical Biology 56, 293–310.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doi:10.1007/s00285-007-0116-4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[watts2002] </w:t>
      </w:r>
      <w:r>
        <w:rPr>
          <w:rFonts w:ascii="Times New Roman" w:cs="Times New Roman" w:eastAsia="SimSun" w:hAnsi="Times New Roman"/>
          <w:sz w:val="19"/>
          <w:szCs w:val="19"/>
        </w:rPr>
        <w:t xml:space="preserve">Duncan J. Watts (2002) A simple model of global cascades on random networks. Proceedings of the National Academy of Sciences 99, 5766–5771.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doi:10.1073/pnas.082090499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[xu2018directionality] </w:t>
      </w:r>
      <w:r>
        <w:rPr>
          <w:rFonts w:ascii="Times New Roman" w:cs="Times New Roman" w:eastAsia="SimSun" w:hAnsi="Times New Roman"/>
          <w:sz w:val="19"/>
          <w:szCs w:val="19"/>
        </w:rPr>
        <w:t xml:space="preserve">Xin-Jian Xu, Jia-Yan Li, Xinchu Fu, Li-Jie Zhang (2018) Impact of directionality and correlation on contagion. Scientific Reports 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doi:10.1038/s41598-018-22508-1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I 部分　引言与定位</dc:title>
  <dc:creator>SIR on Directed Hypergraphs</dc:creator>
  <cp:lastModifiedBy>Un-named</cp:lastModifiedBy>
  <cp:revision>1</cp:revision>
  <dcterms:created xsi:type="dcterms:W3CDTF">2026-08-07T15:44:50.642Z</dcterms:created>
  <dcterms:modified xsi:type="dcterms:W3CDTF">2026-08-07T15:44:50.643Z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