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个尾成员共同驱动——激活时长是各成员感染期之并，闭合变量不能逐成员相乘。以尾集中易感、感染、康复的成员计数为状态，可把"尚未传递"重写为一条带湮灭的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。模型另给出两个与直觉相反的结构结论：均匀单种子下的平均爆发规模几乎不能探测方向对称性破缺，须改用爆发概率与条件爆发规模；方向翻转下的奇宇称是破缺的必要而远非充分条件。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</w:t>
      </w:r>
      <w:r>
        <w:rPr>
          <w:rFonts w:ascii="Times New Roman" w:cs="Times New Roman" w:eastAsia="SimSun" w:hAnsi="Times New Roman"/>
          <w:b/>
          <w:bCs/>
        </w:rPr>
        <w:t xml:space="preserve">有向</w:t>
      </w:r>
      <w:r>
        <w:rPr>
          <w:rFonts w:ascii="Times New Roman" w:cs="Times New Roman" w:eastAsia="SimSun" w:hAnsi="Times New Roman"/>
        </w:rPr>
        <w:t xml:space="preserve">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[10]；方程给出峰值与时间演化——Volz 的低维闭合 [11] 经 Miller 等整理为边基房室模型（EBCM），以"沿一条边尚未传来感染"的概率为核心变量 [12]；二者可相互印证 [13]。方向性作为</w:t>
      </w:r>
      <w:r>
        <w:rPr>
          <w:rFonts w:ascii="Times New Roman" w:cs="Times New Roman" w:eastAsia="SimSun" w:hAnsi="Times New Roman"/>
          <w:b/>
          <w:bCs/>
        </w:rPr>
        <w:t xml:space="preserve">成对</w:t>
      </w:r>
      <w:r>
        <w:rPr>
          <w:rFonts w:ascii="Times New Roman" w:cs="Times New Roman" w:eastAsia="SimSun" w:hAnsi="Times New Roman"/>
        </w:rPr>
        <w:t xml:space="preserve">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35]。动力学一侧则少得多，据我们所知以 Li 等的工作为主：他们在有向超图上建立社会传播模型，发现双稳区间随有向强度减弱而收缩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</w:t>
      </w:r>
      <w:r>
        <w:rPr>
          <w:rFonts w:ascii="Times New Roman" w:cs="Times New Roman" w:eastAsia="SimSun" w:hAnsi="Times New Roman"/>
          <w:b/>
          <w:bCs/>
        </w:rPr>
        <w:t xml:space="preserve">阈值型</w:t>
      </w:r>
      <w:r>
        <w:rPr>
          <w:rFonts w:ascii="Times New Roman" w:cs="Times New Roman" w:eastAsia="SimSun" w:hAnsi="Times New Roman"/>
        </w:rPr>
        <w:t xml:space="preserve">级联中，正的入出度相关在较宽的平均入度范围内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[38]，与本文的 SIR 结果相反。原因在于阈值模型按活跃邻居的比例判定激活，高入度因而抬高激活门槛，而 SIR 中高入度只增加暴露。与精确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[40]，大爆发的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2026-08-09T15:18:08.759Z</dcterms:created>
  <dcterms:modified xsi:type="dcterms:W3CDTF">2026-08-09T15:18:08.759Z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