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[3]。由握手关系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4, 5]。[4]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，[3]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[3]；(40)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[6]。二者并不冲突——阈值模型按活跃邻居的比例判定激活，高入度抬高激活门槛；SIR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[7]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[8]，取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2026-08-09T15:18:09.474Z</dcterms:created>
  <dcterms:modified xsi:type="dcterms:W3CDTF">2026-08-09T15:18:09.474Z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