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工作标题</w:t>
      </w:r>
      <w:r>
        <w:rPr>
          <w:rFonts w:ascii="Times New Roman" w:cs="Times New Roman" w:eastAsia="SimSun" w:hAnsi="Times New Roman"/>
        </w:rPr>
        <w:t xml:space="preserve">（备选）：Compartmental theory of SIR epidemics on multiplex hypergraphs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一句话定位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同一种病经由多条</w:t>
      </w:r>
      <w:r>
        <w:rPr>
          <w:rFonts w:ascii="Times New Roman" w:cs="Times New Roman" w:eastAsia="SimSun" w:hAnsi="Times New Roman"/>
          <w:b/>
          <w:bCs/>
        </w:rPr>
        <w:t xml:space="preserve">群体渠道</w:t>
      </w:r>
      <w:r>
        <w:rPr>
          <w:rFonts w:ascii="Times New Roman" w:cs="Times New Roman" w:eastAsia="SimSun" w:hAnsi="Times New Roman"/>
        </w:rPr>
        <w:t xml:space="preserve">传播，个体在任一渠道被感染即在所有渠道中都是感染态。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已有工作要么把多层做成成对网络，要么把高阶多层只做到渗流或均场；本文给出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超出均场的含时仓室理论</w:t>
      </w:r>
      <w:r>
        <w:rPr>
          <w:rFonts w:ascii="Times New Roman" w:cs="Times New Roman" w:eastAsia="SimSun" w:hAnsi="Times New Roman"/>
        </w:rPr>
        <w:t xml:space="preserve">，并把爆发阈值写成一个层间矩阵的谱半径。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核心口号：</w:t>
      </w:r>
      <w:r>
        <w:rPr>
          <w:rFonts w:ascii="Times New Roman" w:cs="Times New Roman" w:eastAsia="SimSun" w:hAnsi="Times New Roman"/>
          <w:b/>
          <w:bCs/>
        </w:rPr>
        <w:t xml:space="preserve">标量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  <w:b/>
          <w:bCs/>
        </w:rPr>
        <w:t xml:space="preserve"> 变成矩阵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Times New Roman" w:cs="Times New Roman" w:eastAsia="SimSun" w:hAnsi="Times New Roman"/>
          <w:b/>
          <w:bCs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四段，按"缺口—困难—做法—结论"推进，不写路线图段落（内容已按节铺开）。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动机。</w:t>
      </w:r>
      <w:r>
        <w:rPr>
          <w:rFonts w:ascii="Times New Roman" w:cs="Times New Roman" w:eastAsia="SimSun" w:hAnsi="Times New Roman"/>
        </w:rPr>
        <w:t xml:space="preserve"> 群体传染真实存在；而现实中的群体交互分渠道——同事、家庭、通勤、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线上社群各是一层，同一个人同时属于多层。渠道的**规模不同、传染力不同、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激活门槛不同**。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已有工具恰好绕开这个交叉点。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成对多层已解决：SIR 映射到多层键渗流，阈值解析可得，且强烈依赖层间度相关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[2]；多渠道传播的成对版 [7]；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EBCM 也已上过双层 multiplex，但两层都是成对的 [1]。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高阶单层已解决：群体传播的阈值、爆炸相变、重叠效应；精度最高的可解闭合是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群体近似主方程 [4]。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高阶多层只做了两个角落：</w:t>
      </w:r>
      <w:r>
        <w:rPr>
          <w:rFonts w:ascii="Times New Roman" w:cs="Times New Roman" w:eastAsia="SimSun" w:hAnsi="Times New Roman"/>
          <w:b/>
          <w:bCs/>
        </w:rPr>
        <w:t xml:space="preserve">只做渗流不做动力学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[5]；或</w:t>
      </w:r>
      <w:r>
        <w:rPr>
          <w:rFonts w:ascii="Times New Roman" w:cs="Times New Roman" w:eastAsia="SimSun" w:hAnsi="Times New Roman"/>
          <w:b/>
          <w:bCs/>
        </w:rPr>
        <w:t xml:space="preserve">做动力学但层的角色不同且用均场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（信息层＋接触层，微观 Markov 链）[3, 6]。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技术困难。</w:t>
      </w:r>
      <w:r>
        <w:rPr>
          <w:rFonts w:ascii="Times New Roman" w:cs="Times New Roman" w:eastAsia="SimSun" w:hAnsi="Times New Roman"/>
        </w:rPr>
        <w:t xml:space="preserve"> 三重并发要处理：一个节点同时暴露于多层、每层多个群体、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每个群体内多个成员共享一个激活时钟。更麻烦的是</w:t>
      </w:r>
      <w:r>
        <w:rPr>
          <w:rFonts w:ascii="Times New Roman" w:cs="Times New Roman" w:eastAsia="SimSun" w:hAnsi="Times New Roman"/>
          <w:b/>
          <w:bCs/>
        </w:rPr>
        <w:t xml:space="preserve">无向群体的成员互为源与靶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同群成员的状态相关，不能当作独立。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本文做法与结论。</w:t>
      </w:r>
      <w:r>
        <w:rPr>
          <w:rFonts w:ascii="Times New Roman" w:cs="Times New Roman" w:eastAsia="SimSun" w:hAnsi="Times New Roman"/>
        </w:rPr>
        <w:t xml:space="preserve"> 以"群体内的成员计数"为仓室，得到与系统规模无关的闭方程组；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线性化给出多型分支矩阵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时为闭式；层间度相关经非对角元移动阈值；与精确仿真比较，闭合的偏差随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规模趋零而均场不然。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模型与结构量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；层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（异质推广见附录）。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层度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</w:rPr>
        <w:t xml:space="preserve">,…,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(M)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—— 本文的第一个结构输入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握手关系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多元生成函数 </w:t>
      </w:r>
      <w:r>
        <w:rPr>
          <w:rFonts w:ascii="Cambria Math" w:eastAsia="SimSun" w:hAnsi="Cambria Math"/>
          <w:i w:val="false"/>
          <w:iCs w:val="false"/>
        </w:rPr>
        <w:t xml:space="preserve">Ψ(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,…,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)∏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k_a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（这是"一处感染、处处感染"的形式化）。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超边激活，向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传递；感染者以速率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的总风险率为其所有层、所有所属群体贡献之和。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归一时间后控制参数为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；主线取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 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为渠道权重，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为单一标量控制参数。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（简单传播），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在 3.6 与附录处理。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2.3 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两条互相独立、且作用在生成流程不同环节的量（与有向工作中入出度相关与超边重叠的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分工完全同构）：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在一个渠道活跃的人是否也在另一个渠道活跃。由</w:t>
      </w:r>
      <w:r>
        <w:rPr>
          <w:rFonts w:ascii="Times New Roman" w:cs="Times New Roman" w:eastAsia="SimSun" w:hAnsi="Times New Roman"/>
          <w:b/>
          <w:bCs/>
        </w:rPr>
        <w:t xml:space="preserve">联合度序列</w:t>
      </w:r>
      <w:r>
        <w:rPr>
          <w:rFonts w:ascii="Times New Roman" w:cs="Times New Roman" w:eastAsia="SimSun" w:hAnsi="Times New Roman"/>
        </w:rPr>
        <w:t xml:space="preserve">决定，与超边如何连接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无关，只能在构造度序列的阶段调节。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：同一群人是否同时构成两层的群体。定义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在度序列固定后由超边重排调节。需要一个"保联合度的定向重连"工具（第 5 节）。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待确认（本outline的开放项）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在保度约束下的可动范围有多大。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有向工作里这个量的可动范围只有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0.006</w:t>
      </w:r>
      <w:r>
        <w:rPr>
          <w:rFonts w:ascii="Times New Roman" w:cs="Times New Roman" w:eastAsia="SimSun" w:hAnsi="Times New Roman"/>
          <w:color w:val="3A4A5A"/>
        </w:rPr>
        <w:t xml:space="preserve">，小到仿真分辨不出，最后必须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专门做重连工具。这里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必须先测</w:t>
      </w:r>
      <w:r>
        <w:rPr>
          <w:rFonts w:ascii="Times New Roman" w:cs="Times New Roman" w:eastAsia="SimSun" w:hAnsi="Times New Roman"/>
          <w:color w:val="3A4A5A"/>
        </w:rPr>
        <w:t xml:space="preserve">再决定要不要把它当主线结构参数。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2.4 可约性命题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2.1（可约性）.</w:t>
      </w:r>
      <w:r>
        <w:rPr>
          <w:rFonts w:ascii="Times New Roman" w:cs="Times New Roman" w:eastAsia="SimSun" w:hAnsi="Times New Roman"/>
          <w:color w:val="3A4A5A"/>
        </w:rPr>
        <w:t xml:space="preserve"> 若节点状态跨层共享，且各层超边独立地按 2.2 的规则传递，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则该多重超图上的过程与"把各层超边并到一张超图、每条超边带层标签（决定其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）"的单层带型超图上的 SIR 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完全等价</w:t>
      </w:r>
      <w:r>
        <w:rPr>
          <w:rFonts w:ascii="Times New Roman" w:cs="Times New Roman" w:eastAsia="SimSun" w:hAnsi="Times New Roman"/>
          <w:color w:val="3A4A5A"/>
        </w:rPr>
        <w:t xml:space="preserve">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两者的生成元逐项相同。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这条命题必须放在正文显著位置，理由有二：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诚实。</w:t>
      </w:r>
      <w:r>
        <w:rPr>
          <w:rFonts w:ascii="Times New Roman" w:cs="Times New Roman" w:eastAsia="SimSun" w:hAnsi="Times New Roman"/>
        </w:rPr>
        <w:t xml:space="preserve"> 审稿人一定会发现，主动说明比被问出来好。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它把贡献逼清楚。</w:t>
      </w:r>
      <w:r>
        <w:rPr>
          <w:rFonts w:ascii="Times New Roman" w:cs="Times New Roman" w:eastAsia="SimSun" w:hAnsi="Times New Roman"/>
        </w:rPr>
        <w:t xml:space="preserve"> 多层买到的不是新动力学，而是新的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联合层度分布（含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）与层间群体重叠。单层带型超图的位形模型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默认各型度独立；真实多层不独立，而这一项恰好移动阈值。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命题失效的边界</w:t>
      </w:r>
      <w:r>
        <w:rPr>
          <w:rFonts w:ascii="Times New Roman" w:cs="Times New Roman" w:eastAsia="SimSun" w:hAnsi="Times New Roman"/>
        </w:rPr>
        <w:t xml:space="preserve">（引向第 6 节）：若节点把跨层暴露</w:t>
      </w:r>
      <w:r>
        <w:rPr>
          <w:rFonts w:ascii="Times New Roman" w:cs="Times New Roman" w:eastAsia="SimSun" w:hAnsi="Times New Roman"/>
          <w:b/>
          <w:bCs/>
        </w:rPr>
        <w:t xml:space="preserve">合并后再判阈值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而非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，渠道不再独立，命题 2.1 失效。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仓室理论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3.1 仓室层级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明确三个层级，全文的定量比较都在这三者之间进行：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仓室是什么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忽略了什么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按层度分类的节点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群体内相关、邻域相关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(∏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群体近似主方程（主结果）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，逐层；节点按层度分类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群体之间的相关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)+</w:t>
            </w:r>
            <w:r>
              <w:rPr>
                <w:rFonts w:ascii="Times New Roman" w:cs="Times New Roman" w:eastAsia="SimSun" w:hAnsi="Times New Roman"/>
              </w:rPr>
              <w:t xml:space="preserve">节点类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3.2 度均场（基线）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设层度类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 的节点感染概率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的群体激活概率取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系综平均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的成员槽被感染节点占据的比例。给出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用途是对照</w:t>
      </w:r>
      <w:r>
        <w:rPr>
          <w:rFonts w:ascii="Times New Roman" w:cs="Times New Roman" w:eastAsia="SimSun" w:hAnsi="Times New Roman"/>
        </w:rPr>
        <w:t xml:space="preserve">，不是结果。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3.3 群体近似主方程（主结果）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状态。</w:t>
      </w:r>
      <w:r>
        <w:rPr>
          <w:rFonts w:ascii="Times New Roman" w:cs="Times New Roman" w:eastAsia="SimSun" w:hAnsi="Times New Roman"/>
        </w:rPr>
        <w:t xml:space="preserve"> 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的一个群体，以其成员计数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为状态，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为该状态的概率。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转移。</w:t>
      </w:r>
      <w:r>
        <w:rPr>
          <w:rFonts w:ascii="Times New Roman" w:cs="Times New Roman" w:eastAsia="SimSun" w:hAnsi="Times New Roman"/>
        </w:rPr>
        <w:t xml:space="preserve"> 三类：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群体内传染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：速率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—— 这一项是与有向工作最大的差别，见下面的"技术警告"。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群体外传染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：速率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·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为一个成员经由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其他层与其他群体</w:t>
      </w:r>
      <w:r>
        <w:rPr>
          <w:rFonts w:ascii="Times New Roman" w:cs="Times New Roman" w:eastAsia="SimSun" w:hAnsi="Times New Roman"/>
        </w:rPr>
        <w:t xml:space="preserve">被感染的平均风险率，由节点侧方程给出。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康复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：速率 </w:t>
      </w:r>
      <w:r>
        <w:rPr>
          <w:rFonts w:ascii="Cambria Math" w:eastAsia="SimSun" w:hAnsi="Cambria Math"/>
          <w:i w:val="false"/>
          <w:iCs w:val="false"/>
        </w:rPr>
        <w:t xml:space="preserve">μ 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节点侧。</w:t>
      </w:r>
      <w:r>
        <w:rPr>
          <w:rFonts w:ascii="Times New Roman" w:cs="Times New Roman" w:eastAsia="SimSun" w:hAnsi="Times New Roman"/>
        </w:rPr>
        <w:t xml:space="preserve"> 节点按层度类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 分类，其易感概率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k_a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为"某个所属的层-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群体尚未向该节点传递"的概率。总体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,…,Φ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—— </w:t>
      </w:r>
      <w:r>
        <w:rPr>
          <w:rFonts w:ascii="Times New Roman" w:cs="Times New Roman" w:eastAsia="SimSun" w:hAnsi="Times New Roman"/>
          <w:b/>
          <w:bCs/>
        </w:rPr>
        <w:t xml:space="preserve">多元生成函数在此进入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层间相关经由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的交叉项传入动力学，这是本文层间效应的唯一解析通道。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闭合。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的对数导数给出（与有向工作同构）；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为"激活且未传递"的概率。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维数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+2, 2)+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+(节点度类数)</w:t>
      </w:r>
      <w:r>
        <w:rPr>
          <w:rFonts w:ascii="Times New Roman" w:cs="Times New Roman" w:eastAsia="SimSun" w:hAnsi="Times New Roman"/>
        </w:rPr>
        <w:t xml:space="preserve">，与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技术警告（必须写进正文方法一节）。</w:t>
      </w:r>
      <w:r>
        <w:rPr>
          <w:rFonts w:ascii="Times New Roman" w:cs="Times New Roman" w:eastAsia="SimSun" w:hAnsi="Times New Roman"/>
          <w:color w:val="3A4A5A"/>
        </w:rPr>
        <w:t xml:space="preserve"> 有向工作中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∩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=∅</w:t>
      </w:r>
      <w:r>
        <w:rPr>
          <w:rFonts w:ascii="Times New Roman" w:cs="Times New Roman" w:eastAsia="SimSun" w:hAnsi="Times New Roman"/>
          <w:color w:val="3A4A5A"/>
        </w:rPr>
        <w:t xml:space="preserve"> 保证超边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不在尾成员之间传染，因而尾成员相互独立，闭合在树极限下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严格</w:t>
      </w:r>
      <w:r>
        <w:rPr>
          <w:rFonts w:ascii="Times New Roman" w:cs="Times New Roman" w:eastAsia="SimSun" w:hAnsi="Times New Roman"/>
          <w:color w:val="3A4A5A"/>
        </w:rPr>
        <w:t xml:space="preserve">。无向群体里每个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成员既是源也是靶，同群成员通过该群体本身相互传染，独立性破缺。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i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计数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状态仍然可用，但方程多出"群体内传染"项，且闭合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只是近似</w:t>
      </w:r>
      <w:r>
        <w:rPr>
          <w:rFonts w:ascii="Times New Roman" w:cs="Times New Roman" w:eastAsia="SimSun" w:hAnsi="Times New Roman"/>
          <w:color w:val="3A4A5A"/>
        </w:rPr>
        <w:t xml:space="preserve">（群体之间的相关被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忽略），不能沿用"树极限下精确"的措辞。精度须由 4.2 的规模扫描如实给出。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另一处符号变化：</w:t>
      </w:r>
      <w:r>
        <w:rPr>
          <w:rFonts w:ascii="Times New Roman" w:cs="Times New Roman" w:eastAsia="SimSun" w:hAnsi="Times New Roman"/>
          <w:b/>
          <w:bCs/>
        </w:rPr>
        <w:t xml:space="preserve">无向情形余度相减回来了</w:t>
      </w:r>
      <w:r>
        <w:rPr>
          <w:rFonts w:ascii="Times New Roman" w:cs="Times New Roman" w:eastAsia="SimSun" w:hAnsi="Times New Roman"/>
        </w:rPr>
        <w:t xml:space="preserve">（沿一条超边到达的节点，来路那条超边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不可再用），与有向工作特意论证过的"没有余度相减"相反，搬运时不要一起搬。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3.4 爆发阈值：从标量到矩阵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时线性化。以"感染经由哪一层传来"为型，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感染的节点产生层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型子代的期望为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+μ) 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阈值条件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（谱半径）。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必须写的退化检验：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：回到单层超图 SIR 的已知阈值。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（全部层成对）：回到多层网络 SIR 的已知阈值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[2]。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：回到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  <w:b/>
          <w:bCs/>
        </w:rPr>
        <w:t xml:space="preserve"> 的闭式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ρ=1/2[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</w:rPr>
        <w:t xml:space="preserve">+√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+4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</w:rPr>
        <w:t xml:space="preserve">]=1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解出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。展开后可看出交叉项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恒为正，故</w:t>
      </w:r>
      <w:r>
        <w:rPr>
          <w:rFonts w:ascii="Times New Roman" w:cs="Times New Roman" w:eastAsia="SimSun" w:hAnsi="Times New Roman"/>
          <w:b/>
          <w:bCs/>
        </w:rPr>
        <w:t xml:space="preserve">层间耦合总是压低阈值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——这是一条可以直接检验的定性预言。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3.5 层间相关如何移动阈值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把 $\langle k^{(1)}k^{(2)}\rangle=\langle k^{(1)}\rangle\langle k^{(2)}\rangle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+\rho_{12}\sigma_1\sigma_2</w:t>
      </w:r>
      <w:r>
        <w:rPr>
          <w:rFonts w:ascii="Cambria Math" w:eastAsia="SimSun" w:hAnsi="Cambria Math"/>
          <w:i w:val="false"/>
          <w:iCs w:val="false"/>
        </w:rPr>
        <w:t xml:space="preserve"> 代入，给出 </w:t>
      </w:r>
      <w:r>
        <w:rPr>
          <w:rFonts w:ascii="Times New Roman" w:cs="Times New Roman" w:eastAsia="SimSun" w:hAnsi="Times New Roman"/>
        </w:rPr>
        <w:t xml:space="preserve">\lambda_c(\rho_{12})$ 的显式表达；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论证在两条边际度序列固定时的单调性。这是与有向工作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完全平行的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一节，</w:t>
      </w:r>
      <w:r>
        <w:rPr>
          <w:rFonts w:ascii="Times New Roman" w:cs="Times New Roman" w:eastAsia="SimSun" w:hAnsi="Times New Roman"/>
          <w:b/>
          <w:bCs/>
        </w:rPr>
        <w:t xml:space="preserve">图与扫描协议可以直接复用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3.6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≥2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方程组形式不变（只有指示函数依赖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），但线性化在无病定态附近没有增长模式，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该层不贡献于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。若</w:t>
      </w:r>
      <w:r>
        <w:rPr>
          <w:rFonts w:ascii="Times New Roman" w:cs="Times New Roman" w:eastAsia="SimSun" w:hAnsi="Times New Roman"/>
          <w:b/>
          <w:bCs/>
        </w:rPr>
        <w:t xml:space="preserve">所有</w:t>
      </w:r>
      <w:r>
        <w:rPr>
          <w:rFonts w:ascii="Times New Roman" w:cs="Times New Roman" w:eastAsia="SimSun" w:hAnsi="Times New Roman"/>
        </w:rPr>
        <w:t xml:space="preserve">层都有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，转入 bootstrap /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型渗流；若只有部分层，则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退化为子矩阵，其余层只在超临界区起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放大作用——这是一个多层特有的、值得单独说的结论。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2.2 所定义连续时间 Markov 过程的精确 Gillespie 抽样，取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沿用有向工作的三层校验结构。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4.1 内部自洽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恒等式残差随步长的收敛阶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的两种计数方式（成员侧 / 群体侧）恒等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保联合度重排下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不变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4.2 含时复现与精度层级（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2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的完整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：仿真 vs AME vs 度均场。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的标度：AME 趋零、均场趋非零平台。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注意</w:t>
      </w:r>
      <w:r>
        <w:rPr>
          <w:rFonts w:ascii="Times New Roman" w:cs="Times New Roman" w:eastAsia="SimSun" w:hAnsi="Times New Roman"/>
        </w:rPr>
        <w:t xml:space="preserve">：AME 在无向情形不是树极限精确的，偏差</w:t>
      </w:r>
      <w:r>
        <w:rPr>
          <w:rFonts w:ascii="Times New Roman" w:cs="Times New Roman" w:eastAsia="SimSun" w:hAnsi="Times New Roman"/>
          <w:b/>
          <w:bCs/>
        </w:rPr>
        <w:t xml:space="preserve">未必</w:t>
      </w:r>
      <w:r>
        <w:rPr>
          <w:rFonts w:ascii="Times New Roman" w:cs="Times New Roman" w:eastAsia="SimSun" w:hAnsi="Times New Roman"/>
        </w:rPr>
        <w:t xml:space="preserve">趋零到机器精度，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要如实给出它趋向的量级。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4.3 阈值的独立测量（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图 3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由亚临界终态外推测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的预言比较（给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Times New Roman" w:cs="Times New Roman" w:eastAsia="SimSun" w:hAnsi="Times New Roman"/>
        </w:rPr>
        <w:t xml:space="preserve"> 数）。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阈值邻域的有限尺寸效应须单独做规模扫描后再下结论。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结构生成与扫描工具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多重超图位形模型：按联合度序列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(1)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,…,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(M)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配对各层槽位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的调节：在两条边际度序列固定下重排层度配对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的调节：保联合度的定向重连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零模型基线与可动范围的实测（见 2.3 的开放项）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结构效应（主结果二）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层间相关扫描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，理论与仿真对照。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渠道不对称</w:t>
      </w:r>
      <w:r>
        <w:rPr>
          <w:rFonts w:ascii="Times New Roman" w:cs="Times New Roman" w:eastAsia="SimSun" w:hAnsi="Times New Roman"/>
        </w:rPr>
        <w:t xml:space="preserve">：固定总传染强度，把权重在两层间转移（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从 </w:t>
      </w:r>
      <w:r>
        <w:rPr>
          <w:rFonts w:ascii="Cambria Math" w:eastAsia="SimSun" w:hAnsi="Cambria Math"/>
          <w:i w:val="false"/>
          <w:iCs w:val="false"/>
        </w:rPr>
        <w:t xml:space="preserve">1:0</w:t>
      </w:r>
      <w:r>
        <w:rPr>
          <w:rFonts w:ascii="Times New Roman" w:cs="Times New Roman" w:eastAsia="SimSun" w:hAnsi="Times New Roman"/>
        </w:rPr>
        <w:t xml:space="preserve"> 到 </w:t>
      </w:r>
      <w:r>
        <w:rPr>
          <w:rFonts w:ascii="Cambria Math" w:eastAsia="SimSun" w:hAnsi="Cambria Math"/>
          <w:i w:val="false"/>
          <w:iCs w:val="false"/>
        </w:rPr>
        <w:t xml:space="preserve">0:1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看阈值与终态如何变。预期存在一个最优/最劣配置——这是多层特有、单层没有的问题。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群体规模不对称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Times New Roman" w:cs="Times New Roman" w:eastAsia="SimSun" w:hAnsi="Times New Roman"/>
        </w:rPr>
        <w:t xml:space="preserve"> 时，"少数大群体"与"多数小群体"哪个更危险。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是否移动阈值。按 3.3 的闭合，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读取联合度分布，</w:t>
      </w:r>
      <w:r>
        <w:rPr>
          <w:rFonts w:ascii="Times New Roman" w:cs="Times New Roman" w:eastAsia="SimSun" w:hAnsi="Times New Roman"/>
          <w:b/>
          <w:bCs/>
        </w:rPr>
        <w:t xml:space="preserve">看不见 </w:t>
      </w:r>
      <w:r>
        <w:rPr>
          <w:rFonts w:ascii="Cambria Math" w:eastAsia="SimSun" w:hAnsi="Cambria Math"/>
          <w:b/>
          <w:bCs/>
          <w:i/>
          <w:iCs/>
        </w:rPr>
        <w:t xml:space="preserve">o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—— 与有向工作同款的可证伪推论。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是否存在协同</w:t>
      </w:r>
      <w:r>
        <w:rPr>
          <w:rFonts w:ascii="Times New Roman" w:cs="Times New Roman" w:eastAsia="SimSun" w:hAnsi="Times New Roman"/>
        </w:rPr>
        <w:t xml:space="preserve">：两条弱渠道各自亚临界，合起来是否超临界。由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</w:rPr>
        <w:t xml:space="preserve">&gt;0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预言"是"，需定量给出协同区的相图。这条最有传播力，建议做成摘要里的卖点。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7. 不可约推广：跨层剂量核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为凹/凸剂量核。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失效，渠道之间产生真正的耦合。给出：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闭合如何修改（节点侧需要跨层联合分布，而非各层独立乘积）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与可约情形的定量差异有多大（若差异可忽略，就如实说"多层的动力学效应主要来自结构"）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8. 真实数据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候选：同一人群的多渠道群体数据（会议/合作/线上社群；或家庭—工作—社交三层）。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测量真实的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，代入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给出阈值预测，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与在真实结构上直接跑的仿真比较。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9. 讨论与结论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可约性命题的意义：多层模型的价值在结构而非动力学，这对整个多层传播文献都是一句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值得说的话。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的谱半径作为统一语言：单层、多层、成对、高阶都是其特例。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局限：AME 非严格；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 bootstrap 未解。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附录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A. 异质基数的推广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B. 非指数康复期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C. AME 的完整推导与维数计数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D. 生成器与采样器的实现细节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E. 全部数值检验的清单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附：可直接复用的资产（不属于论文正文）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资产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复用程度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精确采样器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加层标签即可，逻辑不变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位形模型生成器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改为按联合度序列配对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扫描协议与图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换成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，协议原样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审计脚本框架（每项用不共享路径复算）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框架逐条可移植，B/I/J 尤其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绘图脚本与两道排版守卫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构建工具链（编号、docx）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直接可用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不能复用</w:t>
      </w:r>
      <w:r>
        <w:rPr>
          <w:rFonts w:ascii="Times New Roman" w:cs="Times New Roman" w:eastAsia="SimSun" w:hAnsi="Times New Roman"/>
        </w:rPr>
        <w:t xml:space="preserve">：(H2) 尾内无相互作用；"没有余度相减"的论证；"树极限下精确"的措辞。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C. Barnard, I. Z. Kiss, L. Berthouze, and J. C. Miller,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of an SIR Epidemic on a Dual-Layer Static–Dynamic Multiplex Network with Tunable Clustering</w:t>
      </w:r>
      <w:r>
        <w:rPr>
          <w:rFonts w:ascii="Times New Roman" w:cs="Times New Roman" w:eastAsia="SimSun" w:hAnsi="Times New Roman"/>
        </w:rPr>
        <w:t xml:space="preserve">, Bulletin of Mathematical Biology, 80 (2018), pp. 2698–2733, https://doi.org/10.1007/s11538-018-0484-5.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</w:t>
      </w:r>
      <w:r>
        <w:rPr>
          <w:rFonts w:ascii="Times New Roman" w:cs="Times New Roman" w:eastAsia="SimSun" w:hAnsi="Times New Roman"/>
          <w:i/>
          <w:iCs/>
        </w:rPr>
        <w:t xml:space="preserve">Epidemic spreading and bond percolation on multilayer networks</w:t>
      </w:r>
      <w:r>
        <w:rPr>
          <w:rFonts w:ascii="Times New Roman" w:cs="Times New Roman" w:eastAsia="SimSun" w:hAnsi="Times New Roman"/>
        </w:rPr>
        <w:t xml:space="preserve">, Journal of Statistical Mechanics: Theory and Experiment, 2017 (2017), p. 034001, https://doi.org/10.1088/1742-5468/aa5fd8.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Fan, Q. Yin, C. Xia, and M. Perc, </w:t>
      </w:r>
      <w:r>
        <w:rPr>
          <w:rFonts w:ascii="Times New Roman" w:cs="Times New Roman" w:eastAsia="SimSun" w:hAnsi="Times New Roman"/>
          <w:i/>
          <w:iCs/>
        </w:rPr>
        <w:t xml:space="preserve">Epidemics on multilayer simplicial complexes</w:t>
      </w:r>
      <w:r>
        <w:rPr>
          <w:rFonts w:ascii="Times New Roman" w:cs="Times New Roman" w:eastAsia="SimSun" w:hAnsi="Times New Roman"/>
        </w:rPr>
        <w:t xml:space="preserve">, Proceedings of the Royal Society A: Mathematical, Physical and Engineering Sciences, 478 (2022), https://doi.org/10.1098/rspa.2022.0059.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V. Thibeault, A. Allard, L. J. Dubé, and L. Hébert-Dufresne, </w:t>
      </w:r>
      <w:r>
        <w:rPr>
          <w:rFonts w:ascii="Times New Roman" w:cs="Times New Roman" w:eastAsia="SimSun" w:hAnsi="Times New Roman"/>
          <w:i/>
          <w:iCs/>
        </w:rPr>
        <w:t xml:space="preserve">Master equation analysis of mesoscopic localization in contagion dynamics on higher-order networks</w:t>
      </w:r>
      <w:r>
        <w:rPr>
          <w:rFonts w:ascii="Times New Roman" w:cs="Times New Roman" w:eastAsia="SimSun" w:hAnsi="Times New Roman"/>
        </w:rPr>
        <w:t xml:space="preserve">, Physical Review E, 103 (2021), https://doi.org/10.1103/physreve.103.032301.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https://doi.org/10.1103/physreve.104.034306.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Wan, G. Ichinose, M. Small, H. Sayama, Y. Moreno, and C. Cheng, </w:t>
      </w:r>
      <w:r>
        <w:rPr>
          <w:rFonts w:ascii="Times New Roman" w:cs="Times New Roman" w:eastAsia="SimSun" w:hAnsi="Times New Roman"/>
          <w:i/>
          <w:iCs/>
        </w:rPr>
        <w:t xml:space="preserve">Multilayer networks with higher-order interaction reveal the impact of collective behavior on epidemic dynamics</w:t>
      </w:r>
      <w:r>
        <w:rPr>
          <w:rFonts w:ascii="Times New Roman" w:cs="Times New Roman" w:eastAsia="SimSun" w:hAnsi="Times New Roman"/>
        </w:rPr>
        <w:t xml:space="preserve">, Chaos, Solitons &amp;amp; Fractals, 164 (2022), p. 112735, https://doi.org/10.1016/j.chaos.2022.112735.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Zhao, L. Li, H. Peng, Q. Luo, and Y. Yang, </w:t>
      </w:r>
      <w:r>
        <w:rPr>
          <w:rFonts w:ascii="Times New Roman" w:cs="Times New Roman" w:eastAsia="SimSun" w:hAnsi="Times New Roman"/>
          <w:i/>
          <w:iCs/>
        </w:rPr>
        <w:t xml:space="preserve">Multiple routes transmitted epidemics on multiplex networks</w:t>
      </w:r>
      <w:r>
        <w:rPr>
          <w:rFonts w:ascii="Times New Roman" w:cs="Times New Roman" w:eastAsia="SimSun" w:hAnsi="Times New Roman"/>
        </w:rPr>
        <w:t xml:space="preserve">, Physics Letters A, 378 (2014), pp. 770–776, https://doi.org/10.1016/j.physleta.2014.01.014.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2026-08-10T15:01:27.154Z</dcterms:created>
  <dcterms:modified xsi:type="dcterms:W3CDTF">2026-08-10T15:01:27.154Z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