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4.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4.1.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(4.2)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31.1%，并非可忽略的修正；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，(4.7)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4.2.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(4.7)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(4.8)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(4.9)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(4.2)–(4.4) 积分至终态、再对 (4.9) 作线性拟合，另一侧对次代矩阵 (4.7)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4.9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4.3.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+0.47，全部落在 1.5σ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(4.9)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600075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内的线性拟合，虚线为其向零点的延长，空心圆为三线共同的零点，即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的预言（竖虚线）。(b)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，全部构型落在 1.5σ 之内，阴影分别为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4.4.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(4.2)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(4.2)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处为零，达机器精度：闭合与次代矩阵共享同一个阈值，(4.9) 的外推所测者因而确为 (4.7)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(4.5)–(4.6)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(4.7)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(4.8)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(4.8)，其极点严格位于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(4.5)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、全部落在 1.5σ 之内。这是对爆发阈值的一次全非线性的独立确认，与前述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2026-08-16T09:22:44.936Z</dcterms:created>
  <dcterms:modified xsi:type="dcterms:W3CDTF">2026-08-16T09:22:44.936Z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