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Times New Roman" w:eastAsia="黑体"/>
          <w:b/>
          <w:bCs/>
          <w:color w:val="1F3864"/>
          <w:sz w:val="40"/>
          <w:szCs w:val="40"/>
        </w:rPr>
        <w:t xml:space="preserve">中重度特应性皮炎患者</w:t>
      </w:r>
    </w:p>
    <w:p>
      <w:pPr>
        <w:spacing w:after="200"/>
        <w:jc w:val="center"/>
      </w:pPr>
      <w:r>
        <w:rPr>
          <w:rFonts w:ascii="Times New Roman" w:eastAsia="黑体"/>
          <w:b/>
          <w:bCs/>
          <w:color w:val="1F3864"/>
          <w:sz w:val="40"/>
          <w:szCs w:val="40"/>
        </w:rPr>
        <w:t xml:space="preserve">度普利尤单抗疗效与治疗失败路径的</w:t>
      </w:r>
    </w:p>
    <w:p>
      <w:pPr>
        <w:spacing w:after="500"/>
        <w:jc w:val="center"/>
      </w:pPr>
      <w:r>
        <w:rPr>
          <w:rFonts w:ascii="Times New Roman" w:eastAsia="黑体"/>
          <w:b/>
          <w:bCs/>
          <w:color w:val="1F3864"/>
          <w:sz w:val="40"/>
          <w:szCs w:val="40"/>
        </w:rPr>
        <w:t xml:space="preserve">前瞻性队列预测研究</w:t>
      </w:r>
    </w:p>
    <w:p>
      <w:pPr>
        <w:spacing w:after="900"/>
        <w:jc w:val="center"/>
      </w:pPr>
      <w:r>
        <w:rPr>
          <w:rFonts w:ascii="Times New Roman" w:eastAsia="宋体"/>
          <w:color w:val="2E5C8A"/>
          <w:sz w:val="24"/>
          <w:szCs w:val="24"/>
        </w:rPr>
        <w:t xml:space="preserve">研究思路 · 理论框架 · 临床队列方法学 · 文献基础</w:t>
      </w:r>
    </w:p>
    <w:p>
      <w:pPr>
        <w:spacing w:after="120"/>
        <w:jc w:val="center"/>
      </w:pPr>
      <w:r>
        <w:rPr>
          <w:rFonts w:ascii="Times New Roman" w:eastAsia="宋体"/>
          <w:sz w:val="22"/>
          <w:szCs w:val="22"/>
        </w:rPr>
        <w:t xml:space="preserve">方案大纲　v2</w:t>
      </w:r>
    </w:p>
    <w:p>
      <w:pPr>
        <w:spacing w:after="120"/>
        <w:jc w:val="center"/>
      </w:pPr>
      <w:r>
        <w:rPr>
          <w:rFonts w:ascii="Times New Roman" w:eastAsia="宋体"/>
          <w:sz w:val="22"/>
          <w:szCs w:val="22"/>
        </w:rPr>
        <w:t xml:space="preserve">2026 年 7 月</w:t>
      </w:r>
    </w:p>
    <w:p>
      <w:r>
        <w:br w:type="page"/>
      </w:r>
    </w:p>
    <w:p>
      <w:pPr>
        <w:pStyle w:val="Heading1"/>
        <w:spacing w:after="100" w:before="400"/>
      </w:pPr>
      <w:r>
        <w:rPr>
          <w:rFonts w:ascii="Times New Roman" w:eastAsia="黑体"/>
          <w:b/>
          <w:bCs/>
          <w:color w:val="1F3864"/>
          <w:sz w:val="30"/>
          <w:szCs w:val="30"/>
        </w:rPr>
        <w:t xml:space="preserve">第一部分　研究思路</w:t>
      </w:r>
    </w:p>
    <w:p>
      <w:pPr>
        <w:pStyle w:val="Heading2"/>
        <w:spacing w:after="100" w:before="260"/>
      </w:pPr>
      <w:r>
        <w:rPr>
          <w:rFonts w:ascii="Times New Roman" w:eastAsia="黑体"/>
          <w:b/>
          <w:bCs/>
          <w:color w:val="1F3864"/>
          <w:sz w:val="25"/>
          <w:szCs w:val="25"/>
        </w:rPr>
        <w:t xml:space="preserve">1.1　问题的起点</w:t>
      </w:r>
    </w:p>
    <w:p>
      <w:pPr>
        <w:spacing w:after="60" w:before="60" w:line="300"/>
        <w:jc w:val="both"/>
      </w:pPr>
      <w:r>
        <w:rPr>
          <w:rFonts w:ascii="Times New Roman" w:eastAsia="宋体"/>
          <w:sz w:val="21"/>
          <w:szCs w:val="21"/>
        </w:rPr>
        <w:t xml:space="preserve">度普利尤单抗是国内首个、也是目前唯一在全年龄段获批用于中重度特应性皮炎（atopic dermatitis, AD）的靶向生物制剂，已纳入国家医保目录。然而在注册试验中，第 16 周 EASI-75 达标率为 44%–51%（SOLO 1/2，300 mg q2w），意味着</w:t>
      </w:r>
      <w:r>
        <w:rPr>
          <w:rFonts w:ascii="Times New Roman" w:eastAsia="宋体"/>
          <w:b/>
          <w:bCs/>
          <w:color w:val="1F3864"/>
          <w:sz w:val="21"/>
          <w:szCs w:val="21"/>
        </w:rPr>
        <w:t xml:space="preserve">约半数患者在标准疗程结束时仍未达到主要疗效终点</w:t>
      </w:r>
      <w:r>
        <w:rPr>
          <w:rFonts w:ascii="Times New Roman" w:eastAsia="宋体"/>
          <w:sz w:val="21"/>
          <w:szCs w:val="21"/>
        </w:rPr>
        <w:t xml:space="preserve">。中国真实世界数据的异质性更大：重庆地区一项前瞻队列（n=124）报告第 16 周 EASI-75 为 42.7%，而其他中心报告 64.5%–78.9%。</w:t>
      </w:r>
    </w:p>
    <w:p>
      <w:pPr>
        <w:spacing w:after="60" w:before="60" w:line="300"/>
        <w:jc w:val="both"/>
      </w:pPr>
      <w:r>
        <w:rPr>
          <w:rFonts w:ascii="Times New Roman" w:eastAsia="宋体"/>
          <w:sz w:val="21"/>
          <w:szCs w:val="21"/>
        </w:rPr>
        <w:t xml:space="preserve">临床上真正的困境不是"有多少人无效"，而是</w:t>
      </w:r>
      <w:r>
        <w:rPr>
          <w:rFonts w:ascii="Times New Roman" w:eastAsia="宋体"/>
          <w:b/>
          <w:bCs/>
          <w:color w:val="1F3864"/>
          <w:sz w:val="21"/>
          <w:szCs w:val="21"/>
        </w:rPr>
        <w:t xml:space="preserve">无效者需要 16 周才能被识别</w:t>
      </w:r>
      <w:r>
        <w:rPr>
          <w:rFonts w:ascii="Times New Roman" w:eastAsia="宋体"/>
          <w:sz w:val="21"/>
          <w:szCs w:val="21"/>
        </w:rPr>
        <w:t xml:space="preserve">。在这 16 周里，患者承担了完整的药物费用与时间成本，医生失去了早期转向 JAK 抑制剂等替代方案的窗口。因此，本研究要回答的核心问题是：</w:t>
      </w:r>
    </w:p>
    <w:p>
      <w:pPr>
        <w:spacing w:after="60" w:before="60" w:line="300"/>
        <w:ind w:left="400"/>
        <w:jc w:val="both"/>
      </w:pPr>
      <w:r>
        <w:rPr>
          <w:rFonts w:ascii="Times New Roman" w:eastAsia="宋体"/>
          <w:b/>
          <w:bCs/>
          <w:color w:val="1F3864"/>
          <w:sz w:val="21"/>
          <w:szCs w:val="21"/>
        </w:rPr>
        <w:t xml:space="preserve">能否在开始治疗之前、或至少在第 4 周这一早期节点，用基层医疗机构也能获得的常规检验，识别出哪些患者不会从当前方案中获益，以及他们将以何种方式失败。</w:t>
      </w:r>
    </w:p>
    <w:p>
      <w:pPr>
        <w:pStyle w:val="Heading2"/>
        <w:spacing w:after="100" w:before="260"/>
      </w:pPr>
      <w:r>
        <w:rPr>
          <w:rFonts w:ascii="Times New Roman" w:eastAsia="黑体"/>
          <w:b/>
          <w:bCs/>
          <w:color w:val="1F3864"/>
          <w:sz w:val="25"/>
          <w:szCs w:val="25"/>
        </w:rPr>
        <w:t xml:space="preserve">1.2　领域现状：一条已被证伪的路径</w:t>
      </w:r>
    </w:p>
    <w:p>
      <w:pPr>
        <w:spacing w:after="60" w:before="60" w:line="300"/>
        <w:jc w:val="both"/>
      </w:pPr>
      <w:r>
        <w:rPr>
          <w:rFonts w:ascii="Times New Roman" w:eastAsia="宋体"/>
          <w:sz w:val="21"/>
          <w:szCs w:val="21"/>
        </w:rPr>
        <w:t xml:space="preserve">本研究立论的第一步，是承认领域内一条主流路径已经被高质量证据否定。</w:t>
      </w:r>
    </w:p>
    <w:p>
      <w:pPr>
        <w:spacing w:after="60" w:before="60" w:line="300"/>
        <w:jc w:val="both"/>
      </w:pPr>
      <w:r>
        <w:rPr>
          <w:rFonts w:ascii="Times New Roman" w:eastAsia="宋体"/>
          <w:sz w:val="21"/>
          <w:szCs w:val="21"/>
        </w:rPr>
        <w:t xml:space="preserve">基于 SOLO 1 与 SOLO 2 汇总数据的事后分析显示：</w:t>
      </w:r>
      <w:r>
        <w:rPr>
          <w:rFonts w:ascii="Times New Roman" w:eastAsia="宋体"/>
          <w:b/>
          <w:bCs/>
          <w:color w:val="1F3864"/>
          <w:sz w:val="21"/>
          <w:szCs w:val="21"/>
        </w:rPr>
        <w:t xml:space="preserve">基线血清总 IgE、CCL17/TARC 与 LDH 均不能预测度普利尤单抗的疗效</w:t>
      </w:r>
      <w:r>
        <w:rPr>
          <w:rFonts w:ascii="Times New Roman" w:eastAsia="宋体"/>
          <w:sz w:val="21"/>
          <w:szCs w:val="21"/>
        </w:rPr>
        <w:t xml:space="preserve">——基线水平与第 16 周 EASI 变化的相关系数仅在 −0.03 至 −0.30 之间。同一结论在独立的成人队列研究中被重复。</w:t>
      </w:r>
    </w:p>
    <w:p>
      <w:pPr>
        <w:spacing w:after="60" w:before="60" w:line="300"/>
        <w:jc w:val="both"/>
      </w:pPr>
      <w:r>
        <w:rPr>
          <w:rFonts w:ascii="Times New Roman" w:eastAsia="宋体"/>
          <w:sz w:val="21"/>
          <w:szCs w:val="21"/>
        </w:rPr>
        <w:t xml:space="preserve">与此同时，另一组证据显示这些标志物具有明确的</w:t>
      </w:r>
      <w:r>
        <w:rPr>
          <w:rFonts w:ascii="Times New Roman" w:eastAsia="宋体"/>
          <w:b/>
          <w:bCs/>
          <w:color w:val="1F3864"/>
          <w:sz w:val="21"/>
          <w:szCs w:val="21"/>
        </w:rPr>
        <w:t xml:space="preserve">药效学</w:t>
      </w:r>
      <w:r>
        <w:rPr>
          <w:rFonts w:ascii="Times New Roman" w:eastAsia="宋体"/>
          <w:sz w:val="21"/>
          <w:szCs w:val="21"/>
        </w:rPr>
        <w:t xml:space="preserve">价值：度普利尤单抗可在首次给药后即显著降低血清 CCL17/TARC，儿童患者第 16 周中位降幅达 −72% 至 −83%；TARC 的正常化甚至早于临床改善。</w:t>
      </w:r>
    </w:p>
    <w:p>
      <w:pPr>
        <w:pBdr>
          <w:left w:val="single" w:color="C00000" w:sz="12" w:space="8"/>
        </w:pBdr>
        <w:spacing w:after="120" w:before="60" w:line="280"/>
        <w:ind w:left="220"/>
        <w:jc w:val="both"/>
      </w:pPr>
      <w:r>
        <w:rPr>
          <w:rFonts w:ascii="Times New Roman" w:eastAsia="宋体"/>
          <w:color w:val="833C00"/>
          <w:sz w:val="19"/>
          <w:szCs w:val="19"/>
        </w:rPr>
        <w:t xml:space="preserve">这两组证据合在一起给出一个关键判断：TARC 是优秀的疗效监测标志物（pharmacodynamic marker），但不是有效的疗效预测标志物（predictive/prognostic marker）。因此，"高精度预测模型依赖 TARC，基层做不了 TARC 所以用不上"这一常见叙事在事实层面并不成立——真正的问题不是可及性，而是静态基线血清标志物本身的信息量不足。本研究的立论必须建立在这一修正之上，否则将在审稿阶段被直接推翻。</w:t>
      </w:r>
    </w:p>
    <w:p>
      <w:pPr>
        <w:pStyle w:val="Heading2"/>
        <w:spacing w:after="100" w:before="260"/>
      </w:pPr>
      <w:r>
        <w:rPr>
          <w:rFonts w:ascii="Times New Roman" w:eastAsia="黑体"/>
          <w:b/>
          <w:bCs/>
          <w:color w:val="1F3864"/>
          <w:sz w:val="25"/>
          <w:szCs w:val="25"/>
        </w:rPr>
        <w:t xml:space="preserve">1.3　立论重构：三个仍然开放的知识空白</w:t>
      </w:r>
    </w:p>
    <w:p>
      <w:pPr>
        <w:spacing w:after="60" w:before="60" w:line="300"/>
        <w:jc w:val="both"/>
      </w:pPr>
      <w:r>
        <w:rPr>
          <w:rFonts w:ascii="Times New Roman" w:eastAsia="宋体"/>
          <w:sz w:val="21"/>
          <w:szCs w:val="21"/>
        </w:rPr>
        <w:t xml:space="preserve">在承认上述否定性证据的前提下，仍有三条路径未被系统检验，它们构成本研究的三个知识空白。</w:t>
      </w:r>
    </w:p>
    <w:p>
      <w:pPr>
        <w:spacing w:after="60" w:before="160"/>
      </w:pPr>
      <w:r>
        <w:rPr>
          <w:rFonts w:ascii="Times New Roman" w:eastAsia="黑体"/>
          <w:b/>
          <w:bCs/>
          <w:color w:val="1F3864"/>
          <w:sz w:val="19"/>
          <w:szCs w:val="19"/>
        </w:rPr>
        <w:t xml:space="preserve">表 1-1　知识空白、现有证据状态与本研究的应对</w:t>
      </w:r>
    </w:p>
    <w:tbl>
      <w:tblPr>
        <w:tblW w:type="dxa" w:w="9600"/>
        <w:tblBorders>
          <w:top w:val="single" w:color="8EA9DB" w:sz="4"/>
          <w:left w:val="single" w:color="8EA9DB" w:sz="4"/>
          <w:bottom w:val="single" w:color="8EA9DB" w:sz="4"/>
          <w:right w:val="single" w:color="8EA9DB" w:sz="4"/>
          <w:insideH w:val="single" w:color="B4C6E7" w:sz="2"/>
          <w:insideV w:val="single" w:color="B4C6E7" w:sz="2"/>
        </w:tblBorders>
        <w:tblLayout w:type="fixed"/>
      </w:tblPr>
      <w:tblGrid>
        <w:gridCol w:w="520"/>
        <w:gridCol w:w="2500"/>
        <w:gridCol w:w="3200"/>
        <w:gridCol w:w="3380"/>
      </w:tblGrid>
      <w:tr>
        <w:trPr>
          <w:tblHeader/>
        </w:trPr>
        <w:tc>
          <w:tcPr>
            <w:tcW w:type="dxa" w:w="52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编号</w:t>
            </w:r>
          </w:p>
        </w:tc>
        <w:tc>
          <w:tcPr>
            <w:tcW w:type="dxa" w:w="25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知识空白</w:t>
            </w:r>
          </w:p>
        </w:tc>
        <w:tc>
          <w:tcPr>
            <w:tcW w:type="dxa" w:w="32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现有证据状态</w:t>
            </w:r>
          </w:p>
        </w:tc>
        <w:tc>
          <w:tcPr>
            <w:tcW w:type="dxa" w:w="338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本研究的应对</w:t>
            </w:r>
          </w:p>
        </w:tc>
      </w:tr>
      <w:tr>
        <w:tc>
          <w:tcPr>
            <w:tcW w:type="dxa" w:w="52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空白一</w:t>
            </w:r>
          </w:p>
        </w:tc>
        <w:tc>
          <w:tcPr>
            <w:tcW w:type="dxa" w:w="25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血细胞衍生的比值型复合炎症指数（NLR/PLR/SII 等）联合 IgE 的预测价值，从未在前瞻队列中按现行预测模型规范开发与验证</w:t>
            </w:r>
          </w:p>
        </w:tc>
        <w:tc>
          <w:tcPr>
            <w:tcW w:type="dxa" w:w="32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仅有小样本回顾性证据：n=66 单中心研究显示 PLR 独立相关于早期应答（OR 1.016），SII 与 IgE 组合的 AUC 达 0.797，但终点为 EASI-50、无外部验证、无校准评估、未与基础临床模型比较</w:t>
            </w:r>
          </w:p>
        </w:tc>
        <w:tc>
          <w:tcPr>
            <w:tcW w:type="dxa" w:w="338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前瞻多中心队列；终点为 EASI-75；预先指定与"不做任何检验的基础临床模型（M0）"正面比较；报告校准与净获益；TRIPOD+AI 规范全项报告</w:t>
            </w:r>
          </w:p>
        </w:tc>
      </w:tr>
      <w:tr>
        <w:tc>
          <w:tcPr>
            <w:tcW w:type="dxa" w:w="52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空白二</w:t>
            </w:r>
          </w:p>
        </w:tc>
        <w:tc>
          <w:tcPr>
            <w:tcW w:type="dxa" w:w="25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第 4 周早期信息相对于基线信息的增量预测价值从未被正式量化</w:t>
            </w:r>
          </w:p>
        </w:tc>
        <w:tc>
          <w:tcPr>
            <w:tcW w:type="dxa" w:w="32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已知第 4 周可区分早期与晚期应答者（约 70% vs 30%），BioDay 等注册研究也采用 W0/W4/W16 节点，但均为描述性分析，未在 Landmark 框架下估计条件概率与增量价值</w:t>
            </w:r>
          </w:p>
        </w:tc>
        <w:tc>
          <w:tcPr>
            <w:tcW w:type="dxa" w:w="338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预先指定第 4 周为唯一 Landmark 节点，在条件队列中估计 P(W16 达标 | W4 未达标)，并量化相对基线模型的增量</w:t>
            </w:r>
          </w:p>
        </w:tc>
      </w:tr>
      <w:tr>
        <w:tc>
          <w:tcPr>
            <w:tcW w:type="dxa" w:w="52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空白三</w:t>
            </w:r>
          </w:p>
        </w:tc>
        <w:tc>
          <w:tcPr>
            <w:tcW w:type="dxa" w:w="25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"治疗失败"被作为单一结局处理，其内部的异质路径从未被分解</w:t>
            </w:r>
          </w:p>
        </w:tc>
        <w:tc>
          <w:tcPr>
            <w:tcW w:type="dxa" w:w="32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真实世界研究报告 12 个月药物持续率约 77%，停药原因中无效约 5.6%、不良事件约 1.2%，但均作为汇总率报告；无研究检验不同标志物是否驱动不同失败路径</w:t>
            </w:r>
          </w:p>
        </w:tc>
        <w:tc>
          <w:tcPr>
            <w:tcW w:type="dxa" w:w="338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将失败分解为"疗效路径"与"耐受性路径"两个竞争状态，并检验二者由不同早期标志物驱动（假说 H3）</w:t>
            </w:r>
          </w:p>
        </w:tc>
      </w:tr>
    </w:tbl>
    <w:p>
      <w:pPr>
        <w:pStyle w:val="Heading2"/>
        <w:spacing w:after="100" w:before="260"/>
      </w:pPr>
      <w:r>
        <w:rPr>
          <w:rFonts w:ascii="Times New Roman" w:eastAsia="黑体"/>
          <w:b/>
          <w:bCs/>
          <w:color w:val="1F3864"/>
          <w:sz w:val="25"/>
          <w:szCs w:val="25"/>
        </w:rPr>
        <w:t xml:space="preserve">1.4　研究假说</w:t>
      </w:r>
    </w:p>
    <w:p>
      <w:pPr>
        <w:spacing w:after="60" w:before="60" w:line="300"/>
        <w:jc w:val="both"/>
      </w:pPr>
      <w:r>
        <w:rPr>
          <w:rFonts w:ascii="Times New Roman" w:eastAsia="宋体"/>
          <w:sz w:val="21"/>
          <w:szCs w:val="21"/>
        </w:rPr>
        <w:t xml:space="preserve">三个假说与三个知识空白一一对应，且各自可独立证伪。</w:t>
      </w:r>
    </w:p>
    <w:p>
      <w:pPr>
        <w:spacing w:after="60" w:before="160"/>
      </w:pPr>
      <w:r>
        <w:rPr>
          <w:rFonts w:ascii="Times New Roman" w:eastAsia="黑体"/>
          <w:b/>
          <w:bCs/>
          <w:color w:val="1F3864"/>
          <w:sz w:val="19"/>
          <w:szCs w:val="19"/>
        </w:rPr>
        <w:t xml:space="preserve">表 1-2　研究假说与判据</w:t>
      </w:r>
    </w:p>
    <w:tbl>
      <w:tblPr>
        <w:tblW w:type="dxa" w:w="9600"/>
        <w:tblBorders>
          <w:top w:val="single" w:color="8EA9DB" w:sz="4"/>
          <w:left w:val="single" w:color="8EA9DB" w:sz="4"/>
          <w:bottom w:val="single" w:color="8EA9DB" w:sz="4"/>
          <w:right w:val="single" w:color="8EA9DB" w:sz="4"/>
          <w:insideH w:val="single" w:color="B4C6E7" w:sz="2"/>
          <w:insideV w:val="single" w:color="B4C6E7" w:sz="2"/>
        </w:tblBorders>
        <w:tblLayout w:type="fixed"/>
      </w:tblPr>
      <w:tblGrid>
        <w:gridCol w:w="620"/>
        <w:gridCol w:w="3080"/>
        <w:gridCol w:w="2600"/>
        <w:gridCol w:w="3300"/>
      </w:tblGrid>
      <w:tr>
        <w:trPr>
          <w:tblHeader/>
        </w:trPr>
        <w:tc>
          <w:tcPr>
            <w:tcW w:type="dxa" w:w="62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假说</w:t>
            </w:r>
          </w:p>
        </w:tc>
        <w:tc>
          <w:tcPr>
            <w:tcW w:type="dxa" w:w="308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内容</w:t>
            </w:r>
          </w:p>
        </w:tc>
        <w:tc>
          <w:tcPr>
            <w:tcW w:type="dxa" w:w="26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对应分析</w:t>
            </w:r>
          </w:p>
        </w:tc>
        <w:tc>
          <w:tcPr>
            <w:tcW w:type="dxa" w:w="33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证伪判据</w:t>
            </w:r>
          </w:p>
        </w:tc>
      </w:tr>
      <w:tr>
        <w:tc>
          <w:tcPr>
            <w:tcW w:type="dxa" w:w="620"/>
            <w:tcMar>
              <w:top w:type="dxa" w:w="60"/>
              <w:left w:type="dxa" w:w="90"/>
              <w:bottom w:type="dxa" w:w="60"/>
              <w:right w:type="dxa" w:w="90"/>
            </w:tcMar>
            <w:vAlign w:val="center"/>
          </w:tcPr>
          <w:p>
            <w:pPr>
              <w:spacing w:after="20" w:before="20" w:line="260"/>
              <w:jc w:val="left"/>
            </w:pPr>
            <w:r>
              <w:rPr>
                <w:rFonts w:ascii="Times New Roman" w:eastAsia="宋体"/>
                <w:b/>
                <w:bCs/>
                <w:sz w:val="19"/>
                <w:szCs w:val="19"/>
              </w:rPr>
              <w:t xml:space="preserve">H1</w:t>
            </w:r>
          </w:p>
        </w:tc>
        <w:tc>
          <w:tcPr>
            <w:tcW w:type="dxa" w:w="308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融合常规血液标志物的复合指数模型，其预测性能优于仅使用基础临床变量的基准模型，且不依赖 TARC 等高级标志物</w:t>
            </w:r>
          </w:p>
        </w:tc>
        <w:tc>
          <w:tcPr>
            <w:tcW w:type="dxa" w:w="26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主模型 vs 基准模型 M0 的交叉验证 AUC、校准与净获益比较</w:t>
            </w:r>
          </w:p>
        </w:tc>
        <w:tc>
          <w:tcPr>
            <w:tcW w:type="dxa" w:w="33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若相对 M0 的 ΔAUC ≤ +0.03 且净获益无改善，H1 被否定</w:t>
            </w:r>
          </w:p>
        </w:tc>
      </w:tr>
      <w:tr>
        <w:tc>
          <w:tcPr>
            <w:tcW w:type="dxa" w:w="620"/>
            <w:tcMar>
              <w:top w:type="dxa" w:w="60"/>
              <w:left w:type="dxa" w:w="90"/>
              <w:bottom w:type="dxa" w:w="60"/>
              <w:right w:type="dxa" w:w="90"/>
            </w:tcMar>
            <w:vAlign w:val="center"/>
          </w:tcPr>
          <w:p>
            <w:pPr>
              <w:spacing w:after="20" w:before="20" w:line="260"/>
              <w:jc w:val="left"/>
            </w:pPr>
            <w:r>
              <w:rPr>
                <w:rFonts w:ascii="Times New Roman" w:eastAsia="宋体"/>
                <w:b/>
                <w:bCs/>
                <w:sz w:val="19"/>
                <w:szCs w:val="19"/>
              </w:rPr>
              <w:t xml:space="preserve">H2</w:t>
            </w:r>
          </w:p>
        </w:tc>
        <w:tc>
          <w:tcPr>
            <w:tcW w:type="dxa" w:w="308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第 4 周的临床改善幅度与免疫动力学变化，为第 16 周结局提供独立于基线信息的增量预测价值</w:t>
            </w:r>
          </w:p>
        </w:tc>
        <w:tc>
          <w:tcPr>
            <w:tcW w:type="dxa" w:w="26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Landmark 条件模型 vs 仅含基线变量的模型</w:t>
            </w:r>
          </w:p>
        </w:tc>
        <w:tc>
          <w:tcPr>
            <w:tcW w:type="dxa" w:w="33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若条件模型相对基线模型的 ΔAUC 的 95% CI 下界 ≤ 0，H2 被否定</w:t>
            </w:r>
          </w:p>
        </w:tc>
      </w:tr>
      <w:tr>
        <w:tc>
          <w:tcPr>
            <w:tcW w:type="dxa" w:w="620"/>
            <w:tcMar>
              <w:top w:type="dxa" w:w="60"/>
              <w:left w:type="dxa" w:w="90"/>
              <w:bottom w:type="dxa" w:w="60"/>
              <w:right w:type="dxa" w:w="90"/>
            </w:tcMar>
            <w:vAlign w:val="center"/>
          </w:tcPr>
          <w:p>
            <w:pPr>
              <w:spacing w:after="20" w:before="20" w:line="260"/>
              <w:jc w:val="left"/>
            </w:pPr>
            <w:r>
              <w:rPr>
                <w:rFonts w:ascii="Times New Roman" w:eastAsia="宋体"/>
                <w:b/>
                <w:bCs/>
                <w:color w:val="C00000"/>
                <w:sz w:val="19"/>
                <w:szCs w:val="19"/>
              </w:rPr>
              <w:t xml:space="preserve">H3</w:t>
            </w:r>
          </w:p>
        </w:tc>
        <w:tc>
          <w:tcPr>
            <w:tcW w:type="dxa" w:w="308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治疗失败存在两条由不同标志物驱动的路径：基线难治负荷预测疗效路径失败；第 4 周嗜酸性粒细胞的上升预测耐受性路径失败</w:t>
            </w:r>
          </w:p>
        </w:tc>
        <w:tc>
          <w:tcPr>
            <w:tcW w:type="dxa" w:w="26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离散时间多分类竞争风险模型；两条路径的预测因子系数对比</w:t>
            </w:r>
          </w:p>
        </w:tc>
        <w:tc>
          <w:tcPr>
            <w:tcW w:type="dxa" w:w="33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若嗜酸变化对两类失败的系数方向与大小无差异，H3 被否定</w:t>
            </w:r>
          </w:p>
        </w:tc>
      </w:tr>
    </w:tbl>
    <w:p>
      <w:pPr>
        <w:pStyle w:val="Heading2"/>
        <w:spacing w:after="100" w:before="260"/>
      </w:pPr>
      <w:r>
        <w:rPr>
          <w:rFonts w:ascii="Times New Roman" w:eastAsia="黑体"/>
          <w:b/>
          <w:bCs/>
          <w:color w:val="1F3864"/>
          <w:sz w:val="25"/>
          <w:szCs w:val="25"/>
        </w:rPr>
        <w:t xml:space="preserve">1.5　逻辑闭环</w:t>
      </w:r>
    </w:p>
    <w:p>
      <w:pPr>
        <w:spacing w:after="60" w:before="60" w:line="300"/>
        <w:jc w:val="both"/>
      </w:pPr>
      <w:r>
        <w:rPr>
          <w:rFonts w:ascii="Times New Roman" w:eastAsia="宋体"/>
          <w:sz w:val="21"/>
          <w:szCs w:val="21"/>
        </w:rPr>
        <w:t xml:space="preserve">全研究的推理链条可以压缩为一句话：静态基线血清标志物已被证伪，因此本研究把赌注押在两个未被检验的方向上——</w:t>
      </w:r>
      <w:r>
        <w:rPr>
          <w:rFonts w:ascii="Times New Roman" w:eastAsia="宋体"/>
          <w:b/>
          <w:bCs/>
          <w:color w:val="1F3864"/>
          <w:sz w:val="21"/>
          <w:szCs w:val="21"/>
        </w:rPr>
        <w:t xml:space="preserve">比值型血细胞复合指数所携带的"炎症纯度"信息</w:t>
      </w:r>
      <w:r>
        <w:rPr>
          <w:rFonts w:ascii="Times New Roman" w:eastAsia="宋体"/>
          <w:sz w:val="21"/>
          <w:szCs w:val="21"/>
        </w:rPr>
        <w:t xml:space="preserve">，以及</w:t>
      </w:r>
      <w:r>
        <w:rPr>
          <w:rFonts w:ascii="Times New Roman" w:eastAsia="宋体"/>
          <w:b/>
          <w:bCs/>
          <w:color w:val="1F3864"/>
          <w:sz w:val="21"/>
          <w:szCs w:val="21"/>
        </w:rPr>
        <w:t xml:space="preserve">第 4 周动态变化所携带的早期轨迹信息</w:t>
      </w:r>
      <w:r>
        <w:rPr>
          <w:rFonts w:ascii="Times New Roman" w:eastAsia="宋体"/>
          <w:sz w:val="21"/>
          <w:szCs w:val="21"/>
        </w:rPr>
        <w:t xml:space="preserve">；同时承认"治疗失败"不是一个同质结局，把它拆成疗效路径与耐受性路径分别建模。</w:t>
      </w:r>
    </w:p>
    <w:p>
      <w:r>
        <w:br w:type="page"/>
      </w:r>
    </w:p>
    <w:p>
      <w:pPr>
        <w:pStyle w:val="Heading1"/>
        <w:spacing w:after="100" w:before="400"/>
      </w:pPr>
      <w:r>
        <w:rPr>
          <w:rFonts w:ascii="Times New Roman" w:eastAsia="黑体"/>
          <w:b/>
          <w:bCs/>
          <w:color w:val="1F3864"/>
          <w:sz w:val="30"/>
          <w:szCs w:val="30"/>
        </w:rPr>
        <w:t xml:space="preserve">第二部分　理论框架</w:t>
      </w:r>
    </w:p>
    <w:p>
      <w:pPr>
        <w:spacing w:after="60" w:before="60" w:line="300"/>
        <w:jc w:val="both"/>
      </w:pPr>
      <w:r>
        <w:rPr>
          <w:rFonts w:ascii="Times New Roman" w:eastAsia="宋体"/>
          <w:sz w:val="21"/>
          <w:szCs w:val="21"/>
        </w:rPr>
        <w:t xml:space="preserve">本部分说明每一项设计选择背后的理论依据。理论框架的作用是让方案的每个组成部分都可以回答"为什么是它而不是别的"。</w:t>
      </w:r>
    </w:p>
    <w:p>
      <w:pPr>
        <w:pStyle w:val="Heading2"/>
        <w:spacing w:after="100" w:before="260"/>
      </w:pPr>
      <w:r>
        <w:rPr>
          <w:rFonts w:ascii="Times New Roman" w:eastAsia="黑体"/>
          <w:b/>
          <w:bCs/>
          <w:color w:val="1F3864"/>
          <w:sz w:val="25"/>
          <w:szCs w:val="25"/>
        </w:rPr>
        <w:t xml:space="preserve">2.1　生物学理论：2 型炎症的"强度"与"纯度"</w:t>
      </w:r>
    </w:p>
    <w:p>
      <w:pPr>
        <w:spacing w:after="60" w:before="60" w:line="300"/>
        <w:jc w:val="both"/>
      </w:pPr>
      <w:r>
        <w:rPr>
          <w:rFonts w:ascii="Times New Roman" w:eastAsia="宋体"/>
          <w:sz w:val="21"/>
          <w:szCs w:val="21"/>
        </w:rPr>
        <w:t xml:space="preserve">度普利尤单抗阻断 IL-4Rα，同时切断 IL-4 与 IL-13 信号。理论上，2 型炎症在患者总体炎症负荷中所占比重越高，阻断该通路所能带来的临床获益就越大。</w:t>
      </w:r>
    </w:p>
    <w:p>
      <w:pPr>
        <w:spacing w:after="60" w:before="60" w:line="300"/>
        <w:jc w:val="both"/>
      </w:pPr>
      <w:r>
        <w:rPr>
          <w:rFonts w:ascii="Times New Roman" w:eastAsia="宋体"/>
          <w:sz w:val="21"/>
          <w:szCs w:val="21"/>
        </w:rPr>
        <w:t xml:space="preserve">既往研究失败的原因，可能在于它们测量的是 2 型炎症的</w:t>
      </w:r>
      <w:r>
        <w:rPr>
          <w:rFonts w:ascii="Times New Roman" w:eastAsia="宋体"/>
          <w:b/>
          <w:bCs/>
          <w:color w:val="1F3864"/>
          <w:sz w:val="21"/>
          <w:szCs w:val="21"/>
        </w:rPr>
        <w:t xml:space="preserve">绝对强度</w:t>
      </w:r>
      <w:r>
        <w:rPr>
          <w:rFonts w:ascii="Times New Roman" w:eastAsia="宋体"/>
          <w:sz w:val="21"/>
          <w:szCs w:val="21"/>
        </w:rPr>
        <w:t xml:space="preserve">（TARC、IgE、AEC 的绝对水平）。绝对强度同时反映疾病严重程度与炎症类型，二者混杂。本研究提出改为测量</w:t>
      </w:r>
      <w:r>
        <w:rPr>
          <w:rFonts w:ascii="Times New Roman" w:eastAsia="宋体"/>
          <w:b/>
          <w:bCs/>
          <w:color w:val="1F3864"/>
          <w:sz w:val="21"/>
          <w:szCs w:val="21"/>
        </w:rPr>
        <w:t xml:space="preserve">相对纯度</w:t>
      </w:r>
      <w:r>
        <w:rPr>
          <w:rFonts w:ascii="Times New Roman" w:eastAsia="宋体"/>
          <w:sz w:val="21"/>
          <w:szCs w:val="21"/>
        </w:rPr>
        <w:t xml:space="preserve">：</w:t>
      </w:r>
    </w:p>
    <w:p>
      <w:pPr>
        <w:pStyle w:val="ListParagraph"/>
        <w:numPr>
          <w:ilvl w:val="0"/>
          <w:numId w:val="2"/>
        </w:numPr>
        <w:spacing w:after="40" w:before="40" w:line="290"/>
        <w:jc w:val="both"/>
      </w:pPr>
      <w:r>
        <w:rPr>
          <w:rFonts w:ascii="Times New Roman" w:eastAsia="宋体"/>
          <w:sz w:val="21"/>
          <w:szCs w:val="21"/>
        </w:rPr>
        <w:t xml:space="preserve">分子项：嗜酸性粒细胞绝对计数（AEC）与血清总 IgE，代表 2 型炎症信号；</w:t>
      </w:r>
    </w:p>
    <w:p>
      <w:pPr>
        <w:pStyle w:val="ListParagraph"/>
        <w:numPr>
          <w:ilvl w:val="0"/>
          <w:numId w:val="2"/>
        </w:numPr>
        <w:spacing w:after="40" w:before="40" w:line="290"/>
        <w:jc w:val="both"/>
      </w:pPr>
      <w:r>
        <w:rPr>
          <w:rFonts w:ascii="Times New Roman" w:eastAsia="宋体"/>
          <w:sz w:val="21"/>
          <w:szCs w:val="21"/>
        </w:rPr>
        <w:t xml:space="preserve">分母项：中性粒细胞/淋巴细胞比值（NLR），代表非 2 型的全身性炎症负荷；</w:t>
      </w:r>
    </w:p>
    <w:p>
      <w:pPr>
        <w:pStyle w:val="ListParagraph"/>
        <w:numPr>
          <w:ilvl w:val="0"/>
          <w:numId w:val="2"/>
        </w:numPr>
        <w:spacing w:after="40" w:before="40" w:line="290"/>
        <w:jc w:val="both"/>
      </w:pPr>
      <w:r>
        <w:rPr>
          <w:rFonts w:ascii="Times New Roman" w:eastAsia="宋体"/>
          <w:sz w:val="21"/>
          <w:szCs w:val="21"/>
        </w:rPr>
        <w:t xml:space="preserve">比值结构：使指数在数学上独立于总体炎症水平，仅反映 2 型成分所占比重。</w:t>
      </w:r>
    </w:p>
    <w:p>
      <w:pPr>
        <w:spacing w:after="60" w:before="60" w:line="300"/>
        <w:jc w:val="both"/>
      </w:pPr>
      <w:r>
        <w:rPr>
          <w:rFonts w:ascii="Times New Roman" w:eastAsia="宋体"/>
          <w:sz w:val="21"/>
          <w:szCs w:val="21"/>
        </w:rPr>
        <w:t xml:space="preserve">这一构念与既往阴性结果不冲突——既往研究检验的是分子项的绝对值，本研究检验的是分子与分母的比值。这也是本研究相对于"基线血清标志物不预测疗效"这一否定性证据的理论出路。</w:t>
      </w:r>
    </w:p>
    <w:p>
      <w:pPr>
        <w:pBdr>
          <w:left w:val="single" w:color="C00000" w:sz="12" w:space="8"/>
        </w:pBdr>
        <w:spacing w:after="120" w:before="60" w:line="280"/>
        <w:ind w:left="220"/>
        <w:jc w:val="both"/>
      </w:pPr>
      <w:r>
        <w:rPr>
          <w:rFonts w:ascii="Times New Roman" w:eastAsia="宋体"/>
          <w:color w:val="833C00"/>
          <w:sz w:val="19"/>
          <w:szCs w:val="19"/>
        </w:rPr>
        <w:t xml:space="preserve">理论必须接受实证检验：方案预先指定"约束复合指数（固定权重）"与"自由权重模型（三个变量各自估计系数）"的正面对决。若固定权重的比值结构没有带来自由度上的净收益，则改用自由权重模型，复合指数降级为可解释性简化形式。理论的价值在于提出假设，而不在于免除检验。</w:t>
      </w:r>
    </w:p>
    <w:p>
      <w:pPr>
        <w:pStyle w:val="Heading2"/>
        <w:spacing w:after="100" w:before="260"/>
      </w:pPr>
      <w:r>
        <w:rPr>
          <w:rFonts w:ascii="Times New Roman" w:eastAsia="黑体"/>
          <w:b/>
          <w:bCs/>
          <w:color w:val="1F3864"/>
          <w:sz w:val="25"/>
          <w:szCs w:val="25"/>
        </w:rPr>
        <w:t xml:space="preserve">2.2　药理学理论：第 4 周嗜酸性粒细胞变化的双重含义</w:t>
      </w:r>
    </w:p>
    <w:p>
      <w:pPr>
        <w:spacing w:after="60" w:before="60" w:line="300"/>
        <w:jc w:val="both"/>
      </w:pPr>
      <w:r>
        <w:rPr>
          <w:rFonts w:ascii="Times New Roman" w:eastAsia="宋体"/>
          <w:sz w:val="21"/>
          <w:szCs w:val="21"/>
        </w:rPr>
        <w:t xml:space="preserve">度普利尤单抗阻断 IL-4Rα 后，抑制的是嗜酸性粒细胞</w:t>
      </w:r>
      <w:r>
        <w:rPr>
          <w:rFonts w:ascii="Times New Roman" w:eastAsia="宋体"/>
          <w:b/>
          <w:bCs/>
          <w:color w:val="1F3864"/>
          <w:sz w:val="21"/>
          <w:szCs w:val="21"/>
        </w:rPr>
        <w:t xml:space="preserve">向组织迁移</w:t>
      </w:r>
      <w:r>
        <w:rPr>
          <w:rFonts w:ascii="Times New Roman" w:eastAsia="宋体"/>
          <w:sz w:val="21"/>
          <w:szCs w:val="21"/>
        </w:rPr>
        <w:t xml:space="preserve">，而非其从骨髓的释放。因此治疗早期常出现一过性外周血嗜酸增多，</w:t>
      </w:r>
      <w:r>
        <w:rPr>
          <w:rFonts w:ascii="Times New Roman" w:eastAsia="宋体"/>
          <w:b/>
          <w:bCs/>
          <w:color w:val="1F3864"/>
          <w:sz w:val="21"/>
          <w:szCs w:val="21"/>
        </w:rPr>
        <w:t xml:space="preserve">峰值恰在第 4 周前后</w:t>
      </w:r>
      <w:r>
        <w:rPr>
          <w:rFonts w:ascii="Times New Roman" w:eastAsia="宋体"/>
          <w:sz w:val="21"/>
          <w:szCs w:val="21"/>
        </w:rPr>
        <w:t xml:space="preserve">，随后逐渐回落。</w:t>
      </w:r>
    </w:p>
    <w:p>
      <w:pPr>
        <w:spacing w:after="60" w:before="60" w:line="300"/>
        <w:jc w:val="both"/>
      </w:pPr>
      <w:r>
        <w:rPr>
          <w:rFonts w:ascii="Times New Roman" w:eastAsia="宋体"/>
          <w:sz w:val="21"/>
          <w:szCs w:val="21"/>
        </w:rPr>
        <w:t xml:space="preserve">多项研究一致显示，这一现象</w:t>
      </w:r>
      <w:r>
        <w:rPr>
          <w:rFonts w:ascii="Times New Roman" w:eastAsia="宋体"/>
          <w:b/>
          <w:bCs/>
          <w:color w:val="1F3864"/>
          <w:sz w:val="21"/>
          <w:szCs w:val="21"/>
        </w:rPr>
        <w:t xml:space="preserve">与疗效无关</w:t>
      </w:r>
      <w:r>
        <w:rPr>
          <w:rFonts w:ascii="Times New Roman" w:eastAsia="宋体"/>
          <w:sz w:val="21"/>
          <w:szCs w:val="21"/>
        </w:rPr>
        <w:t xml:space="preserve">；但另有研究发现，治疗期间嗜酸性粒细胞升高与</w:t>
      </w:r>
      <w:r>
        <w:rPr>
          <w:rFonts w:ascii="Times New Roman" w:eastAsia="宋体"/>
          <w:b/>
          <w:bCs/>
          <w:color w:val="1F3864"/>
          <w:sz w:val="21"/>
          <w:szCs w:val="21"/>
        </w:rPr>
        <w:t xml:space="preserve">面部红斑皮炎及眼表疾病</w:t>
      </w:r>
      <w:r>
        <w:rPr>
          <w:rFonts w:ascii="Times New Roman" w:eastAsia="宋体"/>
          <w:sz w:val="21"/>
          <w:szCs w:val="21"/>
        </w:rPr>
        <w:t xml:space="preserve">的发生相关——而这两者正是真实世界中最常见的治疗策略改变原因。</w:t>
      </w:r>
    </w:p>
    <w:p>
      <w:pPr>
        <w:spacing w:after="60" w:before="60" w:line="300"/>
        <w:jc w:val="both"/>
      </w:pPr>
      <w:r>
        <w:rPr>
          <w:rFonts w:ascii="Times New Roman" w:eastAsia="宋体"/>
          <w:sz w:val="21"/>
          <w:szCs w:val="21"/>
        </w:rPr>
        <w:t xml:space="preserve">由此形成本研究最具原创性的理论推论：</w:t>
      </w:r>
    </w:p>
    <w:p>
      <w:pPr>
        <w:spacing w:after="60" w:before="60" w:line="300"/>
        <w:ind w:left="400"/>
        <w:jc w:val="both"/>
      </w:pPr>
      <w:r>
        <w:rPr>
          <w:rFonts w:ascii="Times New Roman" w:eastAsia="宋体"/>
          <w:b/>
          <w:bCs/>
          <w:color w:val="C00000"/>
          <w:sz w:val="21"/>
          <w:szCs w:val="21"/>
        </w:rPr>
        <w:t xml:space="preserve">第 4 周的嗜酸性粒细胞上升，不是"疗效不佳"的信号，而是"耐受性风险"的信号。它预测的不是目标事件，而是竞争事件。</w:t>
      </w:r>
    </w:p>
    <w:p>
      <w:pPr>
        <w:spacing w:after="60" w:before="60" w:line="300"/>
        <w:jc w:val="both"/>
      </w:pPr>
      <w:r>
        <w:rPr>
          <w:rFonts w:ascii="Times New Roman" w:eastAsia="宋体"/>
          <w:sz w:val="21"/>
          <w:szCs w:val="21"/>
        </w:rPr>
        <w:t xml:space="preserve">这一推论在方法学上产生一个重要后果：它是</w:t>
      </w:r>
      <w:r>
        <w:rPr>
          <w:rFonts w:ascii="Times New Roman" w:eastAsia="宋体"/>
          <w:b/>
          <w:bCs/>
          <w:color w:val="1F3864"/>
          <w:sz w:val="21"/>
          <w:szCs w:val="21"/>
        </w:rPr>
        <w:t xml:space="preserve">唯一必须依赖竞争风险框架才能检验的假说</w:t>
      </w:r>
      <w:r>
        <w:rPr>
          <w:rFonts w:ascii="Times New Roman" w:eastAsia="宋体"/>
          <w:sz w:val="21"/>
          <w:szCs w:val="21"/>
        </w:rPr>
        <w:t xml:space="preserve">。二分类结局模型将"未达标"与"因不良反应停药"合并为同一类，在结构上无法分离两条路径。因此竞争风险框架在本研究中不是"更严谨的可选项"，而是回答核心科学问题的必要条件。</w:t>
      </w:r>
    </w:p>
    <w:p>
      <w:pPr>
        <w:pStyle w:val="Heading2"/>
        <w:spacing w:after="100" w:before="260"/>
      </w:pPr>
      <w:r>
        <w:rPr>
          <w:rFonts w:ascii="Times New Roman" w:eastAsia="黑体"/>
          <w:b/>
          <w:bCs/>
          <w:color w:val="1F3864"/>
          <w:sz w:val="25"/>
          <w:szCs w:val="25"/>
        </w:rPr>
        <w:t xml:space="preserve">2.3　临床决策理论：为什么是第 4 周</w:t>
      </w:r>
    </w:p>
    <w:p>
      <w:pPr>
        <w:spacing w:after="60" w:before="60" w:line="300"/>
        <w:jc w:val="both"/>
      </w:pPr>
      <w:r>
        <w:rPr>
          <w:rFonts w:ascii="Times New Roman" w:eastAsia="宋体"/>
          <w:sz w:val="21"/>
          <w:szCs w:val="21"/>
        </w:rPr>
        <w:t xml:space="preserve">第 4 周被选为唯一动态决策节点，基于三条相互独立的理由：</w:t>
      </w:r>
    </w:p>
    <w:p>
      <w:pPr>
        <w:pStyle w:val="ListParagraph"/>
        <w:numPr>
          <w:ilvl w:val="0"/>
          <w:numId w:val="2"/>
        </w:numPr>
        <w:spacing w:after="40" w:before="40" w:line="290"/>
        <w:jc w:val="both"/>
      </w:pPr>
      <w:r>
        <w:rPr>
          <w:rFonts w:ascii="Times New Roman" w:eastAsia="宋体"/>
          <w:sz w:val="21"/>
          <w:szCs w:val="21"/>
        </w:rPr>
        <w:t xml:space="preserve">临床理由：约 70% 的应答者在第 4 周即显现改善，第 4 周是临床上第一个可以形成有意义判断的节点；</w:t>
      </w:r>
    </w:p>
    <w:p>
      <w:pPr>
        <w:pStyle w:val="ListParagraph"/>
        <w:numPr>
          <w:ilvl w:val="0"/>
          <w:numId w:val="2"/>
        </w:numPr>
        <w:spacing w:after="40" w:before="40" w:line="290"/>
        <w:jc w:val="both"/>
      </w:pPr>
      <w:r>
        <w:rPr>
          <w:rFonts w:ascii="Times New Roman" w:eastAsia="宋体"/>
          <w:sz w:val="21"/>
          <w:szCs w:val="21"/>
        </w:rPr>
        <w:t xml:space="preserve">经济理由：第 4 周时患者已使用约 3 支药物，此时改变方案可避免其余约 6 支的支出；</w:t>
      </w:r>
    </w:p>
    <w:p>
      <w:pPr>
        <w:pStyle w:val="ListParagraph"/>
        <w:numPr>
          <w:ilvl w:val="0"/>
          <w:numId w:val="2"/>
        </w:numPr>
        <w:spacing w:after="40" w:before="40" w:line="290"/>
        <w:jc w:val="both"/>
      </w:pPr>
      <w:r>
        <w:rPr>
          <w:rFonts w:ascii="Times New Roman" w:eastAsia="宋体"/>
          <w:sz w:val="21"/>
          <w:szCs w:val="21"/>
        </w:rPr>
        <w:t xml:space="preserve">药理理由：第 4 周恰为一过性嗜酸增多的峰值时点，是捕捉耐受性风险信号的最佳窗口。</w:t>
      </w:r>
    </w:p>
    <w:p>
      <w:pPr>
        <w:spacing w:after="60" w:before="60" w:line="300"/>
        <w:jc w:val="both"/>
      </w:pPr>
      <w:r>
        <w:rPr>
          <w:rFonts w:ascii="Times New Roman" w:eastAsia="宋体"/>
          <w:sz w:val="21"/>
          <w:szCs w:val="21"/>
        </w:rPr>
        <w:t xml:space="preserve">值得注意的是，第三条理由与前两条在方向上并不一致：第 4 周对疗效判断而言是较早的、信息尚不充分的时点，但对耐受性风险而言恰是信息最集中的时点。这一张力本身支持了"两条路径应当分别建模"的设计。</w:t>
      </w:r>
    </w:p>
    <w:p>
      <w:pPr>
        <w:pStyle w:val="Heading2"/>
        <w:spacing w:after="100" w:before="260"/>
      </w:pPr>
      <w:r>
        <w:rPr>
          <w:rFonts w:ascii="Times New Roman" w:eastAsia="黑体"/>
          <w:b/>
          <w:bCs/>
          <w:color w:val="1F3864"/>
          <w:sz w:val="25"/>
          <w:szCs w:val="25"/>
        </w:rPr>
        <w:t xml:space="preserve">2.4　统计学理论：三项框架选择的依据</w:t>
      </w:r>
    </w:p>
    <w:p>
      <w:pPr>
        <w:spacing w:after="60" w:before="160"/>
      </w:pPr>
      <w:r>
        <w:rPr>
          <w:rFonts w:ascii="Times New Roman" w:eastAsia="黑体"/>
          <w:b/>
          <w:bCs/>
          <w:color w:val="1F3864"/>
          <w:sz w:val="19"/>
          <w:szCs w:val="19"/>
        </w:rPr>
        <w:t xml:space="preserve">表 2-1　统计框架选择及其理论依据</w:t>
      </w:r>
    </w:p>
    <w:tbl>
      <w:tblPr>
        <w:tblW w:type="dxa" w:w="9600"/>
        <w:tblBorders>
          <w:top w:val="single" w:color="8EA9DB" w:sz="4"/>
          <w:left w:val="single" w:color="8EA9DB" w:sz="4"/>
          <w:bottom w:val="single" w:color="8EA9DB" w:sz="4"/>
          <w:right w:val="single" w:color="8EA9DB" w:sz="4"/>
          <w:insideH w:val="single" w:color="B4C6E7" w:sz="2"/>
          <w:insideV w:val="single" w:color="B4C6E7" w:sz="2"/>
        </w:tblBorders>
        <w:tblLayout w:type="fixed"/>
      </w:tblPr>
      <w:tblGrid>
        <w:gridCol w:w="1800"/>
        <w:gridCol w:w="2600"/>
        <w:gridCol w:w="2600"/>
        <w:gridCol w:w="2600"/>
      </w:tblGrid>
      <w:tr>
        <w:trPr>
          <w:tblHeader/>
        </w:trPr>
        <w:tc>
          <w:tcPr>
            <w:tcW w:type="dxa" w:w="18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框架选择</w:t>
            </w:r>
          </w:p>
        </w:tc>
        <w:tc>
          <w:tcPr>
            <w:tcW w:type="dxa" w:w="26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被放弃的替代方案</w:t>
            </w:r>
          </w:p>
        </w:tc>
        <w:tc>
          <w:tcPr>
            <w:tcW w:type="dxa" w:w="26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放弃理由</w:t>
            </w:r>
          </w:p>
        </w:tc>
        <w:tc>
          <w:tcPr>
            <w:tcW w:type="dxa" w:w="26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所选方案的适配性</w:t>
            </w:r>
          </w:p>
        </w:tc>
      </w:tr>
      <w:tr>
        <w:tc>
          <w:tcPr>
            <w:tcW w:type="dxa" w:w="18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离散时间竞争风险（多分类 Logistic）</w:t>
            </w:r>
          </w:p>
        </w:tc>
        <w:tc>
          <w:tcPr>
            <w:tcW w:type="dxa" w:w="26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连续时间 Cox / Fine-Gray 模型</w:t>
            </w:r>
          </w:p>
        </w:tc>
        <w:tc>
          <w:tcPr>
            <w:tcW w:type="dxa" w:w="26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本研究仅有 2 个疗效评估节点（W4、W16），所有 W16 达标者的精确达标时间未知，构成区间删失并在 W16 处产生大量时间打结，会导致风险比估计有偏</w:t>
            </w:r>
          </w:p>
        </w:tc>
        <w:tc>
          <w:tcPr>
            <w:tcW w:type="dxa" w:w="26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直接在预先指定的固定时间窗估计绝对概率，与随访结构严格匹配；对增减随访节点无结构性要求</w:t>
            </w:r>
          </w:p>
        </w:tc>
      </w:tr>
      <w:tr>
        <w:tc>
          <w:tcPr>
            <w:tcW w:type="dxa" w:w="18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Landmark 分析（单一节点）</w:t>
            </w:r>
          </w:p>
        </w:tc>
        <w:tc>
          <w:tcPr>
            <w:tcW w:type="dxa" w:w="26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联合模型 / 时变协变量 Cox</w:t>
            </w:r>
          </w:p>
        </w:tc>
        <w:tc>
          <w:tcPr>
            <w:tcW w:type="dxa" w:w="26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联合模型需要密集纵向测量以估计随机效应轨迹；三至四个节点下随机斜率模型极可能奇异拟合</w:t>
            </w:r>
          </w:p>
        </w:tc>
        <w:tc>
          <w:tcPr>
            <w:tcW w:type="dxa" w:w="26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在预先指定的条件队列中直接估计条件概率，与"第 4 周门诊决策"这一真实临床场景一一对应</w:t>
            </w:r>
          </w:p>
        </w:tc>
      </w:tr>
      <w:tr>
        <w:tc>
          <w:tcPr>
            <w:tcW w:type="dxa" w:w="18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Conformal 分类（预测集）</w:t>
            </w:r>
          </w:p>
        </w:tc>
        <w:tc>
          <w:tcPr>
            <w:tcW w:type="dxa" w:w="26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仅报告点估计概率</w:t>
            </w:r>
          </w:p>
        </w:tc>
        <w:tc>
          <w:tcPr>
            <w:tcW w:type="dxa" w:w="26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点估计无法表达"模型对这位患者是否具有信息"；而回归型 conformal 的覆盖率保证针对结局本身，不能作为预测概率的不确定性区间</w:t>
            </w:r>
          </w:p>
        </w:tc>
        <w:tc>
          <w:tcPr>
            <w:tcW w:type="dxa" w:w="26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输出有分布无关覆盖率保证的标签集合；集合大小直接对应决策确定性，并允许模型对特定患者明确弃权</w:t>
            </w:r>
          </w:p>
        </w:tc>
      </w:tr>
    </w:tbl>
    <w:p>
      <w:pPr>
        <w:pStyle w:val="Heading2"/>
        <w:spacing w:after="100" w:before="260"/>
      </w:pPr>
      <w:r>
        <w:rPr>
          <w:rFonts w:ascii="Times New Roman" w:eastAsia="黑体"/>
          <w:b/>
          <w:bCs/>
          <w:color w:val="1F3864"/>
          <w:sz w:val="25"/>
          <w:szCs w:val="25"/>
        </w:rPr>
        <w:t xml:space="preserve">2.5　全部理论假设的显式清单</w:t>
      </w:r>
    </w:p>
    <w:p>
      <w:pPr>
        <w:spacing w:after="60" w:before="60" w:line="300"/>
        <w:jc w:val="both"/>
      </w:pPr>
      <w:r>
        <w:rPr>
          <w:rFonts w:ascii="Times New Roman" w:eastAsia="宋体"/>
          <w:sz w:val="21"/>
          <w:szCs w:val="21"/>
        </w:rPr>
        <w:t xml:space="preserve">以下假设支撑本研究的推理，且各自可被数据否定。方案要求在结果部分逐条报告其检验结果，无论方向。</w:t>
      </w:r>
    </w:p>
    <w:p>
      <w:pPr>
        <w:pStyle w:val="ListParagraph"/>
        <w:numPr>
          <w:ilvl w:val="0"/>
          <w:numId w:val="2"/>
        </w:numPr>
        <w:spacing w:after="40" w:before="40" w:line="290"/>
        <w:jc w:val="both"/>
      </w:pPr>
      <w:r>
        <w:rPr>
          <w:rFonts w:ascii="Times New Roman" w:eastAsia="宋体"/>
          <w:sz w:val="21"/>
          <w:szCs w:val="21"/>
        </w:rPr>
        <w:t xml:space="preserve">A1：2 型炎症的相对纯度比绝对强度更能预测 IL-4Rα 阻断的获益。</w:t>
      </w:r>
    </w:p>
    <w:p>
      <w:pPr>
        <w:pStyle w:val="ListParagraph"/>
        <w:numPr>
          <w:ilvl w:val="0"/>
          <w:numId w:val="2"/>
        </w:numPr>
        <w:spacing w:after="40" w:before="40" w:line="290"/>
        <w:jc w:val="both"/>
      </w:pPr>
      <w:r>
        <w:rPr>
          <w:rFonts w:ascii="Times New Roman" w:eastAsia="宋体"/>
          <w:sz w:val="21"/>
          <w:szCs w:val="21"/>
        </w:rPr>
        <w:t xml:space="preserve">A2：复合指数的固定权重结构在小样本下带来的自由度节约，超过其函数形式约束所付出的代价。</w:t>
      </w:r>
    </w:p>
    <w:p>
      <w:pPr>
        <w:pStyle w:val="ListParagraph"/>
        <w:numPr>
          <w:ilvl w:val="0"/>
          <w:numId w:val="2"/>
        </w:numPr>
        <w:spacing w:after="40" w:before="40" w:line="290"/>
        <w:jc w:val="both"/>
      </w:pPr>
      <w:r>
        <w:rPr>
          <w:rFonts w:ascii="Times New Roman" w:eastAsia="宋体"/>
          <w:sz w:val="21"/>
          <w:szCs w:val="21"/>
        </w:rPr>
        <w:t xml:space="preserve">A3：第 4 周的动态信息不能被基线信息完全解释。</w:t>
      </w:r>
    </w:p>
    <w:p>
      <w:pPr>
        <w:pStyle w:val="ListParagraph"/>
        <w:numPr>
          <w:ilvl w:val="0"/>
          <w:numId w:val="2"/>
        </w:numPr>
        <w:spacing w:after="40" w:before="40" w:line="290"/>
        <w:jc w:val="both"/>
      </w:pPr>
      <w:r>
        <w:rPr>
          <w:rFonts w:ascii="Times New Roman" w:eastAsia="宋体"/>
          <w:sz w:val="21"/>
          <w:szCs w:val="21"/>
        </w:rPr>
        <w:t xml:space="preserve">A4：疗效路径失败与耐受性路径失败由不同的标志物驱动。</w:t>
      </w:r>
    </w:p>
    <w:p>
      <w:pPr>
        <w:pStyle w:val="ListParagraph"/>
        <w:numPr>
          <w:ilvl w:val="0"/>
          <w:numId w:val="2"/>
        </w:numPr>
        <w:spacing w:after="40" w:before="40" w:line="290"/>
        <w:jc w:val="both"/>
      </w:pPr>
      <w:r>
        <w:rPr>
          <w:rFonts w:ascii="Times New Roman" w:eastAsia="宋体"/>
          <w:sz w:val="21"/>
          <w:szCs w:val="21"/>
        </w:rPr>
        <w:t xml:space="preserve">A5：治疗策略改变（含加用解救治疗、换药、上调频次）在真实世界中的发生率足以支持多分类建模（预期 15%–25%）。</w:t>
      </w:r>
    </w:p>
    <w:p>
      <w:r>
        <w:br w:type="page"/>
      </w:r>
    </w:p>
    <w:p>
      <w:pPr>
        <w:pStyle w:val="Heading1"/>
        <w:spacing w:after="100" w:before="400"/>
      </w:pPr>
      <w:r>
        <w:rPr>
          <w:rFonts w:ascii="Times New Roman" w:eastAsia="黑体"/>
          <w:b/>
          <w:bCs/>
          <w:color w:val="1F3864"/>
          <w:sz w:val="30"/>
          <w:szCs w:val="30"/>
        </w:rPr>
        <w:t xml:space="preserve">第三部分　临床队列方法学</w:t>
      </w:r>
    </w:p>
    <w:p>
      <w:pPr>
        <w:pStyle w:val="Heading2"/>
        <w:spacing w:after="100" w:before="260"/>
      </w:pPr>
      <w:r>
        <w:rPr>
          <w:rFonts w:ascii="Times New Roman" w:eastAsia="黑体"/>
          <w:b/>
          <w:bCs/>
          <w:color w:val="1F3864"/>
          <w:sz w:val="25"/>
          <w:szCs w:val="25"/>
        </w:rPr>
        <w:t xml:space="preserve">3.1　研究设计</w:t>
      </w:r>
    </w:p>
    <w:p>
      <w:pPr>
        <w:spacing w:after="60" w:before="60" w:line="300"/>
        <w:jc w:val="both"/>
      </w:pPr>
      <w:r>
        <w:rPr>
          <w:rFonts w:ascii="Times New Roman" w:eastAsia="宋体"/>
          <w:sz w:val="21"/>
          <w:szCs w:val="21"/>
        </w:rPr>
        <w:t xml:space="preserve">前瞻性、观察性、多中心、单臂队列研究。所有入组患者均由主诊医生基于常规临床判断决定启动度普利尤单抗 300 mg q2w，</w:t>
      </w:r>
      <w:r>
        <w:rPr>
          <w:rFonts w:ascii="Times New Roman" w:eastAsia="宋体"/>
          <w:b/>
          <w:bCs/>
          <w:color w:val="1F3864"/>
          <w:sz w:val="21"/>
          <w:szCs w:val="21"/>
        </w:rPr>
        <w:t xml:space="preserve">治疗决策完全独立于本研究方案</w:t>
      </w:r>
      <w:r>
        <w:rPr>
          <w:rFonts w:ascii="Times New Roman" w:eastAsia="宋体"/>
          <w:sz w:val="21"/>
          <w:szCs w:val="21"/>
        </w:rPr>
        <w:t xml:space="preserve">；研究不干预任何治疗选择。</w:t>
      </w:r>
    </w:p>
    <w:p>
      <w:pPr>
        <w:pBdr>
          <w:left w:val="single" w:color="C00000" w:sz="12" w:space="8"/>
        </w:pBdr>
        <w:spacing w:after="120" w:before="60" w:line="280"/>
        <w:ind w:left="220"/>
        <w:jc w:val="both"/>
      </w:pPr>
      <w:r>
        <w:rPr>
          <w:rFonts w:ascii="Times New Roman" w:eastAsia="宋体"/>
          <w:color w:val="833C00"/>
          <w:sz w:val="19"/>
          <w:szCs w:val="19"/>
        </w:rPr>
        <w:t xml:space="preserve">队列性质的正式声明：本研究为单臂设计，不存在 JAK 抑制剂或其他方案的同期对照。因此所有复合指数在分析语义上严格定性为预后型（prognostic）生物标志物，而非预测型（predictive）生物标志物。全文所有临床建议措辞限于"预后信息支持的知情讨论"，不作任何"更换方案可获得更好疗效"的推断——后者需要双臂比较数据，本研究的数据结构无法支撑。</w:t>
      </w:r>
    </w:p>
    <w:p>
      <w:pPr>
        <w:spacing w:after="60" w:before="60" w:line="300"/>
        <w:jc w:val="both"/>
      </w:pPr>
      <w:r>
        <w:rPr>
          <w:rFonts w:ascii="Times New Roman" w:eastAsia="宋体"/>
          <w:sz w:val="21"/>
          <w:szCs w:val="21"/>
        </w:rPr>
        <w:t xml:space="preserve">设计类型的选择理由：预测模型的开发需要反映真实部署环境的数据。RCT 人群经严格筛选、背景治疗受限（SOLO 系列禁用外用激素），其预测模型难以外推至真实世界；观察性队列虽引入共同干预等混杂，但更贴近工具实际使用的场景。</w:t>
      </w:r>
    </w:p>
    <w:p>
      <w:pPr>
        <w:pStyle w:val="Heading2"/>
        <w:spacing w:after="100" w:before="260"/>
      </w:pPr>
      <w:r>
        <w:rPr>
          <w:rFonts w:ascii="Times New Roman" w:eastAsia="黑体"/>
          <w:b/>
          <w:bCs/>
          <w:color w:val="1F3864"/>
          <w:sz w:val="25"/>
          <w:szCs w:val="25"/>
        </w:rPr>
        <w:t xml:space="preserve">3.2　研究现场与协作网络</w:t>
      </w:r>
    </w:p>
    <w:p>
      <w:pPr>
        <w:spacing w:after="60" w:before="60" w:line="300"/>
        <w:jc w:val="both"/>
      </w:pPr>
      <w:r>
        <w:rPr>
          <w:rFonts w:ascii="Times New Roman" w:eastAsia="宋体"/>
          <w:sz w:val="21"/>
          <w:szCs w:val="21"/>
        </w:rPr>
        <w:t xml:space="preserve">牵头单位一家（三级甲等医院皮肤科），协作单位 2–3 家。多中心设计的三重目的：</w:t>
      </w:r>
    </w:p>
    <w:p>
      <w:pPr>
        <w:pStyle w:val="ListParagraph"/>
        <w:numPr>
          <w:ilvl w:val="0"/>
          <w:numId w:val="2"/>
        </w:numPr>
        <w:spacing w:after="40" w:before="40" w:line="290"/>
        <w:jc w:val="both"/>
      </w:pPr>
      <w:r>
        <w:rPr>
          <w:rFonts w:ascii="Times New Roman" w:eastAsia="宋体"/>
          <w:sz w:val="21"/>
          <w:szCs w:val="21"/>
        </w:rPr>
        <w:t xml:space="preserve">达成样本量要求（见 3.4，单中心难以在合理周期内完成）；</w:t>
      </w:r>
    </w:p>
    <w:p>
      <w:pPr>
        <w:pStyle w:val="ListParagraph"/>
        <w:numPr>
          <w:ilvl w:val="0"/>
          <w:numId w:val="2"/>
        </w:numPr>
        <w:spacing w:after="40" w:before="40" w:line="290"/>
        <w:jc w:val="both"/>
      </w:pPr>
      <w:r>
        <w:rPr>
          <w:rFonts w:ascii="Times New Roman" w:eastAsia="宋体"/>
          <w:sz w:val="21"/>
          <w:szCs w:val="21"/>
        </w:rPr>
        <w:t xml:space="preserve">提供留一中心交叉验证（leave-one-site-out）作为外部验证的兜底方案；</w:t>
      </w:r>
    </w:p>
    <w:p>
      <w:pPr>
        <w:pStyle w:val="ListParagraph"/>
        <w:numPr>
          <w:ilvl w:val="0"/>
          <w:numId w:val="2"/>
        </w:numPr>
        <w:spacing w:after="40" w:before="40" w:line="290"/>
        <w:jc w:val="both"/>
      </w:pPr>
      <w:r>
        <w:rPr>
          <w:rFonts w:ascii="Times New Roman" w:eastAsia="宋体"/>
          <w:sz w:val="21"/>
          <w:szCs w:val="21"/>
        </w:rPr>
        <w:t xml:space="preserve">检验模型在不同检验平台与不同评估者之间的稳健性。</w:t>
      </w:r>
    </w:p>
    <w:p>
      <w:pPr>
        <w:spacing w:after="60" w:before="60" w:line="300"/>
        <w:jc w:val="both"/>
      </w:pPr>
      <w:r>
        <w:rPr>
          <w:rFonts w:ascii="Times New Roman" w:eastAsia="宋体"/>
          <w:sz w:val="21"/>
          <w:szCs w:val="21"/>
        </w:rPr>
        <w:t xml:space="preserve">各中心须使用统一的 CRF、统一的 EASI 评估培训与统一的采血-离心时限规范；实验室检测允许在各中心本地完成，但须记录检测平台与参考上限，分析时统一转换为倍于参考上限的比值。</w:t>
      </w:r>
    </w:p>
    <w:p>
      <w:pPr>
        <w:pStyle w:val="Heading2"/>
        <w:spacing w:after="100" w:before="260"/>
      </w:pPr>
      <w:r>
        <w:rPr>
          <w:rFonts w:ascii="Times New Roman" w:eastAsia="黑体"/>
          <w:b/>
          <w:bCs/>
          <w:color w:val="1F3864"/>
          <w:sz w:val="25"/>
          <w:szCs w:val="25"/>
        </w:rPr>
        <w:t xml:space="preserve">3.3　纳入与排除标准</w:t>
      </w:r>
    </w:p>
    <w:p>
      <w:pPr>
        <w:spacing w:after="60" w:before="160"/>
      </w:pPr>
      <w:r>
        <w:rPr>
          <w:rFonts w:ascii="Times New Roman" w:eastAsia="黑体"/>
          <w:b/>
          <w:bCs/>
          <w:color w:val="1F3864"/>
          <w:sz w:val="19"/>
          <w:szCs w:val="19"/>
        </w:rPr>
        <w:t xml:space="preserve">表 3-1　纳入与排除标准</w:t>
      </w:r>
    </w:p>
    <w:tbl>
      <w:tblPr>
        <w:tblW w:type="dxa" w:w="9600"/>
        <w:tblBorders>
          <w:top w:val="single" w:color="8EA9DB" w:sz="4"/>
          <w:left w:val="single" w:color="8EA9DB" w:sz="4"/>
          <w:bottom w:val="single" w:color="8EA9DB" w:sz="4"/>
          <w:right w:val="single" w:color="8EA9DB" w:sz="4"/>
          <w:insideH w:val="single" w:color="B4C6E7" w:sz="2"/>
          <w:insideV w:val="single" w:color="B4C6E7" w:sz="2"/>
        </w:tblBorders>
        <w:tblLayout w:type="fixed"/>
      </w:tblPr>
      <w:tblGrid>
        <w:gridCol w:w="1400"/>
        <w:gridCol w:w="8200"/>
      </w:tblGrid>
      <w:tr>
        <w:trPr>
          <w:tblHeader/>
        </w:trPr>
        <w:tc>
          <w:tcPr>
            <w:tcW w:type="dxa" w:w="14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类别</w:t>
            </w:r>
          </w:p>
        </w:tc>
        <w:tc>
          <w:tcPr>
            <w:tcW w:type="dxa" w:w="82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标准</w:t>
            </w:r>
          </w:p>
        </w:tc>
      </w:tr>
      <w:tr>
        <w:tc>
          <w:tcPr>
            <w:tcW w:type="dxa" w:w="14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纳入标准</w:t>
            </w:r>
          </w:p>
        </w:tc>
        <w:tc>
          <w:tcPr>
            <w:tcW w:type="dxa" w:w="82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（1）年龄 ≥18 岁；（2）符合 Hanifin-Rajka 标准的中重度 AD（EASI ≥16 且 IGA ≥3）；（3）主诊医生已独立决定启动度普利尤单抗 300 mg q2w；（4）基线 AEC 与 EASI 四分区评分可及；（5）具备 W4 与 W16 随访条件并签署知情同意书</w:t>
            </w:r>
          </w:p>
        </w:tc>
      </w:tr>
      <w:tr>
        <w:tc>
          <w:tcPr>
            <w:tcW w:type="dxa" w:w="14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排除标准</w:t>
            </w:r>
          </w:p>
        </w:tc>
        <w:tc>
          <w:tcPr>
            <w:tcW w:type="dxa" w:w="82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（1）合并需系统性免疫抑制治疗的其他疾病；（2）入组前 4 周内使用过系统性免疫抑制剂；（3）妊娠或哺乳期；（4）已知对度普利尤单抗过敏；（5）活动性未控制感染</w:t>
            </w:r>
          </w:p>
        </w:tc>
      </w:tr>
    </w:tbl>
    <w:p>
      <w:pPr>
        <w:pBdr>
          <w:left w:val="single" w:color="C00000" w:sz="12" w:space="8"/>
        </w:pBdr>
        <w:spacing w:after="120" w:before="60" w:line="280"/>
        <w:ind w:left="220"/>
        <w:jc w:val="both"/>
      </w:pPr>
      <w:r>
        <w:rPr>
          <w:rFonts w:ascii="Times New Roman" w:eastAsia="宋体"/>
          <w:color w:val="833C00"/>
          <w:sz w:val="19"/>
          <w:szCs w:val="19"/>
        </w:rPr>
        <w:t xml:space="preserve">已删除原方案中"基线关键变量缺失率超过 20%"的排除条款。理由：该条款与纳入标准第（4）条重复且互相矛盾；更重要的是，以缺失状况作为纳入依据会破坏后续多重插补所依赖的 MAR 假设。除 AEC 与 EASI 分区外，其余变量允许缺失并由插补处理。</w:t>
      </w:r>
    </w:p>
    <w:p>
      <w:pPr>
        <w:pStyle w:val="Heading2"/>
        <w:spacing w:after="100" w:before="260"/>
      </w:pPr>
      <w:r>
        <w:rPr>
          <w:rFonts w:ascii="Times New Roman" w:eastAsia="黑体"/>
          <w:b/>
          <w:bCs/>
          <w:color w:val="1F3864"/>
          <w:sz w:val="25"/>
          <w:szCs w:val="25"/>
        </w:rPr>
        <w:t xml:space="preserve">3.4　样本量论证</w:t>
      </w:r>
    </w:p>
    <w:p>
      <w:pPr>
        <w:spacing w:after="60" w:before="60" w:line="300"/>
        <w:jc w:val="both"/>
      </w:pPr>
      <w:r>
        <w:rPr>
          <w:rFonts w:ascii="Times New Roman" w:eastAsia="宋体"/>
          <w:sz w:val="21"/>
          <w:szCs w:val="21"/>
        </w:rPr>
        <w:t xml:space="preserve">样本量按 Riley 等的临床预测模型开发标准计算（pmsampsize），而非 EPV 经验法则——后者已被 TRIPOD+AI (2024) 实质性淘汰。</w:t>
      </w:r>
    </w:p>
    <w:p>
      <w:pPr>
        <w:spacing w:after="60" w:before="60" w:line="300"/>
        <w:jc w:val="both"/>
      </w:pPr>
      <w:r>
        <w:rPr>
          <w:rFonts w:ascii="Times New Roman" w:eastAsia="宋体"/>
          <w:sz w:val="21"/>
          <w:szCs w:val="21"/>
        </w:rPr>
        <w:t xml:space="preserve">参数设定：第 16 周 EASI-75 达标率 φ = 0.55（须在预试验后按本地实测值更新；参考值：重庆前瞻队列 42.7%，其他中国中心 64.5%–78.9%，注册试验 44%–51%）；目标 C-statistic 0.75，对应 Cox-Snell R² ≈ 0.20；收缩系数 ≥0.90；总体风险估计绝对误差 ≤0.05。</w:t>
      </w:r>
    </w:p>
    <w:p>
      <w:pPr>
        <w:spacing w:after="60" w:before="160"/>
      </w:pPr>
      <w:r>
        <w:rPr>
          <w:rFonts w:ascii="Times New Roman" w:eastAsia="黑体"/>
          <w:b/>
          <w:bCs/>
          <w:color w:val="1F3864"/>
          <w:sz w:val="19"/>
          <w:szCs w:val="19"/>
        </w:rPr>
        <w:t xml:space="preserve">表 3-2　不同候选参数个数下的最小样本量</w:t>
      </w:r>
    </w:p>
    <w:tbl>
      <w:tblPr>
        <w:tblW w:type="dxa" w:w="9600"/>
        <w:tblBorders>
          <w:top w:val="single" w:color="8EA9DB" w:sz="4"/>
          <w:left w:val="single" w:color="8EA9DB" w:sz="4"/>
          <w:bottom w:val="single" w:color="8EA9DB" w:sz="4"/>
          <w:right w:val="single" w:color="8EA9DB" w:sz="4"/>
          <w:insideH w:val="single" w:color="B4C6E7" w:sz="2"/>
          <w:insideV w:val="single" w:color="B4C6E7" w:sz="2"/>
        </w:tblBorders>
        <w:tblLayout w:type="fixed"/>
      </w:tblPr>
      <w:tblGrid>
        <w:gridCol w:w="1800"/>
        <w:gridCol w:w="2600"/>
        <w:gridCol w:w="2600"/>
        <w:gridCol w:w="2600"/>
      </w:tblGrid>
      <w:tr>
        <w:trPr>
          <w:tblHeader/>
        </w:trPr>
        <w:tc>
          <w:tcPr>
            <w:tcW w:type="dxa" w:w="18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候选参数个数 p</w:t>
            </w:r>
          </w:p>
        </w:tc>
        <w:tc>
          <w:tcPr>
            <w:tcW w:type="dxa" w:w="26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准则 1（收缩 ≤10%）</w:t>
            </w:r>
          </w:p>
        </w:tc>
        <w:tc>
          <w:tcPr>
            <w:tcW w:type="dxa" w:w="26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准则 3（风险估计精度）</w:t>
            </w:r>
          </w:p>
        </w:tc>
        <w:tc>
          <w:tcPr>
            <w:tcW w:type="dxa" w:w="26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判定</w:t>
            </w:r>
          </w:p>
        </w:tc>
      </w:tr>
      <w:tr>
        <w:tc>
          <w:tcPr>
            <w:tcW w:type="dxa" w:w="18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4</w:t>
            </w:r>
          </w:p>
        </w:tc>
        <w:tc>
          <w:tcPr>
            <w:tcW w:type="dxa" w:w="26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n ≥ 159</w:t>
            </w:r>
          </w:p>
        </w:tc>
        <w:tc>
          <w:tcPr>
            <w:tcW w:type="dxa" w:w="26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n ≥ 380</w:t>
            </w:r>
          </w:p>
        </w:tc>
        <w:tc>
          <w:tcPr>
            <w:tcW w:type="dxa" w:w="26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不满足准则 3</w:t>
            </w:r>
          </w:p>
        </w:tc>
      </w:tr>
      <w:tr>
        <w:tc>
          <w:tcPr>
            <w:tcW w:type="dxa" w:w="18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6</w:t>
            </w:r>
          </w:p>
        </w:tc>
        <w:tc>
          <w:tcPr>
            <w:tcW w:type="dxa" w:w="26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n ≥ 239</w:t>
            </w:r>
          </w:p>
        </w:tc>
        <w:tc>
          <w:tcPr>
            <w:tcW w:type="dxa" w:w="26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n ≥ 380</w:t>
            </w:r>
          </w:p>
        </w:tc>
        <w:tc>
          <w:tcPr>
            <w:tcW w:type="dxa" w:w="26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不满足准则 3</w:t>
            </w:r>
          </w:p>
        </w:tc>
      </w:tr>
      <w:tr>
        <w:tc>
          <w:tcPr>
            <w:tcW w:type="dxa" w:w="18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8</w:t>
            </w:r>
          </w:p>
        </w:tc>
        <w:tc>
          <w:tcPr>
            <w:tcW w:type="dxa" w:w="26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n ≥ 318</w:t>
            </w:r>
          </w:p>
        </w:tc>
        <w:tc>
          <w:tcPr>
            <w:tcW w:type="dxa" w:w="26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n ≥ 380</w:t>
            </w:r>
          </w:p>
        </w:tc>
        <w:tc>
          <w:tcPr>
            <w:tcW w:type="dxa" w:w="26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不满足准则 3</w:t>
            </w:r>
          </w:p>
        </w:tc>
      </w:tr>
      <w:tr>
        <w:tc>
          <w:tcPr>
            <w:tcW w:type="dxa" w:w="1800"/>
            <w:tcMar>
              <w:top w:type="dxa" w:w="60"/>
              <w:left w:type="dxa" w:w="90"/>
              <w:bottom w:type="dxa" w:w="60"/>
              <w:right w:type="dxa" w:w="90"/>
            </w:tcMar>
            <w:vAlign w:val="center"/>
          </w:tcPr>
          <w:p>
            <w:pPr>
              <w:spacing w:after="20" w:before="20" w:line="260"/>
              <w:jc w:val="left"/>
            </w:pPr>
            <w:r>
              <w:rPr>
                <w:rFonts w:ascii="Times New Roman" w:eastAsia="宋体"/>
                <w:b/>
                <w:bCs/>
                <w:sz w:val="19"/>
                <w:szCs w:val="19"/>
              </w:rPr>
              <w:t xml:space="preserve">10</w:t>
            </w:r>
          </w:p>
        </w:tc>
        <w:tc>
          <w:tcPr>
            <w:tcW w:type="dxa" w:w="2600"/>
            <w:tcMar>
              <w:top w:type="dxa" w:w="60"/>
              <w:left w:type="dxa" w:w="90"/>
              <w:bottom w:type="dxa" w:w="60"/>
              <w:right w:type="dxa" w:w="90"/>
            </w:tcMar>
            <w:vAlign w:val="center"/>
          </w:tcPr>
          <w:p>
            <w:pPr>
              <w:spacing w:after="20" w:before="20" w:line="260"/>
              <w:jc w:val="left"/>
            </w:pPr>
            <w:r>
              <w:rPr>
                <w:rFonts w:ascii="Times New Roman" w:eastAsia="宋体"/>
                <w:b/>
                <w:bCs/>
                <w:sz w:val="19"/>
                <w:szCs w:val="19"/>
              </w:rPr>
              <w:t xml:space="preserve">n ≥ 398</w:t>
            </w:r>
          </w:p>
        </w:tc>
        <w:tc>
          <w:tcPr>
            <w:tcW w:type="dxa" w:w="2600"/>
            <w:tcMar>
              <w:top w:type="dxa" w:w="60"/>
              <w:left w:type="dxa" w:w="90"/>
              <w:bottom w:type="dxa" w:w="60"/>
              <w:right w:type="dxa" w:w="90"/>
            </w:tcMar>
            <w:vAlign w:val="center"/>
          </w:tcPr>
          <w:p>
            <w:pPr>
              <w:spacing w:after="20" w:before="20" w:line="260"/>
              <w:jc w:val="left"/>
            </w:pPr>
            <w:r>
              <w:rPr>
                <w:rFonts w:ascii="Times New Roman" w:eastAsia="宋体"/>
                <w:b/>
                <w:bCs/>
                <w:sz w:val="19"/>
                <w:szCs w:val="19"/>
              </w:rPr>
              <w:t xml:space="preserve">n ≥ 380</w:t>
            </w:r>
          </w:p>
        </w:tc>
        <w:tc>
          <w:tcPr>
            <w:tcW w:type="dxa" w:w="2600"/>
            <w:tcMar>
              <w:top w:type="dxa" w:w="60"/>
              <w:left w:type="dxa" w:w="90"/>
              <w:bottom w:type="dxa" w:w="60"/>
              <w:right w:type="dxa" w:w="90"/>
            </w:tcMar>
            <w:vAlign w:val="center"/>
          </w:tcPr>
          <w:p>
            <w:pPr>
              <w:spacing w:after="20" w:before="20" w:line="260"/>
              <w:jc w:val="left"/>
            </w:pPr>
            <w:r>
              <w:rPr>
                <w:rFonts w:ascii="Times New Roman" w:eastAsia="宋体"/>
                <w:b/>
                <w:bCs/>
                <w:color w:val="1F3864"/>
                <w:sz w:val="19"/>
                <w:szCs w:val="19"/>
              </w:rPr>
              <w:t xml:space="preserve">满足全部准则</w:t>
            </w:r>
          </w:p>
        </w:tc>
      </w:tr>
    </w:tbl>
    <w:p>
      <w:pPr>
        <w:spacing w:after="60" w:before="60" w:line="300"/>
        <w:jc w:val="both"/>
      </w:pPr>
      <w:r>
        <w:rPr>
          <w:rFonts w:ascii="Times New Roman" w:eastAsia="宋体"/>
          <w:sz w:val="21"/>
          <w:szCs w:val="21"/>
        </w:rPr>
        <w:t xml:space="preserve">结论：约束性准则为准则 3，要求 n ≥ 380。计入 10% 的 W16 失访，</w:t>
      </w:r>
      <w:r>
        <w:rPr>
          <w:rFonts w:ascii="Times New Roman" w:eastAsia="宋体"/>
          <w:b/>
          <w:bCs/>
          <w:color w:val="C00000"/>
          <w:sz w:val="21"/>
          <w:szCs w:val="21"/>
        </w:rPr>
        <w:t xml:space="preserve">目标入组 N = 420</w:t>
      </w:r>
      <w:r>
        <w:rPr>
          <w:rFonts w:ascii="Times New Roman" w:eastAsia="宋体"/>
          <w:sz w:val="21"/>
          <w:szCs w:val="21"/>
        </w:rPr>
        <w:t xml:space="preserve">，在该样本量下模型可安全容纳 8–10 个参数。</w:t>
      </w:r>
    </w:p>
    <w:p>
      <w:pPr>
        <w:spacing w:after="60" w:before="60" w:line="300"/>
        <w:jc w:val="both"/>
      </w:pPr>
      <w:r>
        <w:rPr>
          <w:rFonts w:ascii="Times New Roman" w:eastAsia="宋体"/>
          <w:sz w:val="21"/>
          <w:szCs w:val="21"/>
        </w:rPr>
        <w:t xml:space="preserve">多分类竞争风险模型另按多项式扩展方法论证，其约束条件是</w:t>
      </w:r>
      <w:r>
        <w:rPr>
          <w:rFonts w:ascii="Times New Roman" w:eastAsia="宋体"/>
          <w:b/>
          <w:bCs/>
          <w:color w:val="1F3864"/>
          <w:sz w:val="21"/>
          <w:szCs w:val="21"/>
        </w:rPr>
        <w:t xml:space="preserve">最小类别</w:t>
      </w:r>
      <w:r>
        <w:rPr>
          <w:rFonts w:ascii="Times New Roman" w:eastAsia="宋体"/>
          <w:sz w:val="21"/>
          <w:szCs w:val="21"/>
        </w:rPr>
        <w:t xml:space="preserve">（治疗策略失败）的例数，而非目标事件例数。预先设定的降级规则：若锁库时该类别例数 &lt;30，主分析降级为二分类 Logistic，多分类模型作为预先指定的次要分析报告。该规则于统计分析计划锁定时公开，不得事后修改。</w:t>
      </w:r>
    </w:p>
    <w:p>
      <w:pPr>
        <w:pStyle w:val="Heading2"/>
        <w:spacing w:after="100" w:before="260"/>
      </w:pPr>
      <w:r>
        <w:rPr>
          <w:rFonts w:ascii="Times New Roman" w:eastAsia="黑体"/>
          <w:b/>
          <w:bCs/>
          <w:color w:val="1F3864"/>
          <w:sz w:val="25"/>
          <w:szCs w:val="25"/>
        </w:rPr>
        <w:t xml:space="preserve">3.5　随访方案</w:t>
      </w:r>
    </w:p>
    <w:p>
      <w:pPr>
        <w:spacing w:after="60" w:before="160"/>
      </w:pPr>
      <w:r>
        <w:rPr>
          <w:rFonts w:ascii="Times New Roman" w:eastAsia="黑体"/>
          <w:b/>
          <w:bCs/>
          <w:color w:val="1F3864"/>
          <w:sz w:val="19"/>
          <w:szCs w:val="19"/>
        </w:rPr>
        <w:t xml:space="preserve">表 3-3　随访节点与访视窗口</w:t>
      </w:r>
    </w:p>
    <w:tbl>
      <w:tblPr>
        <w:tblW w:type="dxa" w:w="9600"/>
        <w:tblBorders>
          <w:top w:val="single" w:color="8EA9DB" w:sz="4"/>
          <w:left w:val="single" w:color="8EA9DB" w:sz="4"/>
          <w:bottom w:val="single" w:color="8EA9DB" w:sz="4"/>
          <w:right w:val="single" w:color="8EA9DB" w:sz="4"/>
          <w:insideH w:val="single" w:color="B4C6E7" w:sz="2"/>
          <w:insideV w:val="single" w:color="B4C6E7" w:sz="2"/>
        </w:tblBorders>
        <w:tblLayout w:type="fixed"/>
      </w:tblPr>
      <w:tblGrid>
        <w:gridCol w:w="1300"/>
        <w:gridCol w:w="1500"/>
        <w:gridCol w:w="3200"/>
        <w:gridCol w:w="3600"/>
      </w:tblGrid>
      <w:tr>
        <w:trPr>
          <w:tblHeader/>
        </w:trPr>
        <w:tc>
          <w:tcPr>
            <w:tcW w:type="dxa" w:w="13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节点</w:t>
            </w:r>
          </w:p>
        </w:tc>
        <w:tc>
          <w:tcPr>
            <w:tcW w:type="dxa" w:w="15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窗口</w:t>
            </w:r>
          </w:p>
        </w:tc>
        <w:tc>
          <w:tcPr>
            <w:tcW w:type="dxa" w:w="32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内容</w:t>
            </w:r>
          </w:p>
        </w:tc>
        <w:tc>
          <w:tcPr>
            <w:tcW w:type="dxa" w:w="36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备注</w:t>
            </w:r>
          </w:p>
        </w:tc>
      </w:tr>
      <w:tr>
        <w:tc>
          <w:tcPr>
            <w:tcW w:type="dxa" w:w="13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W0 基线</w:t>
            </w:r>
          </w:p>
        </w:tc>
        <w:tc>
          <w:tcPr>
            <w:tcW w:type="dxa" w:w="15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用药前</w:t>
            </w:r>
          </w:p>
        </w:tc>
        <w:tc>
          <w:tcPr>
            <w:tcW w:type="dxa" w:w="32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知情同意、临床评分、静脉采血、既往史与合并症采集</w:t>
            </w:r>
          </w:p>
        </w:tc>
        <w:tc>
          <w:tcPr>
            <w:tcW w:type="dxa" w:w="36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TARC 仅在预先指定的连续前 150 例中测量</w:t>
            </w:r>
          </w:p>
        </w:tc>
      </w:tr>
      <w:tr>
        <w:tc>
          <w:tcPr>
            <w:tcW w:type="dxa" w:w="13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W2（可选）</w:t>
            </w:r>
          </w:p>
        </w:tc>
        <w:tc>
          <w:tcPr>
            <w:tcW w:type="dxa" w:w="15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±3 天</w:t>
            </w:r>
          </w:p>
        </w:tc>
        <w:tc>
          <w:tcPr>
            <w:tcW w:type="dxa" w:w="32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血常规</w:t>
            </w:r>
          </w:p>
        </w:tc>
        <w:tc>
          <w:tcPr>
            <w:tcW w:type="dxa" w:w="36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用于分离一过性嗜酸增多的上升支与回落支；边际成本低，信息增益大</w:t>
            </w:r>
          </w:p>
        </w:tc>
      </w:tr>
      <w:tr>
        <w:tc>
          <w:tcPr>
            <w:tcW w:type="dxa" w:w="13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W4</w:t>
            </w:r>
          </w:p>
        </w:tc>
        <w:tc>
          <w:tcPr>
            <w:tcW w:type="dxa" w:w="15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±5 天</w:t>
            </w:r>
          </w:p>
        </w:tc>
        <w:tc>
          <w:tcPr>
            <w:tcW w:type="dxa" w:w="32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临床评分、血常规、共同干预与不良事件采集</w:t>
            </w:r>
          </w:p>
        </w:tc>
        <w:tc>
          <w:tcPr>
            <w:tcW w:type="dxa" w:w="36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本研究唯一的 Landmark 决策节点</w:t>
            </w:r>
          </w:p>
        </w:tc>
      </w:tr>
      <w:tr>
        <w:tc>
          <w:tcPr>
            <w:tcW w:type="dxa" w:w="13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W16</w:t>
            </w:r>
          </w:p>
        </w:tc>
        <w:tc>
          <w:tcPr>
            <w:tcW w:type="dxa" w:w="15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±14 天</w:t>
            </w:r>
          </w:p>
        </w:tc>
        <w:tc>
          <w:tcPr>
            <w:tcW w:type="dxa" w:w="32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临床评分、结局判定、共同干预与不良事件采集</w:t>
            </w:r>
          </w:p>
        </w:tc>
        <w:tc>
          <w:tcPr>
            <w:tcW w:type="dxa" w:w="36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主要终点判定；同时记录结局是否可观测（删失状态）</w:t>
            </w:r>
          </w:p>
        </w:tc>
      </w:tr>
    </w:tbl>
    <w:p>
      <w:pPr>
        <w:pBdr>
          <w:left w:val="single" w:color="C00000" w:sz="12" w:space="8"/>
        </w:pBdr>
        <w:spacing w:after="120" w:before="60" w:line="280"/>
        <w:ind w:left="220"/>
        <w:jc w:val="both"/>
      </w:pPr>
      <w:r>
        <w:rPr>
          <w:rFonts w:ascii="Times New Roman" w:eastAsia="宋体"/>
          <w:color w:val="833C00"/>
          <w:sz w:val="19"/>
          <w:szCs w:val="19"/>
        </w:rPr>
        <w:t xml:space="preserve">观察性研究无权规定"强制性访视"，且度普利尤单抗为患者自行皮下注射，无需为给药到院。因此 W4 访视依从性须通过设计而非规定来保障：W3 电话/微信提醒、就近采血点代采、交通补贴。预期完成率 ≥85%，实际完成率作为本研究的可行性结局之一正式报告。</w:t>
      </w:r>
    </w:p>
    <w:p>
      <w:pPr>
        <w:pStyle w:val="Heading2"/>
        <w:spacing w:after="100" w:before="260"/>
      </w:pPr>
      <w:r>
        <w:rPr>
          <w:rFonts w:ascii="Times New Roman" w:eastAsia="黑体"/>
          <w:b/>
          <w:bCs/>
          <w:color w:val="1F3864"/>
          <w:sz w:val="25"/>
          <w:szCs w:val="25"/>
        </w:rPr>
        <w:t xml:space="preserve">3.6　变量采集</w:t>
      </w:r>
    </w:p>
    <w:p>
      <w:pPr>
        <w:spacing w:after="60" w:before="160"/>
      </w:pPr>
      <w:r>
        <w:rPr>
          <w:rFonts w:ascii="Times New Roman" w:eastAsia="黑体"/>
          <w:b/>
          <w:bCs/>
          <w:color w:val="1F3864"/>
          <w:sz w:val="19"/>
          <w:szCs w:val="19"/>
        </w:rPr>
        <w:t xml:space="preserve">表 3-4　变量采集清单</w:t>
      </w:r>
    </w:p>
    <w:tbl>
      <w:tblPr>
        <w:tblW w:type="dxa" w:w="9600"/>
        <w:tblBorders>
          <w:top w:val="single" w:color="8EA9DB" w:sz="4"/>
          <w:left w:val="single" w:color="8EA9DB" w:sz="4"/>
          <w:bottom w:val="single" w:color="8EA9DB" w:sz="4"/>
          <w:right w:val="single" w:color="8EA9DB" w:sz="4"/>
          <w:insideH w:val="single" w:color="B4C6E7" w:sz="2"/>
          <w:insideV w:val="single" w:color="B4C6E7" w:sz="2"/>
        </w:tblBorders>
        <w:tblLayout w:type="fixed"/>
      </w:tblPr>
      <w:tblGrid>
        <w:gridCol w:w="1700"/>
        <w:gridCol w:w="3500"/>
        <w:gridCol w:w="700"/>
        <w:gridCol w:w="700"/>
        <w:gridCol w:w="700"/>
        <w:gridCol w:w="2300"/>
      </w:tblGrid>
      <w:tr>
        <w:trPr>
          <w:tblHeader/>
        </w:trPr>
        <w:tc>
          <w:tcPr>
            <w:tcW w:type="dxa" w:w="17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7"/>
                <w:szCs w:val="17"/>
              </w:rPr>
              <w:t xml:space="preserve">类别</w:t>
            </w:r>
          </w:p>
        </w:tc>
        <w:tc>
          <w:tcPr>
            <w:tcW w:type="dxa" w:w="35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7"/>
                <w:szCs w:val="17"/>
              </w:rPr>
              <w:t xml:space="preserve">变量</w:t>
            </w:r>
          </w:p>
        </w:tc>
        <w:tc>
          <w:tcPr>
            <w:tcW w:type="dxa" w:w="7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7"/>
                <w:szCs w:val="17"/>
              </w:rPr>
              <w:t xml:space="preserve">W0</w:t>
            </w:r>
          </w:p>
        </w:tc>
        <w:tc>
          <w:tcPr>
            <w:tcW w:type="dxa" w:w="7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7"/>
                <w:szCs w:val="17"/>
              </w:rPr>
              <w:t xml:space="preserve">W4</w:t>
            </w:r>
          </w:p>
        </w:tc>
        <w:tc>
          <w:tcPr>
            <w:tcW w:type="dxa" w:w="7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7"/>
                <w:szCs w:val="17"/>
              </w:rPr>
              <w:t xml:space="preserve">W16</w:t>
            </w:r>
          </w:p>
        </w:tc>
        <w:tc>
          <w:tcPr>
            <w:tcW w:type="dxa" w:w="23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7"/>
                <w:szCs w:val="17"/>
              </w:rPr>
              <w:t xml:space="preserve">用途</w:t>
            </w:r>
          </w:p>
        </w:tc>
      </w:tr>
      <w:tr>
        <w:tc>
          <w:tcPr>
            <w:tcW w:type="dxa" w:w="1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临床评分</w:t>
            </w:r>
          </w:p>
        </w:tc>
        <w:tc>
          <w:tcPr>
            <w:tcW w:type="dxa" w:w="35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EASI 总分及四分区（头颈/躯干/上肢/下肢）</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23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主要终点；头颈占比为难治负荷成分</w:t>
            </w:r>
          </w:p>
        </w:tc>
      </w:tr>
      <w:tr>
        <w:tc>
          <w:tcPr>
            <w:tcW w:type="dxa" w:w="1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临床评分</w:t>
            </w:r>
          </w:p>
        </w:tc>
        <w:tc>
          <w:tcPr>
            <w:tcW w:type="dxa" w:w="35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IGA、DLQI、瘙痒 NRS</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23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次要终点</w:t>
            </w:r>
          </w:p>
        </w:tc>
      </w:tr>
      <w:tr>
        <w:tc>
          <w:tcPr>
            <w:tcW w:type="dxa" w:w="1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临床表型</w:t>
            </w:r>
          </w:p>
        </w:tc>
        <w:tc>
          <w:tcPr>
            <w:tcW w:type="dxa" w:w="35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发病年龄、病程、AD 表型分型、过敏史、合并哮喘/鼻炎</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23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基线特征与调整变量</w:t>
            </w:r>
          </w:p>
        </w:tc>
      </w:tr>
      <w:tr>
        <w:tc>
          <w:tcPr>
            <w:tcW w:type="dxa" w:w="1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一般资料</w:t>
            </w:r>
          </w:p>
        </w:tc>
        <w:tc>
          <w:tcPr>
            <w:tcW w:type="dxa" w:w="35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年龄、性别、BMI、吸烟</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23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BMI 影响固定剂量下的药物暴露</w:t>
            </w:r>
          </w:p>
        </w:tc>
      </w:tr>
      <w:tr>
        <w:tc>
          <w:tcPr>
            <w:tcW w:type="dxa" w:w="1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用药史</w:t>
            </w:r>
          </w:p>
        </w:tc>
        <w:tc>
          <w:tcPr>
            <w:tcW w:type="dxa" w:w="35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既往系统性治疗失败（环孢素/甲氨蝶呤/硫唑嘌呤/激素依赖/生物制剂/JAK）</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23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难治负荷成分</w:t>
            </w:r>
          </w:p>
        </w:tc>
      </w:tr>
      <w:tr>
        <w:tc>
          <w:tcPr>
            <w:tcW w:type="dxa" w:w="1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常规血液</w:t>
            </w:r>
          </w:p>
        </w:tc>
        <w:tc>
          <w:tcPr>
            <w:tcW w:type="dxa" w:w="35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AEC、NLR</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23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复合指数核心；W4 用于计算变化量</w:t>
            </w:r>
          </w:p>
        </w:tc>
      </w:tr>
      <w:tr>
        <w:tc>
          <w:tcPr>
            <w:tcW w:type="dxa" w:w="1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常规血液</w:t>
            </w:r>
          </w:p>
        </w:tc>
        <w:tc>
          <w:tcPr>
            <w:tcW w:type="dxa" w:w="35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LDH（记录检测平台与参考上限）</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23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难治负荷成分</w:t>
            </w:r>
          </w:p>
        </w:tc>
      </w:tr>
      <w:tr>
        <w:tc>
          <w:tcPr>
            <w:tcW w:type="dxa" w:w="1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常规免疫</w:t>
            </w:r>
          </w:p>
        </w:tc>
        <w:tc>
          <w:tcPr>
            <w:tcW w:type="dxa" w:w="35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血清总 IgE（记录检测上限）</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23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复合指数核心</w:t>
            </w:r>
          </w:p>
        </w:tc>
      </w:tr>
      <w:tr>
        <w:tc>
          <w:tcPr>
            <w:tcW w:type="dxa" w:w="1700"/>
            <w:tcMar>
              <w:top w:type="dxa" w:w="60"/>
              <w:left w:type="dxa" w:w="90"/>
              <w:bottom w:type="dxa" w:w="60"/>
              <w:right w:type="dxa" w:w="90"/>
            </w:tcMar>
            <w:vAlign w:val="center"/>
          </w:tcPr>
          <w:p>
            <w:pPr>
              <w:spacing w:after="20" w:before="20" w:line="260"/>
              <w:jc w:val="left"/>
            </w:pPr>
            <w:r>
              <w:rPr>
                <w:rFonts w:ascii="Times New Roman" w:eastAsia="宋体"/>
                <w:color w:val="C00000"/>
                <w:sz w:val="17"/>
                <w:szCs w:val="17"/>
              </w:rPr>
              <w:t xml:space="preserve">高级标志物</w:t>
            </w:r>
          </w:p>
        </w:tc>
        <w:tc>
          <w:tcPr>
            <w:tcW w:type="dxa" w:w="3500"/>
            <w:tcMar>
              <w:top w:type="dxa" w:w="60"/>
              <w:left w:type="dxa" w:w="90"/>
              <w:bottom w:type="dxa" w:w="60"/>
              <w:right w:type="dxa" w:w="90"/>
            </w:tcMar>
            <w:vAlign w:val="center"/>
          </w:tcPr>
          <w:p>
            <w:pPr>
              <w:spacing w:after="20" w:before="20" w:line="260"/>
              <w:jc w:val="left"/>
            </w:pPr>
            <w:r>
              <w:rPr>
                <w:rFonts w:ascii="Times New Roman" w:eastAsia="宋体"/>
                <w:color w:val="C00000"/>
                <w:sz w:val="17"/>
                <w:szCs w:val="17"/>
              </w:rPr>
              <w:t xml:space="preserve">血清 TARC（仅连续入组前 150 例，强制、不可选择）</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2300"/>
            <w:tcMar>
              <w:top w:type="dxa" w:w="60"/>
              <w:left w:type="dxa" w:w="90"/>
              <w:bottom w:type="dxa" w:w="60"/>
              <w:right w:type="dxa" w:w="90"/>
            </w:tcMar>
            <w:vAlign w:val="center"/>
          </w:tcPr>
          <w:p>
            <w:pPr>
              <w:spacing w:after="20" w:before="20" w:line="260"/>
              <w:jc w:val="left"/>
            </w:pPr>
            <w:r>
              <w:rPr>
                <w:rFonts w:ascii="Times New Roman" w:eastAsia="宋体"/>
                <w:color w:val="C00000"/>
                <w:sz w:val="17"/>
                <w:szCs w:val="17"/>
              </w:rPr>
              <w:t xml:space="preserve">构念效度检验与非劣效性比较</w:t>
            </w:r>
          </w:p>
        </w:tc>
      </w:tr>
      <w:tr>
        <w:tc>
          <w:tcPr>
            <w:tcW w:type="dxa" w:w="1700"/>
            <w:tcMar>
              <w:top w:type="dxa" w:w="60"/>
              <w:left w:type="dxa" w:w="90"/>
              <w:bottom w:type="dxa" w:w="60"/>
              <w:right w:type="dxa" w:w="90"/>
            </w:tcMar>
            <w:vAlign w:val="center"/>
          </w:tcPr>
          <w:p>
            <w:pPr>
              <w:spacing w:after="20" w:before="20" w:line="260"/>
              <w:jc w:val="left"/>
            </w:pPr>
            <w:r>
              <w:rPr>
                <w:rFonts w:ascii="Times New Roman" w:eastAsia="宋体"/>
                <w:color w:val="C00000"/>
                <w:sz w:val="17"/>
                <w:szCs w:val="17"/>
              </w:rPr>
              <w:t xml:space="preserve">共同干预</w:t>
            </w:r>
          </w:p>
        </w:tc>
        <w:tc>
          <w:tcPr>
            <w:tcW w:type="dxa" w:w="3500"/>
            <w:tcMar>
              <w:top w:type="dxa" w:w="60"/>
              <w:left w:type="dxa" w:w="90"/>
              <w:bottom w:type="dxa" w:w="60"/>
              <w:right w:type="dxa" w:w="90"/>
            </w:tcMar>
            <w:vAlign w:val="center"/>
          </w:tcPr>
          <w:p>
            <w:pPr>
              <w:spacing w:after="20" w:before="20" w:line="260"/>
              <w:jc w:val="left"/>
            </w:pPr>
            <w:r>
              <w:rPr>
                <w:rFonts w:ascii="Times New Roman" w:eastAsia="宋体"/>
                <w:color w:val="C00000"/>
                <w:sz w:val="17"/>
                <w:szCs w:val="17"/>
              </w:rPr>
              <w:t xml:space="preserve">外用治疗最高强度与周均用量、解救治疗使用及原因</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2300"/>
            <w:tcMar>
              <w:top w:type="dxa" w:w="60"/>
              <w:left w:type="dxa" w:w="90"/>
              <w:bottom w:type="dxa" w:w="60"/>
              <w:right w:type="dxa" w:w="90"/>
            </w:tcMar>
            <w:vAlign w:val="center"/>
          </w:tcPr>
          <w:p>
            <w:pPr>
              <w:spacing w:after="20" w:before="20" w:line="260"/>
              <w:jc w:val="left"/>
            </w:pPr>
            <w:r>
              <w:rPr>
                <w:rFonts w:ascii="Times New Roman" w:eastAsia="宋体"/>
                <w:color w:val="C00000"/>
                <w:sz w:val="17"/>
                <w:szCs w:val="17"/>
              </w:rPr>
              <w:t xml:space="preserve">观察性设计下最主要的混杂来源</w:t>
            </w:r>
          </w:p>
        </w:tc>
      </w:tr>
      <w:tr>
        <w:tc>
          <w:tcPr>
            <w:tcW w:type="dxa" w:w="1700"/>
            <w:tcMar>
              <w:top w:type="dxa" w:w="60"/>
              <w:left w:type="dxa" w:w="90"/>
              <w:bottom w:type="dxa" w:w="60"/>
              <w:right w:type="dxa" w:w="90"/>
            </w:tcMar>
            <w:vAlign w:val="center"/>
          </w:tcPr>
          <w:p>
            <w:pPr>
              <w:spacing w:after="20" w:before="20" w:line="260"/>
              <w:jc w:val="left"/>
            </w:pPr>
            <w:r>
              <w:rPr>
                <w:rFonts w:ascii="Times New Roman" w:eastAsia="宋体"/>
                <w:color w:val="C00000"/>
                <w:sz w:val="17"/>
                <w:szCs w:val="17"/>
              </w:rPr>
              <w:t xml:space="preserve">共同干预</w:t>
            </w:r>
          </w:p>
        </w:tc>
        <w:tc>
          <w:tcPr>
            <w:tcW w:type="dxa" w:w="3500"/>
            <w:tcMar>
              <w:top w:type="dxa" w:w="60"/>
              <w:left w:type="dxa" w:w="90"/>
              <w:bottom w:type="dxa" w:w="60"/>
              <w:right w:type="dxa" w:w="90"/>
            </w:tcMar>
            <w:vAlign w:val="center"/>
          </w:tcPr>
          <w:p>
            <w:pPr>
              <w:spacing w:after="20" w:before="20" w:line="260"/>
              <w:jc w:val="left"/>
            </w:pPr>
            <w:r>
              <w:rPr>
                <w:rFonts w:ascii="Times New Roman" w:eastAsia="宋体"/>
                <w:color w:val="C00000"/>
                <w:sz w:val="17"/>
                <w:szCs w:val="17"/>
              </w:rPr>
              <w:t xml:space="preserve">实际注射次数与漏针记录</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2300"/>
            <w:tcMar>
              <w:top w:type="dxa" w:w="60"/>
              <w:left w:type="dxa" w:w="90"/>
              <w:bottom w:type="dxa" w:w="60"/>
              <w:right w:type="dxa" w:w="90"/>
            </w:tcMar>
            <w:vAlign w:val="center"/>
          </w:tcPr>
          <w:p>
            <w:pPr>
              <w:spacing w:after="20" w:before="20" w:line="260"/>
              <w:jc w:val="left"/>
            </w:pPr>
            <w:r>
              <w:rPr>
                <w:rFonts w:ascii="Times New Roman" w:eastAsia="宋体"/>
                <w:color w:val="C00000"/>
                <w:sz w:val="17"/>
                <w:szCs w:val="17"/>
              </w:rPr>
              <w:t xml:space="preserve">区分"无效"与"未按方案用药"</w:t>
            </w:r>
          </w:p>
        </w:tc>
      </w:tr>
      <w:tr>
        <w:tc>
          <w:tcPr>
            <w:tcW w:type="dxa" w:w="1700"/>
            <w:tcMar>
              <w:top w:type="dxa" w:w="60"/>
              <w:left w:type="dxa" w:w="90"/>
              <w:bottom w:type="dxa" w:w="60"/>
              <w:right w:type="dxa" w:w="90"/>
            </w:tcMar>
            <w:vAlign w:val="center"/>
          </w:tcPr>
          <w:p>
            <w:pPr>
              <w:spacing w:after="20" w:before="20" w:line="260"/>
              <w:jc w:val="left"/>
            </w:pPr>
            <w:r>
              <w:rPr>
                <w:rFonts w:ascii="Times New Roman" w:eastAsia="宋体"/>
                <w:color w:val="C00000"/>
                <w:sz w:val="17"/>
                <w:szCs w:val="17"/>
              </w:rPr>
              <w:t xml:space="preserve">安全性</w:t>
            </w:r>
          </w:p>
        </w:tc>
        <w:tc>
          <w:tcPr>
            <w:tcW w:type="dxa" w:w="3500"/>
            <w:tcMar>
              <w:top w:type="dxa" w:w="60"/>
              <w:left w:type="dxa" w:w="90"/>
              <w:bottom w:type="dxa" w:w="60"/>
              <w:right w:type="dxa" w:w="90"/>
            </w:tcMar>
            <w:vAlign w:val="center"/>
          </w:tcPr>
          <w:p>
            <w:pPr>
              <w:spacing w:after="20" w:before="20" w:line="260"/>
              <w:jc w:val="left"/>
            </w:pPr>
            <w:r>
              <w:rPr>
                <w:rFonts w:ascii="Times New Roman" w:eastAsia="宋体"/>
                <w:color w:val="C00000"/>
                <w:sz w:val="17"/>
                <w:szCs w:val="17"/>
              </w:rPr>
              <w:t xml:space="preserve">结膜炎/眼表疾病、面部红斑、注射部位反应（CTCAE 分级）</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2300"/>
            <w:tcMar>
              <w:top w:type="dxa" w:w="60"/>
              <w:left w:type="dxa" w:w="90"/>
              <w:bottom w:type="dxa" w:w="60"/>
              <w:right w:type="dxa" w:w="90"/>
            </w:tcMar>
            <w:vAlign w:val="center"/>
          </w:tcPr>
          <w:p>
            <w:pPr>
              <w:spacing w:after="20" w:before="20" w:line="260"/>
              <w:jc w:val="left"/>
            </w:pPr>
            <w:r>
              <w:rPr>
                <w:rFonts w:ascii="Times New Roman" w:eastAsia="宋体"/>
                <w:color w:val="C00000"/>
                <w:sz w:val="17"/>
                <w:szCs w:val="17"/>
              </w:rPr>
              <w:t xml:space="preserve">耐受性路径失败的判定依据</w:t>
            </w:r>
          </w:p>
        </w:tc>
      </w:tr>
      <w:tr>
        <w:tc>
          <w:tcPr>
            <w:tcW w:type="dxa" w:w="1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安全性</w:t>
            </w:r>
          </w:p>
        </w:tc>
        <w:tc>
          <w:tcPr>
            <w:tcW w:type="dxa" w:w="35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皮肤感染事件（疱疹性湿疹、脓疱疮等）</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23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EASI 假性恶化的混杂</w:t>
            </w:r>
          </w:p>
        </w:tc>
      </w:tr>
      <w:tr>
        <w:tc>
          <w:tcPr>
            <w:tcW w:type="dxa" w:w="1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质控</w:t>
            </w:r>
          </w:p>
        </w:tc>
        <w:tc>
          <w:tcPr>
            <w:tcW w:type="dxa" w:w="35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EASI 评估者编号</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23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评估者间一致性分析</w:t>
            </w:r>
          </w:p>
        </w:tc>
      </w:tr>
      <w:tr>
        <w:tc>
          <w:tcPr>
            <w:tcW w:type="dxa" w:w="1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结局</w:t>
            </w:r>
          </w:p>
        </w:tc>
        <w:tc>
          <w:tcPr>
            <w:tcW w:type="dxa" w:w="35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三分类结局 + 删失状态（结局是否可观测）</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t>
            </w:r>
          </w:p>
        </w:tc>
        <w:tc>
          <w:tcPr>
            <w:tcW w:type="dxa" w:w="23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主要终点与删失加权</w:t>
            </w:r>
          </w:p>
        </w:tc>
      </w:tr>
    </w:tbl>
    <w:p>
      <w:pPr>
        <w:pBdr>
          <w:left w:val="single" w:color="C00000" w:sz="12" w:space="8"/>
        </w:pBdr>
        <w:spacing w:after="120" w:before="60" w:line="280"/>
        <w:ind w:left="220"/>
        <w:jc w:val="both"/>
      </w:pPr>
      <w:r>
        <w:rPr>
          <w:rFonts w:ascii="Times New Roman" w:eastAsia="宋体"/>
          <w:color w:val="833C00"/>
          <w:sz w:val="19"/>
          <w:szCs w:val="19"/>
        </w:rPr>
        <w:t xml:space="preserve">红色标注的四类变量在原方案中缺失，但它们是观察性预测研究能否成立的前提：没有共同干预数据，W16 EASI 的归因不可辩护；没有不良事件数据，耐受性路径无法定义；没有删失状态，估计有偏。</w:t>
      </w:r>
    </w:p>
    <w:p>
      <w:pPr>
        <w:pStyle w:val="Heading2"/>
        <w:spacing w:after="100" w:before="260"/>
      </w:pPr>
      <w:r>
        <w:rPr>
          <w:rFonts w:ascii="Times New Roman" w:eastAsia="黑体"/>
          <w:b/>
          <w:bCs/>
          <w:color w:val="1F3864"/>
          <w:sz w:val="25"/>
          <w:szCs w:val="25"/>
        </w:rPr>
        <w:t xml:space="preserve">3.7　结局定义</w:t>
      </w:r>
    </w:p>
    <w:p>
      <w:pPr>
        <w:spacing w:after="60" w:before="160"/>
      </w:pPr>
      <w:r>
        <w:rPr>
          <w:rFonts w:ascii="Times New Roman" w:eastAsia="黑体"/>
          <w:b/>
          <w:bCs/>
          <w:color w:val="1F3864"/>
          <w:sz w:val="19"/>
          <w:szCs w:val="19"/>
        </w:rPr>
        <w:t xml:space="preserve">表 3-5　第 16 周结局的三分类定义与删失</w:t>
      </w:r>
    </w:p>
    <w:tbl>
      <w:tblPr>
        <w:tblW w:type="dxa" w:w="9600"/>
        <w:tblBorders>
          <w:top w:val="single" w:color="8EA9DB" w:sz="4"/>
          <w:left w:val="single" w:color="8EA9DB" w:sz="4"/>
          <w:bottom w:val="single" w:color="8EA9DB" w:sz="4"/>
          <w:right w:val="single" w:color="8EA9DB" w:sz="4"/>
          <w:insideH w:val="single" w:color="B4C6E7" w:sz="2"/>
          <w:insideV w:val="single" w:color="B4C6E7" w:sz="2"/>
        </w:tblBorders>
        <w:tblLayout w:type="fixed"/>
      </w:tblPr>
      <w:tblGrid>
        <w:gridCol w:w="1300"/>
        <w:gridCol w:w="5000"/>
        <w:gridCol w:w="1600"/>
        <w:gridCol w:w="1700"/>
      </w:tblGrid>
      <w:tr>
        <w:trPr>
          <w:tblHeader/>
        </w:trPr>
        <w:tc>
          <w:tcPr>
            <w:tcW w:type="dxa" w:w="13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状态</w:t>
            </w:r>
          </w:p>
        </w:tc>
        <w:tc>
          <w:tcPr>
            <w:tcW w:type="dxa" w:w="50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定义</w:t>
            </w:r>
          </w:p>
        </w:tc>
        <w:tc>
          <w:tcPr>
            <w:tcW w:type="dxa" w:w="16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统计角色</w:t>
            </w:r>
          </w:p>
        </w:tc>
        <w:tc>
          <w:tcPr>
            <w:tcW w:type="dxa" w:w="17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预期比例</w:t>
            </w:r>
          </w:p>
        </w:tc>
      </w:tr>
      <w:tr>
        <w:tc>
          <w:tcPr>
            <w:tcW w:type="dxa" w:w="13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状态 0</w:t>
            </w:r>
          </w:p>
        </w:tc>
        <w:tc>
          <w:tcPr>
            <w:tcW w:type="dxa" w:w="50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W16 时 EASI 较基线下降 ≥75%，且未发生状态 1</w:t>
            </w:r>
          </w:p>
        </w:tc>
        <w:tc>
          <w:tcPr>
            <w:tcW w:type="dxa" w:w="16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目标事件</w:t>
            </w:r>
          </w:p>
        </w:tc>
        <w:tc>
          <w:tcPr>
            <w:tcW w:type="dxa" w:w="17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50%–60%</w:t>
            </w:r>
          </w:p>
        </w:tc>
      </w:tr>
      <w:tr>
        <w:tc>
          <w:tcPr>
            <w:tcW w:type="dxa" w:w="13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状态 1</w:t>
            </w:r>
          </w:p>
        </w:tc>
        <w:tc>
          <w:tcPr>
            <w:tcW w:type="dxa" w:w="50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W16 前发生治疗策略失败：(a) 因疗效不足或不良反应永久停药；(b) 加用系统性免疫抑制剂或系统激素作为解救；(c) 转换为其他生物制剂或 JAK 抑制剂；(d) 因疗效不足上调至 qw</w:t>
            </w:r>
          </w:p>
        </w:tc>
        <w:tc>
          <w:tcPr>
            <w:tcW w:type="dxa" w:w="16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竞争事件</w:t>
            </w:r>
          </w:p>
        </w:tc>
        <w:tc>
          <w:tcPr>
            <w:tcW w:type="dxa" w:w="17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15%–25%</w:t>
            </w:r>
          </w:p>
        </w:tc>
      </w:tr>
      <w:tr>
        <w:tc>
          <w:tcPr>
            <w:tcW w:type="dxa" w:w="13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状态 2</w:t>
            </w:r>
          </w:p>
        </w:tc>
        <w:tc>
          <w:tcPr>
            <w:tcW w:type="dxa" w:w="50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W16 时未达 EASI-75、未发生状态 1、仍维持原方案</w:t>
            </w:r>
          </w:p>
        </w:tc>
        <w:tc>
          <w:tcPr>
            <w:tcW w:type="dxa" w:w="16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参照类别</w:t>
            </w:r>
          </w:p>
        </w:tc>
        <w:tc>
          <w:tcPr>
            <w:tcW w:type="dxa" w:w="17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25%–30%</w:t>
            </w:r>
          </w:p>
        </w:tc>
      </w:tr>
      <w:tr>
        <w:tc>
          <w:tcPr>
            <w:tcW w:type="dxa" w:w="1300"/>
            <w:tcMar>
              <w:top w:type="dxa" w:w="60"/>
              <w:left w:type="dxa" w:w="90"/>
              <w:bottom w:type="dxa" w:w="60"/>
              <w:right w:type="dxa" w:w="90"/>
            </w:tcMar>
            <w:vAlign w:val="center"/>
          </w:tcPr>
          <w:p>
            <w:pPr>
              <w:spacing w:after="20" w:before="20" w:line="260"/>
              <w:jc w:val="left"/>
            </w:pPr>
            <w:r>
              <w:rPr>
                <w:rFonts w:ascii="Times New Roman" w:eastAsia="宋体"/>
                <w:color w:val="C00000"/>
                <w:sz w:val="19"/>
                <w:szCs w:val="19"/>
              </w:rPr>
              <w:t xml:space="preserve">删失</w:t>
            </w:r>
          </w:p>
        </w:tc>
        <w:tc>
          <w:tcPr>
            <w:tcW w:type="dxa" w:w="50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W16 结局不可观测：失访、迁出、评估窗外未评估、行政截尾</w:t>
            </w:r>
          </w:p>
        </w:tc>
        <w:tc>
          <w:tcPr>
            <w:tcW w:type="dxa" w:w="1600"/>
            <w:tcMar>
              <w:top w:type="dxa" w:w="60"/>
              <w:left w:type="dxa" w:w="90"/>
              <w:bottom w:type="dxa" w:w="60"/>
              <w:right w:type="dxa" w:w="90"/>
            </w:tcMar>
            <w:vAlign w:val="center"/>
          </w:tcPr>
          <w:p>
            <w:pPr>
              <w:spacing w:after="20" w:before="20" w:line="260"/>
              <w:jc w:val="left"/>
            </w:pPr>
            <w:r>
              <w:rPr>
                <w:rFonts w:ascii="Times New Roman" w:eastAsia="宋体"/>
                <w:color w:val="C00000"/>
                <w:sz w:val="19"/>
                <w:szCs w:val="19"/>
              </w:rPr>
              <w:t xml:space="preserve">非结局，以 IPCW 处理</w:t>
            </w:r>
          </w:p>
        </w:tc>
        <w:tc>
          <w:tcPr>
            <w:tcW w:type="dxa" w:w="17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约 10%</w:t>
            </w:r>
          </w:p>
        </w:tc>
      </w:tr>
    </w:tbl>
    <w:p>
      <w:pPr>
        <w:spacing w:after="60" w:before="60" w:line="300"/>
        <w:jc w:val="both"/>
      </w:pPr>
      <w:r>
        <w:rPr>
          <w:rFonts w:ascii="Times New Roman" w:eastAsia="宋体"/>
          <w:sz w:val="21"/>
          <w:szCs w:val="21"/>
        </w:rPr>
        <w:t xml:space="preserve">竞争事件定义拓宽的理由：真实世界中度普利尤单抗的药物持续率很高（12 个月约 77%），单纯因无效停药的比例仅约 5.6%、因不良事件约 1.2%。若沿用"停药"这一窄定义，16 周内的竞争事件在 N=420 时预计仅 20–40 例，不足以支撑多分类模型的第二个方程。拓宽为"治疗策略失败"后，发生率升至 15%–25%，统计上可用；更重要的是，它更贴近临床关切——医生真正关心的不是"病人是否停药"，而是"是否必须改变方案"。该定义同时与临床试验中标准记录的解救治疗（rescue medication）变量形成对应，显著提升外部验证的可映射性。</w:t>
      </w:r>
    </w:p>
    <w:p>
      <w:pPr>
        <w:pStyle w:val="Heading2"/>
        <w:spacing w:after="100" w:before="260"/>
      </w:pPr>
      <w:r>
        <w:rPr>
          <w:rFonts w:ascii="Times New Roman" w:eastAsia="黑体"/>
          <w:b/>
          <w:bCs/>
          <w:color w:val="1F3864"/>
          <w:sz w:val="25"/>
          <w:szCs w:val="25"/>
        </w:rPr>
        <w:t xml:space="preserve">3.8　数据质量控制</w:t>
      </w:r>
    </w:p>
    <w:p>
      <w:pPr>
        <w:spacing w:after="60" w:before="160"/>
      </w:pPr>
      <w:r>
        <w:rPr>
          <w:rFonts w:ascii="Times New Roman" w:eastAsia="黑体"/>
          <w:b/>
          <w:bCs/>
          <w:color w:val="1F3864"/>
          <w:sz w:val="19"/>
          <w:szCs w:val="19"/>
        </w:rPr>
        <w:t xml:space="preserve">表 3-6　队列质量控制措施</w:t>
      </w:r>
    </w:p>
    <w:tbl>
      <w:tblPr>
        <w:tblW w:type="dxa" w:w="9600"/>
        <w:tblBorders>
          <w:top w:val="single" w:color="8EA9DB" w:sz="4"/>
          <w:left w:val="single" w:color="8EA9DB" w:sz="4"/>
          <w:bottom w:val="single" w:color="8EA9DB" w:sz="4"/>
          <w:right w:val="single" w:color="8EA9DB" w:sz="4"/>
          <w:insideH w:val="single" w:color="B4C6E7" w:sz="2"/>
          <w:insideV w:val="single" w:color="B4C6E7" w:sz="2"/>
        </w:tblBorders>
        <w:tblLayout w:type="fixed"/>
      </w:tblPr>
      <w:tblGrid>
        <w:gridCol w:w="2200"/>
        <w:gridCol w:w="4200"/>
        <w:gridCol w:w="3200"/>
      </w:tblGrid>
      <w:tr>
        <w:trPr>
          <w:tblHeader/>
        </w:trPr>
        <w:tc>
          <w:tcPr>
            <w:tcW w:type="dxa" w:w="22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环节</w:t>
            </w:r>
          </w:p>
        </w:tc>
        <w:tc>
          <w:tcPr>
            <w:tcW w:type="dxa" w:w="42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措施</w:t>
            </w:r>
          </w:p>
        </w:tc>
        <w:tc>
          <w:tcPr>
            <w:tcW w:type="dxa" w:w="32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报告指标</w:t>
            </w:r>
          </w:p>
        </w:tc>
      </w:tr>
      <w:tr>
        <w:tc>
          <w:tcPr>
            <w:tcW w:type="dxa" w:w="22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EASI 评估一致性</w:t>
            </w:r>
          </w:p>
        </w:tc>
        <w:tc>
          <w:tcPr>
            <w:tcW w:type="dxa" w:w="42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统一培训；每 6 个月一次多评估者复核；同一患者尽量由固定评估者随访</w:t>
            </w:r>
          </w:p>
        </w:tc>
        <w:tc>
          <w:tcPr>
            <w:tcW w:type="dxa" w:w="32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ICC 或加权 κ（目标 &gt;0.85）</w:t>
            </w:r>
          </w:p>
        </w:tc>
      </w:tr>
      <w:tr>
        <w:tc>
          <w:tcPr>
            <w:tcW w:type="dxa" w:w="22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评估盲法</w:t>
            </w:r>
          </w:p>
        </w:tc>
        <w:tc>
          <w:tcPr>
            <w:tcW w:type="dxa" w:w="42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EASI 评估者对该患者的实验室结果与模型输出设盲</w:t>
            </w:r>
          </w:p>
        </w:tc>
        <w:tc>
          <w:tcPr>
            <w:tcW w:type="dxa" w:w="32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方案中声明并在 Results 报告执行情况</w:t>
            </w:r>
          </w:p>
        </w:tc>
      </w:tr>
      <w:tr>
        <w:tc>
          <w:tcPr>
            <w:tcW w:type="dxa" w:w="22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实验室标准化</w:t>
            </w:r>
          </w:p>
        </w:tc>
        <w:tc>
          <w:tcPr>
            <w:tcW w:type="dxa" w:w="42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统一采血-离心时限；记录各中心检测平台与参考上限；LDH 转换为 ×ULN；记录 IgE 检测上限</w:t>
            </w:r>
          </w:p>
        </w:tc>
        <w:tc>
          <w:tcPr>
            <w:tcW w:type="dxa" w:w="32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各中心平台与 ULN 对照表</w:t>
            </w:r>
          </w:p>
        </w:tc>
      </w:tr>
      <w:tr>
        <w:tc>
          <w:tcPr>
            <w:tcW w:type="dxa" w:w="22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IgE 上限截断</w:t>
            </w:r>
          </w:p>
        </w:tc>
        <w:tc>
          <w:tcPr>
            <w:tcW w:type="dxa" w:w="42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超出检测上限者为右删失，不得按上限值直接使用；主分析赋值 ULOQ 并加入指示变量</w:t>
            </w:r>
          </w:p>
        </w:tc>
        <w:tc>
          <w:tcPr>
            <w:tcW w:type="dxa" w:w="32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超限比例；敏感性分析结果</w:t>
            </w:r>
          </w:p>
        </w:tc>
      </w:tr>
      <w:tr>
        <w:tc>
          <w:tcPr>
            <w:tcW w:type="dxa" w:w="22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访视依从</w:t>
            </w:r>
          </w:p>
        </w:tc>
        <w:tc>
          <w:tcPr>
            <w:tcW w:type="dxa" w:w="42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W3 提醒、就近代采、交通补贴</w:t>
            </w:r>
          </w:p>
        </w:tc>
        <w:tc>
          <w:tcPr>
            <w:tcW w:type="dxa" w:w="32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W4 与 W16 完成率</w:t>
            </w:r>
          </w:p>
        </w:tc>
      </w:tr>
      <w:tr>
        <w:tc>
          <w:tcPr>
            <w:tcW w:type="dxa" w:w="22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数据录入</w:t>
            </w:r>
          </w:p>
        </w:tc>
        <w:tc>
          <w:tcPr>
            <w:tcW w:type="dxa" w:w="42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电子 CRF 双人核查；血液变量生物学合理性自动校验</w:t>
            </w:r>
          </w:p>
        </w:tc>
        <w:tc>
          <w:tcPr>
            <w:tcW w:type="dxa" w:w="32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逻辑错误率</w:t>
            </w:r>
          </w:p>
        </w:tc>
      </w:tr>
    </w:tbl>
    <w:p>
      <w:pPr>
        <w:pStyle w:val="Heading2"/>
        <w:spacing w:after="100" w:before="260"/>
      </w:pPr>
      <w:r>
        <w:rPr>
          <w:rFonts w:ascii="Times New Roman" w:eastAsia="黑体"/>
          <w:b/>
          <w:bCs/>
          <w:color w:val="1F3864"/>
          <w:sz w:val="25"/>
          <w:szCs w:val="25"/>
        </w:rPr>
        <w:t xml:space="preserve">3.9　伦理、注册与分析计划锁定</w:t>
      </w:r>
    </w:p>
    <w:p>
      <w:pPr>
        <w:pStyle w:val="ListParagraph"/>
        <w:numPr>
          <w:ilvl w:val="0"/>
          <w:numId w:val="2"/>
        </w:numPr>
        <w:spacing w:after="40" w:before="40" w:line="290"/>
        <w:jc w:val="both"/>
      </w:pPr>
      <w:r>
        <w:rPr>
          <w:rFonts w:ascii="Times New Roman" w:eastAsia="宋体"/>
          <w:sz w:val="21"/>
          <w:szCs w:val="21"/>
        </w:rPr>
        <w:t xml:space="preserve">牵头单位与各协作单位伦理委员会批准，取得批件号并在论文中报告；</w:t>
      </w:r>
    </w:p>
    <w:p>
      <w:pPr>
        <w:pStyle w:val="ListParagraph"/>
        <w:numPr>
          <w:ilvl w:val="0"/>
          <w:numId w:val="2"/>
        </w:numPr>
        <w:spacing w:after="40" w:before="40" w:line="290"/>
        <w:jc w:val="both"/>
      </w:pPr>
      <w:r>
        <w:rPr>
          <w:rFonts w:ascii="Times New Roman" w:eastAsia="宋体"/>
          <w:sz w:val="21"/>
          <w:szCs w:val="21"/>
        </w:rPr>
        <w:t xml:space="preserve">首例入组前完成 ChiCTR 或 ClinicalTrials.gov 前瞻性注册；</w:t>
      </w:r>
    </w:p>
    <w:p>
      <w:pPr>
        <w:pStyle w:val="ListParagraph"/>
        <w:numPr>
          <w:ilvl w:val="0"/>
          <w:numId w:val="2"/>
        </w:numPr>
        <w:spacing w:after="40" w:before="40" w:line="290"/>
        <w:jc w:val="both"/>
      </w:pPr>
      <w:r>
        <w:rPr>
          <w:rFonts w:ascii="Times New Roman" w:eastAsia="宋体"/>
          <w:sz w:val="21"/>
          <w:szCs w:val="21"/>
        </w:rPr>
        <w:t xml:space="preserve">统计分析计划（SAP）于首例入组前锁定并存档，含全部预先指定的降级规则；</w:t>
      </w:r>
    </w:p>
    <w:p>
      <w:pPr>
        <w:pStyle w:val="ListParagraph"/>
        <w:numPr>
          <w:ilvl w:val="0"/>
          <w:numId w:val="2"/>
        </w:numPr>
        <w:spacing w:after="40" w:before="40" w:line="290"/>
        <w:jc w:val="both"/>
      </w:pPr>
      <w:r>
        <w:rPr>
          <w:rFonts w:ascii="Times New Roman" w:eastAsia="宋体"/>
          <w:sz w:val="21"/>
          <w:szCs w:val="21"/>
        </w:rPr>
        <w:t xml:space="preserve">按 TRIPOD+AI (2024) 清单撰写与报告；</w:t>
      </w:r>
    </w:p>
    <w:p>
      <w:pPr>
        <w:pStyle w:val="ListParagraph"/>
        <w:numPr>
          <w:ilvl w:val="0"/>
          <w:numId w:val="2"/>
        </w:numPr>
        <w:spacing w:after="40" w:before="40" w:line="290"/>
        <w:jc w:val="both"/>
      </w:pPr>
      <w:r>
        <w:rPr>
          <w:rFonts w:ascii="Times New Roman" w:eastAsia="宋体"/>
          <w:sz w:val="21"/>
          <w:szCs w:val="21"/>
        </w:rPr>
        <w:t xml:space="preserve">承诺随文发布分析代码（含环境锁定文件）与最终模型系数表。</w:t>
      </w:r>
    </w:p>
    <w:p>
      <w:pPr>
        <w:pStyle w:val="Heading2"/>
        <w:spacing w:after="100" w:before="260"/>
      </w:pPr>
      <w:r>
        <w:rPr>
          <w:rFonts w:ascii="Times New Roman" w:eastAsia="黑体"/>
          <w:b/>
          <w:bCs/>
          <w:color w:val="1F3864"/>
          <w:sz w:val="25"/>
          <w:szCs w:val="25"/>
        </w:rPr>
        <w:t xml:space="preserve">3.10　可行性关卡</w:t>
      </w:r>
    </w:p>
    <w:p>
      <w:pPr>
        <w:spacing w:after="60" w:before="60" w:line="300"/>
        <w:jc w:val="both"/>
      </w:pPr>
      <w:r>
        <w:rPr>
          <w:rFonts w:ascii="Times New Roman" w:eastAsia="宋体"/>
          <w:sz w:val="21"/>
          <w:szCs w:val="21"/>
        </w:rPr>
        <w:t xml:space="preserve">以下四个关卡在方案中预先设定，每个关卡写明不通过时的替代路径。预先规划失败应对本身是方案严谨性的组成部分。</w:t>
      </w:r>
    </w:p>
    <w:p>
      <w:pPr>
        <w:spacing w:after="60" w:before="160"/>
      </w:pPr>
      <w:r>
        <w:rPr>
          <w:rFonts w:ascii="Times New Roman" w:eastAsia="黑体"/>
          <w:b/>
          <w:bCs/>
          <w:color w:val="1F3864"/>
          <w:sz w:val="19"/>
          <w:szCs w:val="19"/>
        </w:rPr>
        <w:t xml:space="preserve">表 3-7　Go / No-Go 关卡</w:t>
      </w:r>
    </w:p>
    <w:tbl>
      <w:tblPr>
        <w:tblW w:type="dxa" w:w="9600"/>
        <w:tblBorders>
          <w:top w:val="single" w:color="8EA9DB" w:sz="4"/>
          <w:left w:val="single" w:color="8EA9DB" w:sz="4"/>
          <w:bottom w:val="single" w:color="8EA9DB" w:sz="4"/>
          <w:right w:val="single" w:color="8EA9DB" w:sz="4"/>
          <w:insideH w:val="single" w:color="B4C6E7" w:sz="2"/>
          <w:insideV w:val="single" w:color="B4C6E7" w:sz="2"/>
        </w:tblBorders>
        <w:tblLayout w:type="fixed"/>
      </w:tblPr>
      <w:tblGrid>
        <w:gridCol w:w="900"/>
        <w:gridCol w:w="1500"/>
        <w:gridCol w:w="3400"/>
        <w:gridCol w:w="3800"/>
      </w:tblGrid>
      <w:tr>
        <w:trPr>
          <w:tblHeader/>
        </w:trPr>
        <w:tc>
          <w:tcPr>
            <w:tcW w:type="dxa" w:w="9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关卡</w:t>
            </w:r>
          </w:p>
        </w:tc>
        <w:tc>
          <w:tcPr>
            <w:tcW w:type="dxa" w:w="15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时点</w:t>
            </w:r>
          </w:p>
        </w:tc>
        <w:tc>
          <w:tcPr>
            <w:tcW w:type="dxa" w:w="34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通过条件</w:t>
            </w:r>
          </w:p>
        </w:tc>
        <w:tc>
          <w:tcPr>
            <w:tcW w:type="dxa" w:w="38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不通过时的预设行动</w:t>
            </w:r>
          </w:p>
        </w:tc>
      </w:tr>
      <w:tr>
        <w:tc>
          <w:tcPr>
            <w:tcW w:type="dxa" w:w="9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G1</w:t>
            </w:r>
          </w:p>
        </w:tc>
        <w:tc>
          <w:tcPr>
            <w:tcW w:type="dxa" w:w="15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T0+2 月</w:t>
            </w:r>
          </w:p>
        </w:tc>
        <w:tc>
          <w:tcPr>
            <w:tcW w:type="dxa" w:w="34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回顾性预试验显示：EASI-75 率在 0.40–0.75 之间；既往系统性治疗失败率 &gt;20%；治疗策略失败率 &gt;10%</w:t>
            </w:r>
          </w:p>
        </w:tc>
        <w:tc>
          <w:tcPr>
            <w:tcW w:type="dxa" w:w="38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按实测值重算样本量；调整难治负荷指数的成分定义；必要时将竞争风险模块降为探索性分析</w:t>
            </w:r>
          </w:p>
        </w:tc>
      </w:tr>
      <w:tr>
        <w:tc>
          <w:tcPr>
            <w:tcW w:type="dxa" w:w="9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G2</w:t>
            </w:r>
          </w:p>
        </w:tc>
        <w:tc>
          <w:tcPr>
            <w:tcW w:type="dxa" w:w="15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T0+2 月</w:t>
            </w:r>
          </w:p>
        </w:tc>
        <w:tc>
          <w:tcPr>
            <w:tcW w:type="dxa" w:w="34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落实 ≥150 例 TARC 检测经费（约 3–6 万元）</w:t>
            </w:r>
          </w:p>
        </w:tc>
        <w:tc>
          <w:tcPr>
            <w:tcW w:type="dxa" w:w="38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取消非劣效性子研究，以 H2（早期动态增量价值）为主线；TARC 相关分析全部删除</w:t>
            </w:r>
          </w:p>
        </w:tc>
      </w:tr>
      <w:tr>
        <w:tc>
          <w:tcPr>
            <w:tcW w:type="dxa" w:w="9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G3</w:t>
            </w:r>
          </w:p>
        </w:tc>
        <w:tc>
          <w:tcPr>
            <w:tcW w:type="dxa" w:w="15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发现队列分析阶段</w:t>
            </w:r>
          </w:p>
        </w:tc>
        <w:tc>
          <w:tcPr>
            <w:tcW w:type="dxa" w:w="34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复合指数模型相对基础临床模型 M0 的交叉验证 ΔAUC &gt; +0.03</w:t>
            </w:r>
          </w:p>
        </w:tc>
        <w:tc>
          <w:tcPr>
            <w:tcW w:type="dxa" w:w="38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诚实报告"常规血液标志物未提供超越基础临床变量的增量价值"。该阴性结果同样具有发表价值与领域意义</w:t>
            </w:r>
          </w:p>
        </w:tc>
      </w:tr>
      <w:tr>
        <w:tc>
          <w:tcPr>
            <w:tcW w:type="dxa" w:w="9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G4</w:t>
            </w:r>
          </w:p>
        </w:tc>
        <w:tc>
          <w:tcPr>
            <w:tcW w:type="dxa" w:w="15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T0+8–14 月</w:t>
            </w:r>
          </w:p>
        </w:tc>
        <w:tc>
          <w:tcPr>
            <w:tcW w:type="dxa" w:w="34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取得外部验证数据且关键变量可及</w:t>
            </w:r>
          </w:p>
        </w:tc>
        <w:tc>
          <w:tcPr>
            <w:tcW w:type="dxa" w:w="38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启用留一中心交叉验证与本院回顾性历史队列；在局限性中明确说明</w:t>
            </w:r>
          </w:p>
        </w:tc>
      </w:tr>
    </w:tbl>
    <w:p>
      <w:r>
        <w:br w:type="page"/>
      </w:r>
    </w:p>
    <w:p>
      <w:pPr>
        <w:pStyle w:val="Heading1"/>
        <w:spacing w:after="100" w:before="400"/>
      </w:pPr>
      <w:r>
        <w:rPr>
          <w:rFonts w:ascii="Times New Roman" w:eastAsia="黑体"/>
          <w:b/>
          <w:bCs/>
          <w:color w:val="1F3864"/>
          <w:sz w:val="30"/>
          <w:szCs w:val="30"/>
        </w:rPr>
        <w:t xml:space="preserve">第四部分　统计分析计划纲要</w:t>
      </w:r>
    </w:p>
    <w:p>
      <w:pPr>
        <w:spacing w:after="60" w:before="60" w:line="300"/>
        <w:jc w:val="both"/>
      </w:pPr>
      <w:r>
        <w:rPr>
          <w:rFonts w:ascii="Times New Roman" w:eastAsia="宋体"/>
          <w:sz w:val="21"/>
          <w:szCs w:val="21"/>
        </w:rPr>
        <w:t xml:space="preserve">本部分仅列纲要，完整内容见独立的统计分析计划文件。</w:t>
      </w:r>
    </w:p>
    <w:p>
      <w:pPr>
        <w:pStyle w:val="Heading2"/>
        <w:spacing w:after="100" w:before="260"/>
      </w:pPr>
      <w:r>
        <w:rPr>
          <w:rFonts w:ascii="Times New Roman" w:eastAsia="黑体"/>
          <w:b/>
          <w:bCs/>
          <w:color w:val="1F3864"/>
          <w:sz w:val="25"/>
          <w:szCs w:val="25"/>
        </w:rPr>
        <w:t xml:space="preserve">4.1　模型层级</w:t>
      </w:r>
    </w:p>
    <w:p>
      <w:pPr>
        <w:spacing w:after="60" w:before="160"/>
      </w:pPr>
      <w:r>
        <w:rPr>
          <w:rFonts w:ascii="Times New Roman" w:eastAsia="黑体"/>
          <w:b/>
          <w:bCs/>
          <w:color w:val="1F3864"/>
          <w:sz w:val="19"/>
          <w:szCs w:val="19"/>
        </w:rPr>
        <w:t xml:space="preserve">表 4-1　分析模型层级</w:t>
      </w:r>
    </w:p>
    <w:tbl>
      <w:tblPr>
        <w:tblW w:type="dxa" w:w="9600"/>
        <w:tblBorders>
          <w:top w:val="single" w:color="8EA9DB" w:sz="4"/>
          <w:left w:val="single" w:color="8EA9DB" w:sz="4"/>
          <w:bottom w:val="single" w:color="8EA9DB" w:sz="4"/>
          <w:right w:val="single" w:color="8EA9DB" w:sz="4"/>
          <w:insideH w:val="single" w:color="B4C6E7" w:sz="2"/>
          <w:insideV w:val="single" w:color="B4C6E7" w:sz="2"/>
        </w:tblBorders>
        <w:tblLayout w:type="fixed"/>
      </w:tblPr>
      <w:tblGrid>
        <w:gridCol w:w="2000"/>
        <w:gridCol w:w="3900"/>
        <w:gridCol w:w="3700"/>
      </w:tblGrid>
      <w:tr>
        <w:trPr>
          <w:tblHeader/>
        </w:trPr>
        <w:tc>
          <w:tcPr>
            <w:tcW w:type="dxa" w:w="20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层级</w:t>
            </w:r>
          </w:p>
        </w:tc>
        <w:tc>
          <w:tcPr>
            <w:tcW w:type="dxa" w:w="39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模型</w:t>
            </w:r>
          </w:p>
        </w:tc>
        <w:tc>
          <w:tcPr>
            <w:tcW w:type="dxa" w:w="37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定位</w:t>
            </w:r>
          </w:p>
        </w:tc>
      </w:tr>
      <w:tr>
        <w:tc>
          <w:tcPr>
            <w:tcW w:type="dxa" w:w="2000"/>
            <w:tcMar>
              <w:top w:type="dxa" w:w="60"/>
              <w:left w:type="dxa" w:w="90"/>
              <w:bottom w:type="dxa" w:w="60"/>
              <w:right w:type="dxa" w:w="90"/>
            </w:tcMar>
            <w:vAlign w:val="center"/>
          </w:tcPr>
          <w:p>
            <w:pPr>
              <w:spacing w:after="20" w:before="20" w:line="260"/>
              <w:jc w:val="left"/>
            </w:pPr>
            <w:r>
              <w:rPr>
                <w:rFonts w:ascii="Times New Roman" w:eastAsia="宋体"/>
                <w:b/>
                <w:bCs/>
                <w:sz w:val="19"/>
                <w:szCs w:val="19"/>
              </w:rPr>
              <w:t xml:space="preserve">基准模型 M0</w:t>
            </w:r>
          </w:p>
        </w:tc>
        <w:tc>
          <w:tcPr>
            <w:tcW w:type="dxa" w:w="39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基线 EASI + 年龄 + 既往系统性治疗失败</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所有复杂模型必须超越的下限；代表"不做任何检验就能得到的信息"。Results 主表首行</w:t>
            </w:r>
          </w:p>
        </w:tc>
      </w:tr>
      <w:tr>
        <w:tc>
          <w:tcPr>
            <w:tcW w:type="dxa" w:w="20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主模型</w:t>
            </w:r>
          </w:p>
        </w:tc>
        <w:tc>
          <w:tcPr>
            <w:tcW w:type="dxa" w:w="39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惩罚 Logistic（Elastic Net），结局为 W16 EASI-75，含删失加权</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主要分析，检验 H1</w:t>
            </w:r>
          </w:p>
        </w:tc>
      </w:tr>
      <w:tr>
        <w:tc>
          <w:tcPr>
            <w:tcW w:type="dxa" w:w="20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正当性检验</w:t>
            </w:r>
          </w:p>
        </w:tc>
        <w:tc>
          <w:tcPr>
            <w:tcW w:type="dxa" w:w="39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M0 vs M1（三个血液变量自由估计系数）vs M2（约束复合指数）</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回答"为何使用手工复合指数"这一必然的审稿质疑</w:t>
            </w:r>
          </w:p>
        </w:tc>
      </w:tr>
      <w:tr>
        <w:tc>
          <w:tcPr>
            <w:tcW w:type="dxa" w:w="20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次要分析 A</w:t>
            </w:r>
          </w:p>
        </w:tc>
        <w:tc>
          <w:tcPr>
            <w:tcW w:type="dxa" w:w="39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W4 Landmark 条件模型（改善幅度与嗜酸变化分别入模，含交互项与样条）</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检验 H2</w:t>
            </w:r>
          </w:p>
        </w:tc>
      </w:tr>
      <w:tr>
        <w:tc>
          <w:tcPr>
            <w:tcW w:type="dxa" w:w="20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次要分析 B</w:t>
            </w:r>
          </w:p>
        </w:tc>
        <w:tc>
          <w:tcPr>
            <w:tcW w:type="dxa" w:w="39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离散时间多分类竞争风险模型（三状态）</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检验 H3</w:t>
            </w:r>
          </w:p>
        </w:tc>
      </w:tr>
      <w:tr>
        <w:tc>
          <w:tcPr>
            <w:tcW w:type="dxa" w:w="20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不确定性量化</w:t>
            </w:r>
          </w:p>
        </w:tc>
        <w:tc>
          <w:tcPr>
            <w:tcW w:type="dxa" w:w="39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Conformal 分类（预测集）+ bootstrap 概率区间</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决策质量分级</w:t>
            </w:r>
          </w:p>
        </w:tc>
      </w:tr>
      <w:tr>
        <w:tc>
          <w:tcPr>
            <w:tcW w:type="dxa" w:w="20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敏感性分析</w:t>
            </w:r>
          </w:p>
        </w:tc>
        <w:tc>
          <w:tcPr>
            <w:tcW w:type="dxa" w:w="39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数据驱动权重版复合指数；乘积形式简化评分；删失加权 vs 插补 vs 完整病例；MNAR 倾覆点</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Supplementary</w:t>
            </w:r>
          </w:p>
        </w:tc>
      </w:tr>
      <w:tr>
        <w:tc>
          <w:tcPr>
            <w:tcW w:type="dxa" w:w="20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探索性</w:t>
            </w:r>
          </w:p>
        </w:tc>
        <w:tc>
          <w:tcPr>
            <w:tcW w:type="dxa" w:w="39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Superlearner（统一特征集，中性预设）</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Supplementary</w:t>
            </w:r>
          </w:p>
        </w:tc>
      </w:tr>
    </w:tbl>
    <w:p>
      <w:pPr>
        <w:pStyle w:val="Heading2"/>
        <w:spacing w:after="100" w:before="260"/>
      </w:pPr>
      <w:r>
        <w:rPr>
          <w:rFonts w:ascii="Times New Roman" w:eastAsia="黑体"/>
          <w:b/>
          <w:bCs/>
          <w:color w:val="1F3864"/>
          <w:sz w:val="25"/>
          <w:szCs w:val="25"/>
        </w:rPr>
        <w:t xml:space="preserve">4.2　防止过拟合与数据泄漏的强制规范</w:t>
      </w:r>
    </w:p>
    <w:p>
      <w:pPr>
        <w:pStyle w:val="ListParagraph"/>
        <w:numPr>
          <w:ilvl w:val="0"/>
          <w:numId w:val="2"/>
        </w:numPr>
        <w:spacing w:after="40" w:before="40" w:line="290"/>
        <w:jc w:val="both"/>
      </w:pPr>
      <w:r>
        <w:rPr>
          <w:rFonts w:ascii="Times New Roman" w:eastAsia="宋体"/>
          <w:sz w:val="21"/>
          <w:szCs w:val="21"/>
        </w:rPr>
        <w:t xml:space="preserve">全部预处理参数——标准化的均值与标准差、Winsorization 的百分位、插补模型——仅在交叉验证的训练折内估计，并原样应用于测试折；</w:t>
      </w:r>
    </w:p>
    <w:p>
      <w:pPr>
        <w:pStyle w:val="ListParagraph"/>
        <w:numPr>
          <w:ilvl w:val="0"/>
          <w:numId w:val="2"/>
        </w:numPr>
        <w:spacing w:after="40" w:before="40" w:line="290"/>
        <w:jc w:val="both"/>
      </w:pPr>
      <w:r>
        <w:rPr>
          <w:rFonts w:ascii="Times New Roman" w:eastAsia="宋体"/>
          <w:sz w:val="21"/>
          <w:szCs w:val="21"/>
        </w:rPr>
        <w:t xml:space="preserve">多重插补的插补模型在训练折内须包含结局变量，测试折插补不得使用测试折结局；</w:t>
      </w:r>
    </w:p>
    <w:p>
      <w:pPr>
        <w:pStyle w:val="ListParagraph"/>
        <w:numPr>
          <w:ilvl w:val="0"/>
          <w:numId w:val="2"/>
        </w:numPr>
        <w:spacing w:after="40" w:before="40" w:line="290"/>
        <w:jc w:val="both"/>
      </w:pPr>
      <w:r>
        <w:rPr>
          <w:rFonts w:ascii="Times New Roman" w:eastAsia="宋体"/>
          <w:sz w:val="21"/>
          <w:szCs w:val="21"/>
        </w:rPr>
        <w:t xml:space="preserve">嵌套交叉验证：内层 5 折用于超参数选择，外层 10 折用于性能评估，严格分离；</w:t>
      </w:r>
    </w:p>
    <w:p>
      <w:pPr>
        <w:pStyle w:val="ListParagraph"/>
        <w:numPr>
          <w:ilvl w:val="0"/>
          <w:numId w:val="2"/>
        </w:numPr>
        <w:spacing w:after="40" w:before="40" w:line="290"/>
        <w:jc w:val="both"/>
      </w:pPr>
      <w:r>
        <w:rPr>
          <w:rFonts w:ascii="Times New Roman" w:eastAsia="宋体"/>
          <w:sz w:val="21"/>
          <w:szCs w:val="21"/>
        </w:rPr>
        <w:t xml:space="preserve">模型间比较一律基于外折（out-of-fold）预测值，置信区间由对整个建模流程重抽样的 bootstrap 给出；</w:t>
      </w:r>
    </w:p>
    <w:p>
      <w:pPr>
        <w:pStyle w:val="ListParagraph"/>
        <w:numPr>
          <w:ilvl w:val="0"/>
          <w:numId w:val="2"/>
        </w:numPr>
        <w:spacing w:after="40" w:before="40" w:line="290"/>
        <w:jc w:val="both"/>
      </w:pPr>
      <w:r>
        <w:rPr>
          <w:rFonts w:ascii="Times New Roman" w:eastAsia="宋体"/>
          <w:sz w:val="21"/>
          <w:szCs w:val="21"/>
        </w:rPr>
        <w:t xml:space="preserve">Bootstrap 变量选择频率 ≥80% 者认定为稳定预测因子并在结果表中报告。</w:t>
      </w:r>
    </w:p>
    <w:p>
      <w:pPr>
        <w:pStyle w:val="Heading2"/>
        <w:spacing w:after="100" w:before="260"/>
      </w:pPr>
      <w:r>
        <w:rPr>
          <w:rFonts w:ascii="Times New Roman" w:eastAsia="黑体"/>
          <w:b/>
          <w:bCs/>
          <w:color w:val="1F3864"/>
          <w:sz w:val="25"/>
          <w:szCs w:val="25"/>
        </w:rPr>
        <w:t xml:space="preserve">4.3　性能指标</w:t>
      </w:r>
    </w:p>
    <w:p>
      <w:pPr>
        <w:spacing w:after="60" w:before="160"/>
      </w:pPr>
      <w:r>
        <w:rPr>
          <w:rFonts w:ascii="Times New Roman" w:eastAsia="黑体"/>
          <w:b/>
          <w:bCs/>
          <w:color w:val="1F3864"/>
          <w:sz w:val="19"/>
          <w:szCs w:val="19"/>
        </w:rPr>
        <w:t xml:space="preserve">表 4-2　性能指标与目标</w:t>
      </w:r>
    </w:p>
    <w:tbl>
      <w:tblPr>
        <w:tblW w:type="dxa" w:w="9600"/>
        <w:tblBorders>
          <w:top w:val="single" w:color="8EA9DB" w:sz="4"/>
          <w:left w:val="single" w:color="8EA9DB" w:sz="4"/>
          <w:bottom w:val="single" w:color="8EA9DB" w:sz="4"/>
          <w:right w:val="single" w:color="8EA9DB" w:sz="4"/>
          <w:insideH w:val="single" w:color="B4C6E7" w:sz="2"/>
          <w:insideV w:val="single" w:color="B4C6E7" w:sz="2"/>
        </w:tblBorders>
        <w:tblLayout w:type="fixed"/>
      </w:tblPr>
      <w:tblGrid>
        <w:gridCol w:w="2400"/>
        <w:gridCol w:w="4100"/>
        <w:gridCol w:w="3100"/>
      </w:tblGrid>
      <w:tr>
        <w:trPr>
          <w:tblHeader/>
        </w:trPr>
        <w:tc>
          <w:tcPr>
            <w:tcW w:type="dxa" w:w="24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类别</w:t>
            </w:r>
          </w:p>
        </w:tc>
        <w:tc>
          <w:tcPr>
            <w:tcW w:type="dxa" w:w="41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指标</w:t>
            </w:r>
          </w:p>
        </w:tc>
        <w:tc>
          <w:tcPr>
            <w:tcW w:type="dxa" w:w="31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目标</w:t>
            </w:r>
          </w:p>
        </w:tc>
      </w:tr>
      <w:tr>
        <w:tc>
          <w:tcPr>
            <w:tcW w:type="dxa" w:w="2400"/>
            <w:tcMar>
              <w:top w:type="dxa" w:w="60"/>
              <w:left w:type="dxa" w:w="90"/>
              <w:bottom w:type="dxa" w:w="60"/>
              <w:right w:type="dxa" w:w="90"/>
            </w:tcMar>
            <w:vAlign w:val="center"/>
          </w:tcPr>
          <w:p>
            <w:pPr>
              <w:spacing w:after="20" w:before="20" w:line="260"/>
              <w:jc w:val="left"/>
            </w:pPr>
            <w:r>
              <w:rPr>
                <w:rFonts w:ascii="Times New Roman" w:eastAsia="宋体"/>
                <w:b/>
                <w:bCs/>
                <w:sz w:val="19"/>
                <w:szCs w:val="19"/>
              </w:rPr>
              <w:t xml:space="preserve">校准（共同主要）</w:t>
            </w:r>
          </w:p>
        </w:tc>
        <w:tc>
          <w:tcPr>
            <w:tcW w:type="dxa" w:w="41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校准斜率；校准截距；校准曲线</w:t>
            </w:r>
          </w:p>
        </w:tc>
        <w:tc>
          <w:tcPr>
            <w:tcW w:type="dxa" w:w="31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斜率 0.90–1.10；截距 95% CI 含 0</w:t>
            </w:r>
          </w:p>
        </w:tc>
      </w:tr>
      <w:tr>
        <w:tc>
          <w:tcPr>
            <w:tcW w:type="dxa" w:w="24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区分度</w:t>
            </w:r>
          </w:p>
        </w:tc>
        <w:tc>
          <w:tcPr>
            <w:tcW w:type="dxa" w:w="41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AUC（含 one-vs-rest）</w:t>
            </w:r>
          </w:p>
        </w:tc>
        <w:tc>
          <w:tcPr>
            <w:tcW w:type="dxa" w:w="31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目标事件 &gt;0.75</w:t>
            </w:r>
          </w:p>
        </w:tc>
      </w:tr>
      <w:tr>
        <w:tc>
          <w:tcPr>
            <w:tcW w:type="dxa" w:w="24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综合</w:t>
            </w:r>
          </w:p>
        </w:tc>
        <w:tc>
          <w:tcPr>
            <w:tcW w:type="dxa" w:w="41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Brier 评分</w:t>
            </w:r>
          </w:p>
        </w:tc>
        <w:tc>
          <w:tcPr>
            <w:tcW w:type="dxa" w:w="31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&lt;0.20</w:t>
            </w:r>
          </w:p>
        </w:tc>
      </w:tr>
      <w:tr>
        <w:tc>
          <w:tcPr>
            <w:tcW w:type="dxa" w:w="24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不确定性</w:t>
            </w:r>
          </w:p>
        </w:tc>
        <w:tc>
          <w:tcPr>
            <w:tcW w:type="dxa" w:w="41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Conformal 经验覆盖率；平均预测集大小；各类别条件覆盖率</w:t>
            </w:r>
          </w:p>
        </w:tc>
        <w:tc>
          <w:tcPr>
            <w:tcW w:type="dxa" w:w="31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覆盖率 ≈0.90；集合越小越有信息量</w:t>
            </w:r>
          </w:p>
        </w:tc>
      </w:tr>
      <w:tr>
        <w:tc>
          <w:tcPr>
            <w:tcW w:type="dxa" w:w="24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临床有用性</w:t>
            </w:r>
          </w:p>
        </w:tc>
        <w:tc>
          <w:tcPr>
            <w:tcW w:type="dxa" w:w="41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决策曲线净获益（阈值由医生阈值引出确定）</w:t>
            </w:r>
          </w:p>
        </w:tc>
        <w:tc>
          <w:tcPr>
            <w:tcW w:type="dxa" w:w="31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全程高于全治与全不治策略</w:t>
            </w:r>
          </w:p>
        </w:tc>
      </w:tr>
      <w:tr>
        <w:tc>
          <w:tcPr>
            <w:tcW w:type="dxa" w:w="2400"/>
            <w:tcMar>
              <w:top w:type="dxa" w:w="60"/>
              <w:left w:type="dxa" w:w="90"/>
              <w:bottom w:type="dxa" w:w="60"/>
              <w:right w:type="dxa" w:w="90"/>
            </w:tcMar>
            <w:vAlign w:val="center"/>
          </w:tcPr>
          <w:p>
            <w:pPr>
              <w:spacing w:after="20" w:before="20" w:line="260"/>
              <w:jc w:val="left"/>
            </w:pPr>
            <w:r>
              <w:rPr>
                <w:rFonts w:ascii="Times New Roman" w:eastAsia="宋体"/>
                <w:b/>
                <w:bCs/>
                <w:sz w:val="19"/>
                <w:szCs w:val="19"/>
              </w:rPr>
              <w:t xml:space="preserve">基准对比</w:t>
            </w:r>
          </w:p>
        </w:tc>
        <w:tc>
          <w:tcPr>
            <w:tcW w:type="dxa" w:w="41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相对 M0 的 ΔAUC 与 Δ净获益</w:t>
            </w:r>
          </w:p>
        </w:tc>
        <w:tc>
          <w:tcPr>
            <w:tcW w:type="dxa" w:w="31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须显著超越 M0，否则 H1 被否定</w:t>
            </w:r>
          </w:p>
        </w:tc>
      </w:tr>
    </w:tbl>
    <w:p>
      <w:pPr>
        <w:spacing w:after="60" w:before="60" w:line="300"/>
        <w:jc w:val="both"/>
      </w:pPr>
      <w:r>
        <w:rPr>
          <w:rFonts w:ascii="Times New Roman" w:eastAsia="宋体"/>
          <w:sz w:val="21"/>
          <w:szCs w:val="21"/>
        </w:rPr>
        <w:t xml:space="preserve">校准被列为共同主要指标而非次要指标：对用于个体化决策的模型，校准比区分度更关键。一个区分度良好但校准失败的模型会给出系统性错误的绝对概率，直接误导临床决策分级。</w:t>
      </w:r>
    </w:p>
    <w:p>
      <w:pPr>
        <w:pStyle w:val="Heading2"/>
        <w:spacing w:after="100" w:before="260"/>
      </w:pPr>
      <w:r>
        <w:rPr>
          <w:rFonts w:ascii="Times New Roman" w:eastAsia="黑体"/>
          <w:b/>
          <w:bCs/>
          <w:color w:val="1F3864"/>
          <w:sz w:val="25"/>
          <w:szCs w:val="25"/>
        </w:rPr>
        <w:t xml:space="preserve">4.4　验证策略</w:t>
      </w:r>
    </w:p>
    <w:p>
      <w:pPr>
        <w:pStyle w:val="ListParagraph"/>
        <w:numPr>
          <w:ilvl w:val="0"/>
          <w:numId w:val="2"/>
        </w:numPr>
        <w:spacing w:after="40" w:before="40" w:line="290"/>
        <w:jc w:val="both"/>
      </w:pPr>
      <w:r>
        <w:rPr>
          <w:rFonts w:ascii="Times New Roman" w:eastAsia="宋体"/>
          <w:sz w:val="21"/>
          <w:szCs w:val="21"/>
        </w:rPr>
        <w:t xml:space="preserve">内部验证：嵌套 10 折交叉验证；bootstrap 乐观性校正；学习曲线；</w:t>
      </w:r>
    </w:p>
    <w:p>
      <w:pPr>
        <w:pStyle w:val="ListParagraph"/>
        <w:numPr>
          <w:ilvl w:val="0"/>
          <w:numId w:val="2"/>
        </w:numPr>
        <w:spacing w:after="40" w:before="40" w:line="290"/>
        <w:jc w:val="both"/>
      </w:pPr>
      <w:r>
        <w:rPr>
          <w:rFonts w:ascii="Times New Roman" w:eastAsia="宋体"/>
          <w:sz w:val="21"/>
          <w:szCs w:val="21"/>
        </w:rPr>
        <w:t xml:space="preserve">内部-时序验证：前 70% 入组者训练、后 30% 验证（须明确标注这是内部验证，不能替代外部验证）；</w:t>
      </w:r>
    </w:p>
    <w:p>
      <w:pPr>
        <w:pStyle w:val="ListParagraph"/>
        <w:numPr>
          <w:ilvl w:val="0"/>
          <w:numId w:val="2"/>
        </w:numPr>
        <w:spacing w:after="40" w:before="40" w:line="290"/>
        <w:jc w:val="both"/>
      </w:pPr>
      <w:r>
        <w:rPr>
          <w:rFonts w:ascii="Times New Roman" w:eastAsia="宋体"/>
          <w:sz w:val="21"/>
          <w:szCs w:val="21"/>
        </w:rPr>
        <w:t xml:space="preserve">外部验证（首选）：临床试验个体患者数据，优先选择联合外用激素的试验以匹配中国真实世界背景治疗；</w:t>
      </w:r>
    </w:p>
    <w:p>
      <w:pPr>
        <w:pStyle w:val="ListParagraph"/>
        <w:numPr>
          <w:ilvl w:val="0"/>
          <w:numId w:val="2"/>
        </w:numPr>
        <w:spacing w:after="40" w:before="40" w:line="290"/>
        <w:jc w:val="both"/>
      </w:pPr>
      <w:r>
        <w:rPr>
          <w:rFonts w:ascii="Times New Roman" w:eastAsia="宋体"/>
          <w:sz w:val="21"/>
          <w:szCs w:val="21"/>
        </w:rPr>
        <w:t xml:space="preserve">外部验证（兜底）：留一中心交叉验证；本院回顾性历史队列。</w:t>
      </w:r>
    </w:p>
    <w:p>
      <w:r>
        <w:br w:type="page"/>
      </w:r>
    </w:p>
    <w:p>
      <w:pPr>
        <w:pStyle w:val="Heading1"/>
        <w:spacing w:after="100" w:before="400"/>
      </w:pPr>
      <w:r>
        <w:rPr>
          <w:rFonts w:ascii="Times New Roman" w:eastAsia="黑体"/>
          <w:b/>
          <w:bCs/>
          <w:color w:val="1F3864"/>
          <w:sz w:val="30"/>
          <w:szCs w:val="30"/>
        </w:rPr>
        <w:t xml:space="preserve">第五部分　文献基础</w:t>
      </w:r>
    </w:p>
    <w:p>
      <w:pPr>
        <w:spacing w:after="60" w:before="60" w:line="300"/>
        <w:jc w:val="both"/>
      </w:pPr>
      <w:r>
        <w:rPr>
          <w:rFonts w:ascii="Times New Roman" w:eastAsia="宋体"/>
          <w:sz w:val="21"/>
          <w:szCs w:val="21"/>
        </w:rPr>
        <w:t xml:space="preserve">以下按其在本研究中承担的论证功能分类。每条注明该文献在方案中的具体用途，便于撰写引言与讨论时直接调用。</w:t>
      </w:r>
    </w:p>
    <w:p>
      <w:pPr>
        <w:pStyle w:val="Heading2"/>
        <w:spacing w:after="100" w:before="260"/>
      </w:pPr>
      <w:r>
        <w:rPr>
          <w:rFonts w:ascii="Times New Roman" w:eastAsia="黑体"/>
          <w:b/>
          <w:bCs/>
          <w:color w:val="1F3864"/>
          <w:sz w:val="25"/>
          <w:szCs w:val="25"/>
        </w:rPr>
        <w:t xml:space="preserve">5.1　立论基础：疗效基准</w:t>
      </w:r>
    </w:p>
    <w:tbl>
      <w:tblPr>
        <w:tblW w:type="dxa" w:w="9600"/>
        <w:tblBorders>
          <w:top w:val="single" w:color="8EA9DB" w:sz="4"/>
          <w:left w:val="single" w:color="8EA9DB" w:sz="4"/>
          <w:bottom w:val="single" w:color="8EA9DB" w:sz="4"/>
          <w:right w:val="single" w:color="8EA9DB" w:sz="4"/>
          <w:insideH w:val="single" w:color="B4C6E7" w:sz="2"/>
          <w:insideV w:val="single" w:color="B4C6E7" w:sz="2"/>
        </w:tblBorders>
        <w:tblLayout w:type="fixed"/>
      </w:tblPr>
      <w:tblGrid>
        <w:gridCol w:w="420"/>
        <w:gridCol w:w="5480"/>
        <w:gridCol w:w="3700"/>
      </w:tblGrid>
      <w:tr>
        <w:trPr>
          <w:tblHeader/>
        </w:trPr>
        <w:tc>
          <w:tcPr>
            <w:tcW w:type="dxa" w:w="42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8"/>
                <w:szCs w:val="18"/>
              </w:rPr>
              <w:t xml:space="preserve">#</w:t>
            </w:r>
          </w:p>
        </w:tc>
        <w:tc>
          <w:tcPr>
            <w:tcW w:type="dxa" w:w="548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8"/>
                <w:szCs w:val="18"/>
              </w:rPr>
              <w:t xml:space="preserve">文献</w:t>
            </w:r>
          </w:p>
        </w:tc>
        <w:tc>
          <w:tcPr>
            <w:tcW w:type="dxa" w:w="37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8"/>
                <w:szCs w:val="18"/>
              </w:rPr>
              <w:t xml:space="preserve">在本研究中的用途</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1</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Simpson EL, et al. Two Phase 3 Trials of Dupilumab versus Placebo in Atopic Dermatitis (LIBERTY AD SOLO 1 &amp; SOLO 2). N Engl J Med 2016;375:2335-48.</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疗效基准：EASI-75 为 51%（SOLO 1 q2w）与 44%（SOLO 2 q2w），安慰剂 15%/12%。注意 38%/10% 是 IGA 0/1 的数字，引用时勿混淆</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2</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Blauvelt A, et al. Long-term management of moderate-to-severe atopic dermatitis with dupilumab and concomitant topical corticosteroids (LIBERTY AD CHRONOS). Lancet 2017;389:2287-303.</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外部验证的首选来源：联合外用激素，与中国真实世界背景治疗最可比</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3</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Simpson EL, et al. Efficacy and safety of dupilumab monotherapy in adults: pooled analysis of SOLO 1 and SOLO 2. J Dermatol Sci 2019;94:266-75.</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汇总疗效与亚组数据</w:t>
            </w:r>
          </w:p>
        </w:tc>
      </w:tr>
    </w:tbl>
    <w:p>
      <w:pPr>
        <w:pStyle w:val="Heading2"/>
        <w:spacing w:after="100" w:before="260"/>
      </w:pPr>
      <w:r>
        <w:rPr>
          <w:rFonts w:ascii="Times New Roman" w:eastAsia="黑体"/>
          <w:b/>
          <w:bCs/>
          <w:color w:val="1F3864"/>
          <w:sz w:val="25"/>
          <w:szCs w:val="25"/>
        </w:rPr>
        <w:t xml:space="preserve">5.2　关键否定性证据（必须在引言中正面处理）</w:t>
      </w:r>
    </w:p>
    <w:tbl>
      <w:tblPr>
        <w:tblW w:type="dxa" w:w="9600"/>
        <w:tblBorders>
          <w:top w:val="single" w:color="8EA9DB" w:sz="4"/>
          <w:left w:val="single" w:color="8EA9DB" w:sz="4"/>
          <w:bottom w:val="single" w:color="8EA9DB" w:sz="4"/>
          <w:right w:val="single" w:color="8EA9DB" w:sz="4"/>
          <w:insideH w:val="single" w:color="B4C6E7" w:sz="2"/>
          <w:insideV w:val="single" w:color="B4C6E7" w:sz="2"/>
        </w:tblBorders>
        <w:tblLayout w:type="fixed"/>
      </w:tblPr>
      <w:tblGrid>
        <w:gridCol w:w="420"/>
        <w:gridCol w:w="5480"/>
        <w:gridCol w:w="3700"/>
      </w:tblGrid>
      <w:tr>
        <w:trPr>
          <w:tblHeader/>
        </w:trPr>
        <w:tc>
          <w:tcPr>
            <w:tcW w:type="dxa" w:w="42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8"/>
                <w:szCs w:val="18"/>
              </w:rPr>
              <w:t xml:space="preserve">#</w:t>
            </w:r>
          </w:p>
        </w:tc>
        <w:tc>
          <w:tcPr>
            <w:tcW w:type="dxa" w:w="548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8"/>
                <w:szCs w:val="18"/>
              </w:rPr>
              <w:t xml:space="preserve">文献</w:t>
            </w:r>
          </w:p>
        </w:tc>
        <w:tc>
          <w:tcPr>
            <w:tcW w:type="dxa" w:w="37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8"/>
                <w:szCs w:val="18"/>
              </w:rPr>
              <w:t xml:space="preserve">在本研究中的用途</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bCs/>
                <w:color w:val="C00000"/>
                <w:sz w:val="17"/>
                <w:szCs w:val="17"/>
              </w:rPr>
              <w:t xml:space="preserve">4</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bCs/>
                <w:sz w:val="17"/>
                <w:szCs w:val="17"/>
              </w:rPr>
              <w:t xml:space="preserve">Baseline serum biomarkers do not predict dupilumab treatment response in adults with moderate-to-severe atopic dermatitis. J Dermatol Sci 2024. (基于 SOLO 1/2)</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bCs/>
                <w:color w:val="C00000"/>
                <w:sz w:val="17"/>
                <w:szCs w:val="17"/>
              </w:rPr>
              <w:t xml:space="preserve">本研究立论的起点。基线总 IgE、CCL17、LDH 与 W16 EASI 变化的相关系数仅 −0.03 至 −0.30。必须在引言第二段正面引用并据此重构知识空白</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bCs/>
                <w:color w:val="C00000"/>
                <w:sz w:val="17"/>
                <w:szCs w:val="17"/>
              </w:rPr>
              <w:t xml:space="preserve">5</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bCs/>
                <w:sz w:val="17"/>
                <w:szCs w:val="17"/>
              </w:rPr>
              <w:t xml:space="preserve">Biomarkers CCL17/TARC and Total IgE Do Not Predict Clinical Response to Dupilumab in AD: post hoc analysis of pooled Phase 3 data (SOLO 1 &amp; 2). 会议摘要.</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bCs/>
                <w:color w:val="C00000"/>
                <w:sz w:val="17"/>
                <w:szCs w:val="17"/>
              </w:rPr>
              <w:t xml:space="preserve">同上，作为独立证据来源支持同一结论</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6</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Thymus and activation-regulated chemokine (CCL17) as a clinical biomarker in atopic dermatitis: significance and limitations in the new treatment era. 2025 综述.</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区分药效学标志物与预测标志物的理论依据；TARC 在生物制剂时代的定位</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7</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Dupilumab Consistently Reduces CCL-17 (TARC) in Patients with AD Across All Age Groups. J Allergy Clin Immunol 2023.</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TARC 作为药效学标志物有效、作为预测标志物无效这一对比的证据</w:t>
            </w:r>
          </w:p>
        </w:tc>
      </w:tr>
    </w:tbl>
    <w:p>
      <w:pPr>
        <w:pStyle w:val="Heading2"/>
        <w:spacing w:after="100" w:before="260"/>
      </w:pPr>
      <w:r>
        <w:rPr>
          <w:rFonts w:ascii="Times New Roman" w:eastAsia="黑体"/>
          <w:b/>
          <w:bCs/>
          <w:color w:val="1F3864"/>
          <w:sz w:val="25"/>
          <w:szCs w:val="25"/>
        </w:rPr>
        <w:t xml:space="preserve">5.3　直接在先工作（差异化定位的对象）</w:t>
      </w:r>
    </w:p>
    <w:tbl>
      <w:tblPr>
        <w:tblW w:type="dxa" w:w="9600"/>
        <w:tblBorders>
          <w:top w:val="single" w:color="8EA9DB" w:sz="4"/>
          <w:left w:val="single" w:color="8EA9DB" w:sz="4"/>
          <w:bottom w:val="single" w:color="8EA9DB" w:sz="4"/>
          <w:right w:val="single" w:color="8EA9DB" w:sz="4"/>
          <w:insideH w:val="single" w:color="B4C6E7" w:sz="2"/>
          <w:insideV w:val="single" w:color="B4C6E7" w:sz="2"/>
        </w:tblBorders>
        <w:tblLayout w:type="fixed"/>
      </w:tblPr>
      <w:tblGrid>
        <w:gridCol w:w="420"/>
        <w:gridCol w:w="5480"/>
        <w:gridCol w:w="3700"/>
      </w:tblGrid>
      <w:tr>
        <w:trPr>
          <w:tblHeader/>
        </w:trPr>
        <w:tc>
          <w:tcPr>
            <w:tcW w:type="dxa" w:w="42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8"/>
                <w:szCs w:val="18"/>
              </w:rPr>
              <w:t xml:space="preserve">#</w:t>
            </w:r>
          </w:p>
        </w:tc>
        <w:tc>
          <w:tcPr>
            <w:tcW w:type="dxa" w:w="548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8"/>
                <w:szCs w:val="18"/>
              </w:rPr>
              <w:t xml:space="preserve">文献</w:t>
            </w:r>
          </w:p>
        </w:tc>
        <w:tc>
          <w:tcPr>
            <w:tcW w:type="dxa" w:w="37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8"/>
                <w:szCs w:val="18"/>
              </w:rPr>
              <w:t xml:space="preserve">在本研究中的用途</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bCs/>
                <w:color w:val="C00000"/>
                <w:sz w:val="17"/>
                <w:szCs w:val="17"/>
              </w:rPr>
              <w:t xml:space="preserve">8</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bCs/>
                <w:sz w:val="17"/>
                <w:szCs w:val="17"/>
              </w:rPr>
              <w:t xml:space="preserve">Blood Cells Count Derived Inflammation Indexes as Predictors of Early Treatment Response to Dupilumab in Patients with Moderate-to-Severe Atopic Dermatitis. J Clin Med 2023;12:2104.</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bCs/>
                <w:color w:val="C00000"/>
                <w:sz w:val="17"/>
                <w:szCs w:val="17"/>
              </w:rPr>
              <w:t xml:space="preserve">最接近的在先工作，必须逐点差异化。n=66 回顾性单中心；PLR 独立相关（OR 1.016）；SII 与 IgE 组合 AUC 0.797；终点为 EASI-50；无外部验证、无校准、未与基础临床模型比较</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9</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The Association of Inflammatory Indexes Derived from Peripheral Blood Cell Count and Clinical Signs with Response to Dupilumab in Pediatric Patients. J Inflamm Res 2025.</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同一思路在儿童人群的重复；支持比值型指数的构念</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10</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Predictive Factors of Early Response to Dupilumab in Patients with Moderate-to-Severe Atopic Dermatitis. J Clin Med 2023;12:6575.</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早期应答预测因子：AD 表型（钱币状湿疹较差）、基线 EASI 分层；提示表型变量应纳入基准模型</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11</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EASI p-EASI: Predicting disease severity in atopic dermatitis patients treated with dupilumab using a combination of serum biomarkers. 2020.</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复合血清标志物的先例（TARC + IL-22 + sIL-2R）；注意其预测的是疾病严重度而非治疗应答</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12</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Association of Serum Dupilumab Levels at 16 Weeks With Treatment Response and Adverse Effects: BioDay Registry. JAMA Dermatol 2022.</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BioDay 注册研究采用 W0/W4/W16/W28 节点，为本研究的节点设计提供先例；血药浓度作为竞争性解释需在讨论中提及</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13</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Influencing factor analysis and prediction model construction of dupilumab treatment adherence: a prospective cohort study. Front Immunol 2025.</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依从性预测模型；提示依从性是"未达标"的重要竞争解释，须在本研究中采集</w:t>
            </w:r>
          </w:p>
        </w:tc>
      </w:tr>
    </w:tbl>
    <w:p>
      <w:pPr>
        <w:pStyle w:val="Heading2"/>
        <w:spacing w:after="100" w:before="260"/>
      </w:pPr>
      <w:r>
        <w:rPr>
          <w:rFonts w:ascii="Times New Roman" w:eastAsia="黑体"/>
          <w:b/>
          <w:bCs/>
          <w:color w:val="1F3864"/>
          <w:sz w:val="25"/>
          <w:szCs w:val="25"/>
        </w:rPr>
        <w:t xml:space="preserve">5.4　生物学机制（支撑假说 H3）</w:t>
      </w:r>
    </w:p>
    <w:tbl>
      <w:tblPr>
        <w:tblW w:type="dxa" w:w="9600"/>
        <w:tblBorders>
          <w:top w:val="single" w:color="8EA9DB" w:sz="4"/>
          <w:left w:val="single" w:color="8EA9DB" w:sz="4"/>
          <w:bottom w:val="single" w:color="8EA9DB" w:sz="4"/>
          <w:right w:val="single" w:color="8EA9DB" w:sz="4"/>
          <w:insideH w:val="single" w:color="B4C6E7" w:sz="2"/>
          <w:insideV w:val="single" w:color="B4C6E7" w:sz="2"/>
        </w:tblBorders>
        <w:tblLayout w:type="fixed"/>
      </w:tblPr>
      <w:tblGrid>
        <w:gridCol w:w="420"/>
        <w:gridCol w:w="5480"/>
        <w:gridCol w:w="3700"/>
      </w:tblGrid>
      <w:tr>
        <w:trPr>
          <w:tblHeader/>
        </w:trPr>
        <w:tc>
          <w:tcPr>
            <w:tcW w:type="dxa" w:w="42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8"/>
                <w:szCs w:val="18"/>
              </w:rPr>
              <w:t xml:space="preserve">#</w:t>
            </w:r>
          </w:p>
        </w:tc>
        <w:tc>
          <w:tcPr>
            <w:tcW w:type="dxa" w:w="548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8"/>
                <w:szCs w:val="18"/>
              </w:rPr>
              <w:t xml:space="preserve">文献</w:t>
            </w:r>
          </w:p>
        </w:tc>
        <w:tc>
          <w:tcPr>
            <w:tcW w:type="dxa" w:w="37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8"/>
                <w:szCs w:val="18"/>
              </w:rPr>
              <w:t xml:space="preserve">在本研究中的用途</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bCs/>
                <w:color w:val="C00000"/>
                <w:sz w:val="17"/>
                <w:szCs w:val="17"/>
              </w:rPr>
              <w:t xml:space="preserve">14</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bCs/>
                <w:sz w:val="17"/>
                <w:szCs w:val="17"/>
              </w:rPr>
              <w:t xml:space="preserve">Wechsler ME, et al. Effect of Dupilumab on Blood Eosinophil Counts in Patients With Asthma, CRSwNP, Atopic Dermatitis, or Eosinophilic Esophagitis. J Allergy Clin Immunol Pract 2022;10:2695-2709.</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bCs/>
                <w:color w:val="C00000"/>
                <w:sz w:val="17"/>
                <w:szCs w:val="17"/>
              </w:rPr>
              <w:t xml:space="preserve">H3 的核心机制依据：一过性嗜酸增多峰值在第 4 周；机制为阻断组织趋化而非骨髓释放；明确与疗效无关</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bCs/>
                <w:color w:val="C00000"/>
                <w:sz w:val="17"/>
                <w:szCs w:val="17"/>
              </w:rPr>
              <w:t xml:space="preserve">15</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bCs/>
                <w:sz w:val="17"/>
                <w:szCs w:val="17"/>
              </w:rPr>
              <w:t xml:space="preserve">Dupilumab-associated (hyper)eosinophilia in patients with atopic dermatitis: TREAT NL registry cohort study. Br J Dermatol 2024;191:1012.</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bCs/>
                <w:color w:val="C00000"/>
                <w:sz w:val="17"/>
                <w:szCs w:val="17"/>
              </w:rPr>
              <w:t xml:space="preserve">真实世界中嗜酸增多的发生率与临床相关性</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bCs/>
                <w:color w:val="C00000"/>
                <w:sz w:val="17"/>
                <w:szCs w:val="17"/>
              </w:rPr>
              <w:t xml:space="preserve">16</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bCs/>
                <w:sz w:val="17"/>
                <w:szCs w:val="17"/>
              </w:rPr>
              <w:t xml:space="preserve">Elevation of peripheral blood eosinophils during dupilumab treatment is associated with baseline comorbidities and development of facial redness dermatitis and ocular surface disease. J Dermatolog Treat 2022;33:2695-2701.</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bCs/>
                <w:color w:val="C00000"/>
                <w:sz w:val="17"/>
                <w:szCs w:val="17"/>
              </w:rPr>
              <w:t xml:space="preserve">H3 的直接依据：嗜酸升高与面部红斑及眼表疾病相关，而这两者是最常见的治疗策略改变原因</w:t>
            </w:r>
          </w:p>
        </w:tc>
      </w:tr>
    </w:tbl>
    <w:p>
      <w:pPr>
        <w:pStyle w:val="Heading2"/>
        <w:spacing w:after="100" w:before="260"/>
      </w:pPr>
      <w:r>
        <w:rPr>
          <w:rFonts w:ascii="Times New Roman" w:eastAsia="黑体"/>
          <w:b/>
          <w:bCs/>
          <w:color w:val="1F3864"/>
          <w:sz w:val="25"/>
          <w:szCs w:val="25"/>
        </w:rPr>
        <w:t xml:space="preserve">5.5　中国人群数据（样本量锚定与外推性）</w:t>
      </w:r>
    </w:p>
    <w:tbl>
      <w:tblPr>
        <w:tblW w:type="dxa" w:w="9600"/>
        <w:tblBorders>
          <w:top w:val="single" w:color="8EA9DB" w:sz="4"/>
          <w:left w:val="single" w:color="8EA9DB" w:sz="4"/>
          <w:bottom w:val="single" w:color="8EA9DB" w:sz="4"/>
          <w:right w:val="single" w:color="8EA9DB" w:sz="4"/>
          <w:insideH w:val="single" w:color="B4C6E7" w:sz="2"/>
          <w:insideV w:val="single" w:color="B4C6E7" w:sz="2"/>
        </w:tblBorders>
        <w:tblLayout w:type="fixed"/>
      </w:tblPr>
      <w:tblGrid>
        <w:gridCol w:w="420"/>
        <w:gridCol w:w="5480"/>
        <w:gridCol w:w="3700"/>
      </w:tblGrid>
      <w:tr>
        <w:trPr>
          <w:tblHeader/>
        </w:trPr>
        <w:tc>
          <w:tcPr>
            <w:tcW w:type="dxa" w:w="42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8"/>
                <w:szCs w:val="18"/>
              </w:rPr>
              <w:t xml:space="preserve">#</w:t>
            </w:r>
          </w:p>
        </w:tc>
        <w:tc>
          <w:tcPr>
            <w:tcW w:type="dxa" w:w="548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8"/>
                <w:szCs w:val="18"/>
              </w:rPr>
              <w:t xml:space="preserve">文献</w:t>
            </w:r>
          </w:p>
        </w:tc>
        <w:tc>
          <w:tcPr>
            <w:tcW w:type="dxa" w:w="37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8"/>
                <w:szCs w:val="18"/>
              </w:rPr>
              <w:t xml:space="preserve">在本研究中的用途</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bCs/>
                <w:sz w:val="17"/>
                <w:szCs w:val="17"/>
              </w:rPr>
              <w:t xml:space="preserve">17</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bCs/>
                <w:sz w:val="17"/>
                <w:szCs w:val="17"/>
              </w:rPr>
              <w:t xml:space="preserve">Long-term efficacy and safety of dupilumab for moderate-to-severe atopic dermatitis: a prospective real-world cohort study in China. 2024. (重庆，n=124)</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bCs/>
                <w:color w:val="1F3864"/>
                <w:sz w:val="17"/>
                <w:szCs w:val="17"/>
              </w:rPr>
              <w:t xml:space="preserve">样本量论证的首要锚定数据：W16 EASI-75 = 42.74%。地域与本研究现场一致，参考价值最高</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18</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Real-world efficacy and safety of dupilumab in Chinese patients with atopic dermatitis: a single-centre, prospective, open-label study. 2022.</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中国成人真实世界数据；W16 EASI-75 约 64.5%</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19</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Real-World Assessment of Dupilumab in Chinese Atopic Dermatitis Patients: Efficacy, Safety, and Impact of Comorbidities. J Asthma Allergy 2025.</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共病对疗效的影响；支持将合并哮喘/鼻炎纳入调整变量</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20</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Effectiveness and safety of dupilumab in pediatric atopic dermatitis: a real-world study from China. 2025.</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中国儿童数据（W16 EASI-75 约 69%）；用于讨论人群异质性</w:t>
            </w:r>
          </w:p>
        </w:tc>
      </w:tr>
    </w:tbl>
    <w:p>
      <w:pPr>
        <w:pBdr>
          <w:left w:val="single" w:color="C00000" w:sz="12" w:space="8"/>
        </w:pBdr>
        <w:spacing w:after="120" w:before="60" w:line="280"/>
        <w:ind w:left="220"/>
        <w:jc w:val="both"/>
      </w:pPr>
      <w:r>
        <w:rPr>
          <w:rFonts w:ascii="Times New Roman" w:eastAsia="宋体"/>
          <w:color w:val="833C00"/>
          <w:sz w:val="19"/>
          <w:szCs w:val="19"/>
        </w:rPr>
        <w:t xml:space="preserve">中国真实世界 EASI-75 率的报告值跨度极大（42.7%–78.9%），这一异质性本身值得在引言中指出——它提示不同中心的患者构成、背景治疗与评估标准存在实质差异，从而进一步支持"需要可在不同层级机构通用的预测工具"这一命题。同时，它要求本研究的样本量论证必须以本地预试验实测值为准，不能直接套用文献值。</w:t>
      </w:r>
    </w:p>
    <w:p>
      <w:pPr>
        <w:pStyle w:val="Heading2"/>
        <w:spacing w:after="100" w:before="260"/>
      </w:pPr>
      <w:r>
        <w:rPr>
          <w:rFonts w:ascii="Times New Roman" w:eastAsia="黑体"/>
          <w:b/>
          <w:bCs/>
          <w:color w:val="1F3864"/>
          <w:sz w:val="25"/>
          <w:szCs w:val="25"/>
        </w:rPr>
        <w:t xml:space="preserve">5.6　药物持续性与竞争事件率</w:t>
      </w:r>
    </w:p>
    <w:tbl>
      <w:tblPr>
        <w:tblW w:type="dxa" w:w="9600"/>
        <w:tblBorders>
          <w:top w:val="single" w:color="8EA9DB" w:sz="4"/>
          <w:left w:val="single" w:color="8EA9DB" w:sz="4"/>
          <w:bottom w:val="single" w:color="8EA9DB" w:sz="4"/>
          <w:right w:val="single" w:color="8EA9DB" w:sz="4"/>
          <w:insideH w:val="single" w:color="B4C6E7" w:sz="2"/>
          <w:insideV w:val="single" w:color="B4C6E7" w:sz="2"/>
        </w:tblBorders>
        <w:tblLayout w:type="fixed"/>
      </w:tblPr>
      <w:tblGrid>
        <w:gridCol w:w="420"/>
        <w:gridCol w:w="5480"/>
        <w:gridCol w:w="3700"/>
      </w:tblGrid>
      <w:tr>
        <w:trPr>
          <w:tblHeader/>
        </w:trPr>
        <w:tc>
          <w:tcPr>
            <w:tcW w:type="dxa" w:w="42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8"/>
                <w:szCs w:val="18"/>
              </w:rPr>
              <w:t xml:space="preserve">#</w:t>
            </w:r>
          </w:p>
        </w:tc>
        <w:tc>
          <w:tcPr>
            <w:tcW w:type="dxa" w:w="548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8"/>
                <w:szCs w:val="18"/>
              </w:rPr>
              <w:t xml:space="preserve">文献</w:t>
            </w:r>
          </w:p>
        </w:tc>
        <w:tc>
          <w:tcPr>
            <w:tcW w:type="dxa" w:w="37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8"/>
                <w:szCs w:val="18"/>
              </w:rPr>
              <w:t xml:space="preserve">在本研究中的用途</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21</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Real-world persistence with dupilumab among adults with atopic dermatitis. Ann Allergy Asthma Immunol 2020.</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12 个月持续率 77.3%（95% CI 75.0–79.7）；证明窄定义的"停药"事件过于罕见</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22</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Long-term Persistence, Safety and Efficacy Profile of Dupilumab in Atopic Dermatitis: real-world retrospective multicenter study from Spain. 2025.</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停药 13.5%，其中无效 5.6%、不良事件 1.2%；本研究拓宽竞争事件定义的直接依据</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23</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Four-year long-term drug survival of dupilumab analyzed by treatment period. 2024.</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4 年药物生存 80.4%；支持"治疗策略失败"而非"停药"作为竞争事件</w:t>
            </w:r>
          </w:p>
        </w:tc>
      </w:tr>
    </w:tbl>
    <w:p>
      <w:pPr>
        <w:pStyle w:val="Heading2"/>
        <w:spacing w:after="100" w:before="260"/>
      </w:pPr>
      <w:r>
        <w:rPr>
          <w:rFonts w:ascii="Times New Roman" w:eastAsia="黑体"/>
          <w:b/>
          <w:bCs/>
          <w:color w:val="1F3864"/>
          <w:sz w:val="25"/>
          <w:szCs w:val="25"/>
        </w:rPr>
        <w:t xml:space="preserve">5.7　方法学规范</w:t>
      </w:r>
    </w:p>
    <w:tbl>
      <w:tblPr>
        <w:tblW w:type="dxa" w:w="9600"/>
        <w:tblBorders>
          <w:top w:val="single" w:color="8EA9DB" w:sz="4"/>
          <w:left w:val="single" w:color="8EA9DB" w:sz="4"/>
          <w:bottom w:val="single" w:color="8EA9DB" w:sz="4"/>
          <w:right w:val="single" w:color="8EA9DB" w:sz="4"/>
          <w:insideH w:val="single" w:color="B4C6E7" w:sz="2"/>
          <w:insideV w:val="single" w:color="B4C6E7" w:sz="2"/>
        </w:tblBorders>
        <w:tblLayout w:type="fixed"/>
      </w:tblPr>
      <w:tblGrid>
        <w:gridCol w:w="420"/>
        <w:gridCol w:w="5480"/>
        <w:gridCol w:w="3700"/>
      </w:tblGrid>
      <w:tr>
        <w:trPr>
          <w:tblHeader/>
        </w:trPr>
        <w:tc>
          <w:tcPr>
            <w:tcW w:type="dxa" w:w="42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8"/>
                <w:szCs w:val="18"/>
              </w:rPr>
              <w:t xml:space="preserve">#</w:t>
            </w:r>
          </w:p>
        </w:tc>
        <w:tc>
          <w:tcPr>
            <w:tcW w:type="dxa" w:w="548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8"/>
                <w:szCs w:val="18"/>
              </w:rPr>
              <w:t xml:space="preserve">文献</w:t>
            </w:r>
          </w:p>
        </w:tc>
        <w:tc>
          <w:tcPr>
            <w:tcW w:type="dxa" w:w="37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8"/>
                <w:szCs w:val="18"/>
              </w:rPr>
              <w:t xml:space="preserve">在本研究中的用途</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bCs/>
                <w:sz w:val="17"/>
                <w:szCs w:val="17"/>
              </w:rPr>
              <w:t xml:space="preserve">24</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bCs/>
                <w:sz w:val="17"/>
                <w:szCs w:val="17"/>
              </w:rPr>
              <w:t xml:space="preserve">Collins GS, et al. TRIPOD+AI statement: updated guidance for reporting clinical prediction models. BMJ 2024;385:e078378.</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bCs/>
                <w:sz w:val="17"/>
                <w:szCs w:val="17"/>
              </w:rPr>
              <w:t xml:space="preserve">报告规范；投稿必附清单</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25</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Riley RD, et al. Minimum sample size for developing a multivariable prediction model: PART II — binary and time-to-event outcomes. Stat Med 2019;38:1276-96.</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样本量论证的主要依据</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26</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Riley RD, et al. Calculating the sample size required for developing a clinical prediction model. BMJ 2020;368:m441.</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pmsampsize 的操作性说明</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27</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Riley RD, et al. Minimum sample size for external validation of a clinical prediction model with a binary outcome. Stat Med 2021;40:4230-51.</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外部验证队列的最小规模论证</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28</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Pate A, et al. Minimum sample size for developing a multivariable prediction model using multinomial logistic regression. Diagn Progn Res 2023.</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多分类模型样本量；论证竞争事件例数是真正的约束</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29</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Van Calster B, et al. Calibration: the Achilles heel of predictive analytics. BMC Med 2019;17:230.</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校准列为共同主要指标的依据</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30</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Vickers AJ, Elkin EB. Decision curve analysis: a novel method for evaluating prediction models. Med Decis Making 2006;26:565-74.</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净获益分析</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31</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Royston P, Altman DG, Sauerbrei W. Dichotomizing continuous predictors in multiple regression: a bad idea. Stat Med 2006;25:127-41.</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年龄等连续变量不作二分类的依据</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32</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Christodoulou E, et al. A systematic review shows no performance benefit of machine learning over logistic regression. J Clin Epidemiol 2019;110:12-22.</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惩罚线性模型作为主模型的正当性</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33</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Harrell FE. Regression Modeling Strategies. 2nd ed. Springer, 2015.</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两阶段估计的自由度记账；样条建模</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34</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Steyerberg EW. Clinical Prediction Models. 2nd ed. Springer, 2019.</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总体方法学框架</w:t>
            </w:r>
          </w:p>
        </w:tc>
      </w:tr>
    </w:tbl>
    <w:p>
      <w:pPr>
        <w:pStyle w:val="Heading2"/>
        <w:spacing w:after="100" w:before="260"/>
      </w:pPr>
      <w:r>
        <w:rPr>
          <w:rFonts w:ascii="Times New Roman" w:eastAsia="黑体"/>
          <w:b/>
          <w:bCs/>
          <w:color w:val="1F3864"/>
          <w:sz w:val="25"/>
          <w:szCs w:val="25"/>
        </w:rPr>
        <w:t xml:space="preserve">5.8　统计方法</w:t>
      </w:r>
    </w:p>
    <w:tbl>
      <w:tblPr>
        <w:tblW w:type="dxa" w:w="9600"/>
        <w:tblBorders>
          <w:top w:val="single" w:color="8EA9DB" w:sz="4"/>
          <w:left w:val="single" w:color="8EA9DB" w:sz="4"/>
          <w:bottom w:val="single" w:color="8EA9DB" w:sz="4"/>
          <w:right w:val="single" w:color="8EA9DB" w:sz="4"/>
          <w:insideH w:val="single" w:color="B4C6E7" w:sz="2"/>
          <w:insideV w:val="single" w:color="B4C6E7" w:sz="2"/>
        </w:tblBorders>
        <w:tblLayout w:type="fixed"/>
      </w:tblPr>
      <w:tblGrid>
        <w:gridCol w:w="420"/>
        <w:gridCol w:w="5480"/>
        <w:gridCol w:w="3700"/>
      </w:tblGrid>
      <w:tr>
        <w:trPr>
          <w:tblHeader/>
        </w:trPr>
        <w:tc>
          <w:tcPr>
            <w:tcW w:type="dxa" w:w="42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8"/>
                <w:szCs w:val="18"/>
              </w:rPr>
              <w:t xml:space="preserve">#</w:t>
            </w:r>
          </w:p>
        </w:tc>
        <w:tc>
          <w:tcPr>
            <w:tcW w:type="dxa" w:w="548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8"/>
                <w:szCs w:val="18"/>
              </w:rPr>
              <w:t xml:space="preserve">文献</w:t>
            </w:r>
          </w:p>
        </w:tc>
        <w:tc>
          <w:tcPr>
            <w:tcW w:type="dxa" w:w="37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8"/>
                <w:szCs w:val="18"/>
              </w:rPr>
              <w:t xml:space="preserve">在本研究中的用途</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35</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Austin PC, Lee DS, Fine JP. Introduction to the analysis of survival data in the presence of competing risks. Circulation 2016;133:601-9.</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竞争风险的概念框架</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36</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Putter H, Fiocco M, Geskus RB. Tutorial in biostatistics: competing risks and multi-state models. Stat Med 2007;26:2389-430.</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离散时间竞争风险的实现</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37</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van Houwelingen HC. Dynamic prediction by landmarking in event history analysis. Scand J Stat 2007;34:70-85.</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Landmark 分析的方法学来源</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38</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Romano Y, Sesia M, Candès E. Classification with valid and adaptive coverage (APS). NeurIPS 2020.</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Conformal 分类的具体算法</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39</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Angelopoulos AN, Bates S. A gentle introduction to conformal prediction and distribution-free uncertainty quantification. 2021.</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入门与实现参考</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40</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Barber RF, Candès E, Ramdas A, Tibshirani RJ. Predictive inference with the jackknife+. Ann Stat 2021;49:486-507.</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CV+ 的适用范围；说明回归型 conformal 不适用于分类结局</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41</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Uncertainty of risk estimates from clinical prediction models: rationale, challenges, and approaches. 2025.</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区分 conformal 覆盖率与预测概率不确定性的理论依据</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42</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Reliable machine learning models in genomic medicine using conformal prediction. 2024/2025.</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Conformal 在医学预测中的应用范例与报告方式</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43</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White IR, Royston P, Wood AM. Multiple imputation using chained equations: issues and guidance for practice. Stat Med 2011;30:377-99.</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插补模型必须包含结局变量的依据</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44</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Robins JM, Finkelstein DM. Correcting for noncompliance and dependent censoring using IPCW. Biometrics 2000;56:779-88.</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删失加权</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45</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Wainer H. Estimating coefficients in linear models: it don't make no nevermind. Psychol Bull 1976;83:213-7.</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等权重评分在小样本下不劣于数据驱动权重的经典依据</w:t>
            </w:r>
          </w:p>
        </w:tc>
      </w:tr>
      <w:tr>
        <w:tc>
          <w:tcPr>
            <w:tcW w:type="dxa" w:w="42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46</w:t>
            </w:r>
          </w:p>
        </w:tc>
        <w:tc>
          <w:tcPr>
            <w:tcW w:type="dxa" w:w="548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van Houwelingen HC, le Cessie S. Predictive value of statistical models. Stat Med 1990;9:1303-25.</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7"/>
                <w:szCs w:val="17"/>
              </w:rPr>
              <w:t xml:space="preserve">收缩与乐观性校正的理论基础</w:t>
            </w:r>
          </w:p>
        </w:tc>
      </w:tr>
    </w:tbl>
    <w:p>
      <w:r>
        <w:br w:type="page"/>
      </w:r>
    </w:p>
    <w:p>
      <w:pPr>
        <w:pStyle w:val="Heading1"/>
        <w:spacing w:after="100" w:before="400"/>
      </w:pPr>
      <w:r>
        <w:rPr>
          <w:rFonts w:ascii="Times New Roman" w:eastAsia="黑体"/>
          <w:b/>
          <w:bCs/>
          <w:color w:val="1F3864"/>
          <w:sz w:val="30"/>
          <w:szCs w:val="30"/>
        </w:rPr>
        <w:t xml:space="preserve">第六部分　差异化定位与预期产出</w:t>
      </w:r>
    </w:p>
    <w:p>
      <w:pPr>
        <w:pStyle w:val="Heading2"/>
        <w:spacing w:after="100" w:before="260"/>
      </w:pPr>
      <w:r>
        <w:rPr>
          <w:rFonts w:ascii="Times New Roman" w:eastAsia="黑体"/>
          <w:b/>
          <w:bCs/>
          <w:color w:val="1F3864"/>
          <w:sz w:val="25"/>
          <w:szCs w:val="25"/>
        </w:rPr>
        <w:t xml:space="preserve">6.1　与最接近的在先工作的逐点差异</w:t>
      </w:r>
    </w:p>
    <w:p>
      <w:pPr>
        <w:spacing w:after="60" w:before="60" w:line="300"/>
        <w:jc w:val="both"/>
      </w:pPr>
      <w:r>
        <w:rPr>
          <w:rFonts w:ascii="Times New Roman" w:eastAsia="宋体"/>
          <w:sz w:val="21"/>
          <w:szCs w:val="21"/>
        </w:rPr>
        <w:t xml:space="preserve">审稿人最可能提出的质疑是"这与 J Clin Med 2023 那篇血细胞指数研究有什么区别"。以下逐点回答。</w:t>
      </w:r>
    </w:p>
    <w:p>
      <w:pPr>
        <w:spacing w:after="60" w:before="160"/>
      </w:pPr>
      <w:r>
        <w:rPr>
          <w:rFonts w:ascii="Times New Roman" w:eastAsia="黑体"/>
          <w:b/>
          <w:bCs/>
          <w:color w:val="1F3864"/>
          <w:sz w:val="19"/>
          <w:szCs w:val="19"/>
        </w:rPr>
        <w:t xml:space="preserve">表 6-1　与最接近在先工作的对比</w:t>
      </w:r>
    </w:p>
    <w:tbl>
      <w:tblPr>
        <w:tblW w:type="dxa" w:w="9600"/>
        <w:tblBorders>
          <w:top w:val="single" w:color="8EA9DB" w:sz="4"/>
          <w:left w:val="single" w:color="8EA9DB" w:sz="4"/>
          <w:bottom w:val="single" w:color="8EA9DB" w:sz="4"/>
          <w:right w:val="single" w:color="8EA9DB" w:sz="4"/>
          <w:insideH w:val="single" w:color="B4C6E7" w:sz="2"/>
          <w:insideV w:val="single" w:color="B4C6E7" w:sz="2"/>
        </w:tblBorders>
        <w:tblLayout w:type="fixed"/>
      </w:tblPr>
      <w:tblGrid>
        <w:gridCol w:w="2000"/>
        <w:gridCol w:w="3700"/>
        <w:gridCol w:w="3900"/>
      </w:tblGrid>
      <w:tr>
        <w:trPr>
          <w:tblHeader/>
        </w:trPr>
        <w:tc>
          <w:tcPr>
            <w:tcW w:type="dxa" w:w="20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维度</w:t>
            </w:r>
          </w:p>
        </w:tc>
        <w:tc>
          <w:tcPr>
            <w:tcW w:type="dxa" w:w="37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J Clin Med 2023（n=66）</w:t>
            </w:r>
          </w:p>
        </w:tc>
        <w:tc>
          <w:tcPr>
            <w:tcW w:type="dxa" w:w="39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本研究</w:t>
            </w:r>
          </w:p>
        </w:tc>
      </w:tr>
      <w:tr>
        <w:tc>
          <w:tcPr>
            <w:tcW w:type="dxa" w:w="20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设计</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回顾性、单中心</w:t>
            </w:r>
          </w:p>
        </w:tc>
        <w:tc>
          <w:tcPr>
            <w:tcW w:type="dxa" w:w="39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前瞻性、多中心</w:t>
            </w:r>
          </w:p>
        </w:tc>
      </w:tr>
      <w:tr>
        <w:tc>
          <w:tcPr>
            <w:tcW w:type="dxa" w:w="20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样本量</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66 例，未作样本量论证</w:t>
            </w:r>
          </w:p>
        </w:tc>
        <w:tc>
          <w:tcPr>
            <w:tcW w:type="dxa" w:w="39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420 例，按 Riley 准则论证</w:t>
            </w:r>
          </w:p>
        </w:tc>
      </w:tr>
      <w:tr>
        <w:tc>
          <w:tcPr>
            <w:tcW w:type="dxa" w:w="20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终点</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EASI-50</w:t>
            </w:r>
          </w:p>
        </w:tc>
        <w:tc>
          <w:tcPr>
            <w:tcW w:type="dxa" w:w="39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EASI-75（与注册试验及指南一致）</w:t>
            </w:r>
          </w:p>
        </w:tc>
      </w:tr>
      <w:tr>
        <w:tc>
          <w:tcPr>
            <w:tcW w:type="dxa" w:w="20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结局结构</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二分类（应答 vs 非应答）</w:t>
            </w:r>
          </w:p>
        </w:tc>
        <w:tc>
          <w:tcPr>
            <w:tcW w:type="dxa" w:w="39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三分类竞争风险（达标 / 策略失败 / 在治未达标）+ 删失</w:t>
            </w:r>
          </w:p>
        </w:tc>
      </w:tr>
      <w:tr>
        <w:tc>
          <w:tcPr>
            <w:tcW w:type="dxa" w:w="20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基准比较</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无</w:t>
            </w:r>
          </w:p>
        </w:tc>
        <w:tc>
          <w:tcPr>
            <w:tcW w:type="dxa" w:w="39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预先指定的基础临床模型 M0</w:t>
            </w:r>
          </w:p>
        </w:tc>
      </w:tr>
      <w:tr>
        <w:tc>
          <w:tcPr>
            <w:tcW w:type="dxa" w:w="20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校准</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未报告</w:t>
            </w:r>
          </w:p>
        </w:tc>
        <w:tc>
          <w:tcPr>
            <w:tcW w:type="dxa" w:w="39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校准斜率与截距列为共同主要指标</w:t>
            </w:r>
          </w:p>
        </w:tc>
      </w:tr>
      <w:tr>
        <w:tc>
          <w:tcPr>
            <w:tcW w:type="dxa" w:w="20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临床有用性</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未报告</w:t>
            </w:r>
          </w:p>
        </w:tc>
        <w:tc>
          <w:tcPr>
            <w:tcW w:type="dxa" w:w="39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决策曲线净获益，阈值经医生引出确定</w:t>
            </w:r>
          </w:p>
        </w:tc>
      </w:tr>
      <w:tr>
        <w:tc>
          <w:tcPr>
            <w:tcW w:type="dxa" w:w="20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不确定性</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仅点估计</w:t>
            </w:r>
          </w:p>
        </w:tc>
        <w:tc>
          <w:tcPr>
            <w:tcW w:type="dxa" w:w="39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Conformal 预测集 + bootstrap 区间；含弃权机制</w:t>
            </w:r>
          </w:p>
        </w:tc>
      </w:tr>
      <w:tr>
        <w:tc>
          <w:tcPr>
            <w:tcW w:type="dxa" w:w="20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动态信息</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仅基线指数预测 W4 应答</w:t>
            </w:r>
          </w:p>
        </w:tc>
        <w:tc>
          <w:tcPr>
            <w:tcW w:type="dxa" w:w="39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W4 Landmark 条件模型，量化增量价值</w:t>
            </w:r>
          </w:p>
        </w:tc>
      </w:tr>
      <w:tr>
        <w:tc>
          <w:tcPr>
            <w:tcW w:type="dxa" w:w="20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报告规范</w:t>
            </w:r>
          </w:p>
        </w:tc>
        <w:tc>
          <w:tcPr>
            <w:tcW w:type="dxa" w:w="37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常规</w:t>
            </w:r>
          </w:p>
        </w:tc>
        <w:tc>
          <w:tcPr>
            <w:tcW w:type="dxa" w:w="39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TRIPOD+AI 全项；前瞻注册；SAP 锁定；代码公开</w:t>
            </w:r>
          </w:p>
        </w:tc>
      </w:tr>
    </w:tbl>
    <w:p>
      <w:pPr>
        <w:pStyle w:val="Heading2"/>
        <w:spacing w:after="100" w:before="260"/>
      </w:pPr>
      <w:r>
        <w:rPr>
          <w:rFonts w:ascii="Times New Roman" w:eastAsia="黑体"/>
          <w:b/>
          <w:bCs/>
          <w:color w:val="1F3864"/>
          <w:sz w:val="25"/>
          <w:szCs w:val="25"/>
        </w:rPr>
        <w:t xml:space="preserve">6.2　预期产出</w:t>
      </w:r>
    </w:p>
    <w:p>
      <w:pPr>
        <w:pStyle w:val="ListParagraph"/>
        <w:numPr>
          <w:ilvl w:val="0"/>
          <w:numId w:val="2"/>
        </w:numPr>
        <w:spacing w:after="40" w:before="40" w:line="290"/>
        <w:jc w:val="both"/>
      </w:pPr>
      <w:r>
        <w:rPr>
          <w:rFonts w:ascii="Times New Roman" w:eastAsia="宋体"/>
          <w:sz w:val="21"/>
          <w:szCs w:val="21"/>
        </w:rPr>
        <w:t xml:space="preserve">主论文一篇：三个假说的检验结果，含完整的 TRIPOD+AI 报告；</w:t>
      </w:r>
    </w:p>
    <w:p>
      <w:pPr>
        <w:pStyle w:val="ListParagraph"/>
        <w:numPr>
          <w:ilvl w:val="0"/>
          <w:numId w:val="2"/>
        </w:numPr>
        <w:spacing w:after="40" w:before="40" w:line="290"/>
        <w:jc w:val="both"/>
      </w:pPr>
      <w:r>
        <w:rPr>
          <w:rFonts w:ascii="Times New Roman" w:eastAsia="宋体"/>
          <w:sz w:val="21"/>
          <w:szCs w:val="21"/>
        </w:rPr>
        <w:t xml:space="preserve">临床工具：基线与第 4 周两张列线图，附预计算的 conformal 预测集查表；</w:t>
      </w:r>
    </w:p>
    <w:p>
      <w:pPr>
        <w:pStyle w:val="ListParagraph"/>
        <w:numPr>
          <w:ilvl w:val="0"/>
          <w:numId w:val="2"/>
        </w:numPr>
        <w:spacing w:after="40" w:before="40" w:line="290"/>
        <w:jc w:val="both"/>
      </w:pPr>
      <w:r>
        <w:rPr>
          <w:rFonts w:ascii="Times New Roman" w:eastAsia="宋体"/>
          <w:sz w:val="21"/>
          <w:szCs w:val="21"/>
        </w:rPr>
        <w:t xml:space="preserve">可复现材料：分析代码、环境锁定文件、最终模型系数表、模型说明卡；</w:t>
      </w:r>
    </w:p>
    <w:p>
      <w:pPr>
        <w:pStyle w:val="ListParagraph"/>
        <w:numPr>
          <w:ilvl w:val="0"/>
          <w:numId w:val="2"/>
        </w:numPr>
        <w:spacing w:after="40" w:before="40" w:line="290"/>
        <w:jc w:val="both"/>
      </w:pPr>
      <w:r>
        <w:rPr>
          <w:rFonts w:ascii="Times New Roman" w:eastAsia="宋体"/>
          <w:sz w:val="21"/>
          <w:szCs w:val="21"/>
        </w:rPr>
        <w:t xml:space="preserve">阴性结果亦可发表：若 G3 关卡不通过，"常规血液标志物不提供超越基础临床变量的增量价值"这一结论，在已有 TARC 阴性证据的背景下同样具有领域价值。</w:t>
      </w:r>
    </w:p>
    <w:p>
      <w:pPr>
        <w:pStyle w:val="Heading2"/>
        <w:spacing w:after="100" w:before="260"/>
      </w:pPr>
      <w:r>
        <w:rPr>
          <w:rFonts w:ascii="Times New Roman" w:eastAsia="黑体"/>
          <w:b/>
          <w:bCs/>
          <w:color w:val="1F3864"/>
          <w:sz w:val="25"/>
          <w:szCs w:val="25"/>
        </w:rPr>
        <w:t xml:space="preserve">6.3　论文结构规划</w:t>
      </w:r>
    </w:p>
    <w:p>
      <w:pPr>
        <w:spacing w:after="60" w:before="160"/>
      </w:pPr>
      <w:r>
        <w:rPr>
          <w:rFonts w:ascii="Times New Roman" w:eastAsia="黑体"/>
          <w:b/>
          <w:bCs/>
          <w:color w:val="1F3864"/>
          <w:sz w:val="19"/>
          <w:szCs w:val="19"/>
        </w:rPr>
        <w:t xml:space="preserve">表 6-2　论文章节与字数分配</w:t>
      </w:r>
    </w:p>
    <w:tbl>
      <w:tblPr>
        <w:tblW w:type="dxa" w:w="9600"/>
        <w:tblBorders>
          <w:top w:val="single" w:color="8EA9DB" w:sz="4"/>
          <w:left w:val="single" w:color="8EA9DB" w:sz="4"/>
          <w:bottom w:val="single" w:color="8EA9DB" w:sz="4"/>
          <w:right w:val="single" w:color="8EA9DB" w:sz="4"/>
          <w:insideH w:val="single" w:color="B4C6E7" w:sz="2"/>
          <w:insideV w:val="single" w:color="B4C6E7" w:sz="2"/>
        </w:tblBorders>
        <w:tblLayout w:type="fixed"/>
      </w:tblPr>
      <w:tblGrid>
        <w:gridCol w:w="2000"/>
        <w:gridCol w:w="1300"/>
        <w:gridCol w:w="3200"/>
        <w:gridCol w:w="3100"/>
      </w:tblGrid>
      <w:tr>
        <w:trPr>
          <w:tblHeader/>
        </w:trPr>
        <w:tc>
          <w:tcPr>
            <w:tcW w:type="dxa" w:w="20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章节</w:t>
            </w:r>
          </w:p>
        </w:tc>
        <w:tc>
          <w:tcPr>
            <w:tcW w:type="dxa" w:w="13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目标字数</w:t>
            </w:r>
          </w:p>
        </w:tc>
        <w:tc>
          <w:tcPr>
            <w:tcW w:type="dxa" w:w="32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核心任务</w:t>
            </w:r>
          </w:p>
        </w:tc>
        <w:tc>
          <w:tcPr>
            <w:tcW w:type="dxa" w:w="3100"/>
            <w:shd w:fill="D9E2F3" w:color="auto" w:val="clear"/>
            <w:tcMar>
              <w:top w:type="dxa" w:w="60"/>
              <w:left w:type="dxa" w:w="90"/>
              <w:bottom w:type="dxa" w:w="60"/>
              <w:right w:type="dxa" w:w="90"/>
            </w:tcMar>
            <w:vAlign w:val="center"/>
          </w:tcPr>
          <w:p>
            <w:pPr>
              <w:spacing w:after="20" w:before="20" w:line="260"/>
              <w:jc w:val="center"/>
            </w:pPr>
            <w:r>
              <w:rPr>
                <w:rFonts w:ascii="Times New Roman" w:eastAsia="黑体"/>
                <w:b/>
                <w:bCs/>
                <w:sz w:val="19"/>
                <w:szCs w:val="19"/>
              </w:rPr>
              <w:t xml:space="preserve">关键图表</w:t>
            </w:r>
          </w:p>
        </w:tc>
      </w:tr>
      <w:tr>
        <w:tc>
          <w:tcPr>
            <w:tcW w:type="dxa" w:w="20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Abstract</w:t>
            </w:r>
          </w:p>
        </w:tc>
        <w:tc>
          <w:tcPr>
            <w:tcW w:type="dxa" w:w="13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300 词</w:t>
            </w:r>
          </w:p>
        </w:tc>
        <w:tc>
          <w:tcPr>
            <w:tcW w:type="dxa" w:w="32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三假说 + 三项贡献</w:t>
            </w:r>
          </w:p>
        </w:tc>
        <w:tc>
          <w:tcPr>
            <w:tcW w:type="dxa" w:w="31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w:t>
            </w:r>
          </w:p>
        </w:tc>
      </w:tr>
      <w:tr>
        <w:tc>
          <w:tcPr>
            <w:tcW w:type="dxa" w:w="20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Introduction</w:t>
            </w:r>
          </w:p>
        </w:tc>
        <w:tc>
          <w:tcPr>
            <w:tcW w:type="dxa" w:w="13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600 词</w:t>
            </w:r>
          </w:p>
        </w:tc>
        <w:tc>
          <w:tcPr>
            <w:tcW w:type="dxa" w:w="32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从已被证伪的路径出发，映射三个知识空白到三个假说</w:t>
            </w:r>
          </w:p>
        </w:tc>
        <w:tc>
          <w:tcPr>
            <w:tcW w:type="dxa" w:w="31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w:t>
            </w:r>
          </w:p>
        </w:tc>
      </w:tr>
      <w:tr>
        <w:tc>
          <w:tcPr>
            <w:tcW w:type="dxa" w:w="20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Methods：设计与队列</w:t>
            </w:r>
          </w:p>
        </w:tc>
        <w:tc>
          <w:tcPr>
            <w:tcW w:type="dxa" w:w="13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500 词</w:t>
            </w:r>
          </w:p>
        </w:tc>
        <w:tc>
          <w:tcPr>
            <w:tcW w:type="dxa" w:w="32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多中心队列、三节点、样本量论证、注册与规范</w:t>
            </w:r>
          </w:p>
        </w:tc>
        <w:tc>
          <w:tcPr>
            <w:tcW w:type="dxa" w:w="31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Figure 1A 研究流程</w:t>
            </w:r>
          </w:p>
        </w:tc>
      </w:tr>
      <w:tr>
        <w:tc>
          <w:tcPr>
            <w:tcW w:type="dxa" w:w="20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Methods：变量与指数</w:t>
            </w:r>
          </w:p>
        </w:tc>
        <w:tc>
          <w:tcPr>
            <w:tcW w:type="dxa" w:w="13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600 词</w:t>
            </w:r>
          </w:p>
        </w:tc>
        <w:tc>
          <w:tcPr>
            <w:tcW w:type="dxa" w:w="32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复合指数定义、变换规范、结局三分类与删失</w:t>
            </w:r>
          </w:p>
        </w:tc>
        <w:tc>
          <w:tcPr>
            <w:tcW w:type="dxa" w:w="31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Figure 1B 指数逻辑</w:t>
            </w:r>
          </w:p>
        </w:tc>
      </w:tr>
      <w:tr>
        <w:tc>
          <w:tcPr>
            <w:tcW w:type="dxa" w:w="20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Methods：统计</w:t>
            </w:r>
          </w:p>
        </w:tc>
        <w:tc>
          <w:tcPr>
            <w:tcW w:type="dxa" w:w="13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800 词</w:t>
            </w:r>
          </w:p>
        </w:tc>
        <w:tc>
          <w:tcPr>
            <w:tcW w:type="dxa" w:w="32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模型层级、防泄漏规范、离散竞争风险、Landmark、conformal</w:t>
            </w:r>
          </w:p>
        </w:tc>
        <w:tc>
          <w:tcPr>
            <w:tcW w:type="dxa" w:w="31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w:t>
            </w:r>
          </w:p>
        </w:tc>
      </w:tr>
      <w:tr>
        <w:tc>
          <w:tcPr>
            <w:tcW w:type="dxa" w:w="20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Results：基线特征</w:t>
            </w:r>
          </w:p>
        </w:tc>
        <w:tc>
          <w:tcPr>
            <w:tcW w:type="dxa" w:w="13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350 词</w:t>
            </w:r>
          </w:p>
        </w:tc>
        <w:tc>
          <w:tcPr>
            <w:tcW w:type="dxa" w:w="32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队列代表性、中心间差异、随访完成率</w:t>
            </w:r>
          </w:p>
        </w:tc>
        <w:tc>
          <w:tcPr>
            <w:tcW w:type="dxa" w:w="31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Table 1 基线表</w:t>
            </w:r>
          </w:p>
        </w:tc>
      </w:tr>
      <w:tr>
        <w:tc>
          <w:tcPr>
            <w:tcW w:type="dxa" w:w="20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Results：模型性能</w:t>
            </w:r>
          </w:p>
        </w:tc>
        <w:tc>
          <w:tcPr>
            <w:tcW w:type="dxa" w:w="13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600 词</w:t>
            </w:r>
          </w:p>
        </w:tc>
        <w:tc>
          <w:tcPr>
            <w:tcW w:type="dxa" w:w="32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M0/M1/M2 对比、主模型性能、校准、净获益</w:t>
            </w:r>
          </w:p>
        </w:tc>
        <w:tc>
          <w:tcPr>
            <w:tcW w:type="dxa" w:w="31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Figure 2 校准+DCA</w:t>
            </w:r>
          </w:p>
        </w:tc>
      </w:tr>
      <w:tr>
        <w:tc>
          <w:tcPr>
            <w:tcW w:type="dxa" w:w="20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Results：动态与竞争风险</w:t>
            </w:r>
          </w:p>
        </w:tc>
        <w:tc>
          <w:tcPr>
            <w:tcW w:type="dxa" w:w="13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600 词</w:t>
            </w:r>
          </w:p>
        </w:tc>
        <w:tc>
          <w:tcPr>
            <w:tcW w:type="dxa" w:w="32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Landmark 增量价值、两条失败路径的预测因子对比</w:t>
            </w:r>
          </w:p>
        </w:tc>
        <w:tc>
          <w:tcPr>
            <w:tcW w:type="dxa" w:w="31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Figure 3 竞争风险</w:t>
            </w:r>
          </w:p>
        </w:tc>
      </w:tr>
      <w:tr>
        <w:tc>
          <w:tcPr>
            <w:tcW w:type="dxa" w:w="20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Results：临床工具</w:t>
            </w:r>
          </w:p>
        </w:tc>
        <w:tc>
          <w:tcPr>
            <w:tcW w:type="dxa" w:w="13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350 词</w:t>
            </w:r>
          </w:p>
        </w:tc>
        <w:tc>
          <w:tcPr>
            <w:tcW w:type="dxa" w:w="32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列线图、预测集分级、三例患者演示</w:t>
            </w:r>
          </w:p>
        </w:tc>
        <w:tc>
          <w:tcPr>
            <w:tcW w:type="dxa" w:w="31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Figure 4 Nomogram</w:t>
            </w:r>
          </w:p>
        </w:tc>
      </w:tr>
      <w:tr>
        <w:tc>
          <w:tcPr>
            <w:tcW w:type="dxa" w:w="20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Discussion</w:t>
            </w:r>
          </w:p>
        </w:tc>
        <w:tc>
          <w:tcPr>
            <w:tcW w:type="dxa" w:w="13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1300 词</w:t>
            </w:r>
          </w:p>
        </w:tc>
        <w:tc>
          <w:tcPr>
            <w:tcW w:type="dxa" w:w="32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四段：临床场景翻译 / 与在先工作对比 / 公共卫生含义 / 局限与路线图</w:t>
            </w:r>
          </w:p>
        </w:tc>
        <w:tc>
          <w:tcPr>
            <w:tcW w:type="dxa" w:w="31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Table 对比表</w:t>
            </w:r>
          </w:p>
        </w:tc>
      </w:tr>
      <w:tr>
        <w:tc>
          <w:tcPr>
            <w:tcW w:type="dxa" w:w="20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Conclusion</w:t>
            </w:r>
          </w:p>
        </w:tc>
        <w:tc>
          <w:tcPr>
            <w:tcW w:type="dxa" w:w="13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100 词</w:t>
            </w:r>
          </w:p>
        </w:tc>
        <w:tc>
          <w:tcPr>
            <w:tcW w:type="dxa" w:w="32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三项贡献一段话</w:t>
            </w:r>
          </w:p>
        </w:tc>
        <w:tc>
          <w:tcPr>
            <w:tcW w:type="dxa" w:w="3100"/>
            <w:tcMar>
              <w:top w:type="dxa" w:w="60"/>
              <w:left w:type="dxa" w:w="90"/>
              <w:bottom w:type="dxa" w:w="60"/>
              <w:right w:type="dxa" w:w="90"/>
            </w:tcMar>
            <w:vAlign w:val="center"/>
          </w:tcPr>
          <w:p>
            <w:pPr>
              <w:spacing w:after="20" w:before="20" w:line="260"/>
              <w:jc w:val="left"/>
            </w:pPr>
            <w:r>
              <w:rPr>
                <w:rFonts w:ascii="Times New Roman" w:eastAsia="宋体"/>
                <w:b w:val="false"/>
                <w:bCs w:val="false"/>
                <w:sz w:val="19"/>
                <w:szCs w:val="19"/>
              </w:rPr>
              <w:t xml:space="preserve">—</w:t>
            </w:r>
          </w:p>
        </w:tc>
      </w:tr>
    </w:tbl>
    <w:p>
      <w:pPr>
        <w:spacing w:after="0" w:before="0"/>
      </w:pPr>
    </w:p>
    <w:p>
      <w:pPr>
        <w:pBdr>
          <w:top w:val="single" w:color="8EA9DB" w:sz="6" w:space="10"/>
        </w:pBdr>
        <w:spacing w:before="400"/>
      </w:pPr>
    </w:p>
    <w:p>
      <w:pPr>
        <w:spacing w:after="60" w:before="60" w:line="300"/>
        <w:jc w:val="both"/>
      </w:pPr>
      <w:r>
        <w:rPr>
          <w:rFonts w:ascii="Times New Roman" w:eastAsia="宋体"/>
          <w:i/>
          <w:iCs/>
          <w:color w:val="595959"/>
          <w:sz w:val="18"/>
          <w:szCs w:val="18"/>
        </w:rPr>
        <w:t xml:space="preserve">本大纲为 v2 版本，已纳入对 v1 方案的方法学评审意见。所有标注为红色的内容为相对 v1 的实质性修订或新增，其详细论证见配套的《架构评审与修订建议》文档。</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sz w:val="16"/>
        <w:szCs w:val="16"/>
      </w:rPr>
    </w:lvl>
    <w:lvl w:ilvl="1" w15:tentative="1">
      <w:start w:val="1"/>
      <w:numFmt w:val="bullet"/>
      <w:lvlText w:val="○"/>
      <w:lvlJc w:val="left"/>
      <w:pPr>
        <w:ind w:left="780" w:hanging="240"/>
      </w:pPr>
      <w:rPr>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eastAsia="黑体"/>
      <w:b/>
      <w:bCs/>
      <w:color w:val="1F3864"/>
      <w:sz w:val="30"/>
      <w:szCs w:val="30"/>
    </w:rPr>
  </w:style>
  <w:style w:type="paragraph" w:styleId="Heading2">
    <w:name w:val="Heading 2"/>
    <w:basedOn w:val="Normal"/>
    <w:next w:val="Normal"/>
    <w:qFormat/>
    <w:rPr>
      <w:rFonts w:ascii="Times New Roman" w:eastAsia="黑体"/>
      <w:b/>
      <w:bCs/>
      <w:color w:val="1F3864"/>
      <w:sz w:val="25"/>
      <w:szCs w:val="25"/>
    </w:rPr>
  </w:style>
  <w:style w:type="paragraph" w:styleId="Heading3">
    <w:name w:val="Heading 3"/>
    <w:basedOn w:val="Normal"/>
    <w:next w:val="Normal"/>
    <w:qFormat/>
    <w:rPr>
      <w:rFonts w:ascii="Times New Roman" w:eastAsia="黑体"/>
      <w:b/>
      <w:bCs/>
      <w:color w:val="2E5C8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2026-07-31T15:06:01.340Z</dcterms:created>
  <dcterms:modified xsi:type="dcterms:W3CDTF">2026-07-31T15:06:01.340Z</dcterms:modified>
</cp:coreProperties>
</file>

<file path=docProps/custom.xml><?xml version="1.0" encoding="utf-8"?>
<Properties xmlns="http://schemas.openxmlformats.org/officeDocument/2006/custom-properties" xmlns:vt="http://schemas.openxmlformats.org/officeDocument/2006/docPropsVTypes"/>
</file>