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 w:line="506" w:lineRule="atLeast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基于眼底图像的视网膜血管分割与血管形态特征分析实验报告</w:t>
      </w:r>
    </w:p>
    <w:p>
      <w:pPr>
        <w:pBdr>
          <w:bottom w:val="single" w:color="888888" w:sz="4" w:space="10"/>
        </w:pBdr>
        <w:spacing w:after="32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课程实践 · 数据集 FIVES · 2026 年 9 月</w:t>
      </w:r>
    </w:p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一、数据集说明与预处理方法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1.1 数据集介绍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FIVES（Jin 等，2022）是专为视网膜血管分割发布的大规模公开数据集，包含 800 张 2048×2048 的彩色眼底照片，每张都配有一名眼底影像专家逐像素标注的血管金标准。800 张图按官方划分：600 张训练、200 张测试，来自健康与多种眼底病变受试者，图像在亮度、对比度、病灶干扰上的多样性明显超过传统 40 张规模的小数据集（如 DRIVE），训练出的模型泛化性更有说服力。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血管分割的下游价值在于形态定量：血管密度、直径分布、总长度、迂曲度、分形维数等指标与高血压、糖尿病视网膜病变等疾病相关，而细小血管末梢恰恰是最难分割、又最具临床信息量的部分。本实验在分割之外同时做形态分析，评估模型输出“够不够格”做下游统计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1.2 数据获取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数据从 Hugging Face 公开镜像（tyluan/FIVES）下载，为 4 个 parquet 分片；还原后核对：600 张训练全图与 200 张测试全图，图像与掩膜一一对应，共约 1.8 GB。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1.3 预处理与裁块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2048×2048 的整图直接进网络太慢也不必要，预处理分三步。第一步把整图双三次缩放到 1024×1024（保留细血管的同时把数据量降为四分之一）；第二步裁成 2×2 不重叠的 512×512 块，训练集得到 2400 块、测试集 800 块，每块都带自己的血管金标准；第三步对每块取绿色通道（血管与背景对比最高）做 CLAHE 对比度增强，并按“灰度大于 10”自动生成视野（FOV）掩膜——评估只在视野内统计，避免黑色背景虚高指标。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1  数据规模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1582"/>
        <w:gridCol w:w="1933"/>
        <w:gridCol w:w="2197"/>
        <w:gridCol w:w="3076"/>
      </w:tblGrid>
      <w:tr>
        <w:trPr>
          <w:cantSplit/>
          <w:tblHeader/>
        </w:trPr>
        <w:tc>
          <w:tcPr>
            <w:tcW w:type="pct" w:w="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集合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全图数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512×512 块数</w:t>
            </w:r>
          </w:p>
        </w:tc>
        <w:tc>
          <w:tcPr>
            <w:tcW w:type="pct" w:w="17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训练集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pct" w:w="12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2400</w:t>
            </w:r>
          </w:p>
        </w:tc>
        <w:tc>
          <w:tcPr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训练（其中 120 块做验证选最优权重）</w:t>
            </w:r>
          </w:p>
        </w:tc>
      </w:tr>
      <w:tr>
        <w:trPr>
          <w:cantSplit/>
        </w:trPr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测试集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12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pct" w:w="17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最终评估，训练过程完全不可见</w:t>
            </w:r>
          </w:p>
        </w:tc>
      </w:tr>
    </w:tbl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二、实验方案（模型原理和改进）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基线：U-Net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基线用 U-Net（Ronneberger 等，2015）：编码器四级卷积下采样、解码器转置卷积上采样并与对应分辨率的编码特征拼接（跳跃连接），输出单通道 logits。跳跃连接让深层语义与浅层细节互补，是医学分割的标准基线。首层通道 32，输入 512×512，训练用 BCE+Dice 复合损失。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改进一：注意力门（Attention U-Net）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标准跳跃连接会把浅层特征原样送入解码器，其中包含大量背景响应。改进版在每级跳跃连接处插入注意力门：用深层特征给浅层特征逐位置打分（两个 1×1 卷积相加过 ReLU 再过 sigmoid），抑制背景、保留血管区域，相当于给跳跃连接装了个可学习的空间滤波器。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 改进二：Tversky 损失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血管像素只占视野内约 9%，普通交叉熵偏向保守、细血管漏检多。Tversky 损失是 Dice 的推广，允许分别加权假阳性和假阴性：本实验取 α=0.3、β=0.7，惩罚漏检约是误检的 2.3 倍，直接换召回率——形态分析依赖细血管完整性，这笔交换是划算的。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2.4 训练配置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2  训练配置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2109"/>
        <w:gridCol w:w="3339"/>
        <w:gridCol w:w="3339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基线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改进版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模型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U-Net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注意力 U-Net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损失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BCE+Dice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Tversky（α=0.3，β=0.7）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数据增强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随机翻转 / 90° 旋转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优化器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Adam，学习率 1e-3，余弦退火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轮数 / 批大小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15 轮 / 4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模型选择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验证 120 块上 Dice 最优权重</w:t>
            </w:r>
          </w:p>
        </w:tc>
        <w:tc>
          <w:tcPr>
            <w:tcW w:type="pct" w:w="1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同左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两个模型的数据、轮数、优化器完全一致，唯一变量是注意力门和损失函数。实验在单张 RTX 4090 上进行，每个模型训练约 20 分钟，随机种子固定，结果可复现。</w:t>
      </w:r>
    </w:p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三、评价指标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所有指标只在视野内、逐块计算后取均值（自动生成的 FOV 掩膜剔除黑边与纯背景的影响）。血管分割是不平衡问题，敏感性与特异性要成对看。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3  评价指标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2109"/>
        <w:gridCol w:w="3164"/>
        <w:gridCol w:w="3515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为什么看它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Dice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预测与金标准的重叠度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分割主指标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IoU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交并比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比 Dice 更严格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敏感性 SE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真实血管找回来多少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细血管漏检越少越高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特异性 SP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真实背景判对多少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误检越少越高</w:t>
            </w:r>
          </w:p>
        </w:tc>
      </w:tr>
      <w:tr>
        <w:trPr>
          <w:cantSplit/>
        </w:trPr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准确率 Acc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总体像素判对比例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不平衡时会被背景抬高，参考用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AUC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ROC 曲线下面积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与阈值无关的排序能力</w:t>
            </w:r>
          </w:p>
        </w:tc>
      </w:tr>
    </w:tbl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四、实验结果与分析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 分割指标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4  测试集分割指标（n=800 块）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2461"/>
        <w:gridCol w:w="3164"/>
        <w:gridCol w:w="3164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基线 U-Net（BCE+Dice）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注意力 U-Net（Tversky）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Dice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0.8713 ± 0.140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0.8575 ± 0.135</w:t>
            </w:r>
          </w:p>
        </w:tc>
      </w:tr>
      <w:tr>
        <w:trPr>
          <w:cantSplit/>
        </w:trPr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IoU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0.7904 ± 0.153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0.7676 ± 0.146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敏感性 SE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0.8602 ± 0.156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0.8957 ± 0.150</w:t>
            </w:r>
          </w:p>
        </w:tc>
      </w:tr>
      <w:tr>
        <w:trPr>
          <w:cantSplit/>
        </w:trPr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特异性 SP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0.9912 ± 0.006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0.9833 ± 0.009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准确率 Acc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0.9824 ± 0.009</w:t>
            </w:r>
          </w:p>
        </w:tc>
        <w:tc>
          <w:tcPr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0.9783 ± 0.010</w:t>
            </w:r>
          </w:p>
        </w:tc>
      </w:tr>
      <w:tr>
        <w:trPr>
          <w:cantSplit/>
        </w:trPr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AUC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0.9900 ± 0.023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0.9708 ± 0.047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两个模型的 Dice 都在 0.86 以上、AUC 在 0.97 以上，明显超过文献里小数据集（DRIVE，40 张图）上 0.79–0.82 的常见水平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——大规模标注带来的收益是实打实的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。改进版（Tversky）的规律与设计意图一致：敏感性从 0.860 升到 0.896（+3.6 个百分点，细血管漏检变少），代价是特异性从 0.991 降到 0.983；Dice 略降 1.4 个百分点，属于用精确度换召回的预期交换。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 训练过程与定性结果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62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eastAsia="SimSun"/>
          <w:color w:val="404040"/>
          <w:sz w:val="21"/>
          <w:szCs w:val="21"/>
        </w:rPr>
        <w:t xml:space="preserve">图 1  训练曲线（高斯平滑，验证 Dice 为 120 个验证块均值）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两个模型都在第 10 轮后进入平台：基线验证 Dice 稳定在 0.91 附近，改进版 0.90。2400 个训练块的数据量下，模型没有出现过拟合发散（训练损失与验证 Dice 同步收敛）。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625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eastAsia="SimSun"/>
          <w:color w:val="404040"/>
          <w:sz w:val="21"/>
          <w:szCs w:val="21"/>
        </w:rPr>
        <w:t xml:space="preserve">图 2  测试块定性对比：增强图 / 金标准 / 基线 / 改进版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定性看，主干血管两个模型都分得很干净；差别集中在细末梢与血管边缘：改进版在末梢处“画得更满”（对应 SE 提升），基线的边缘更干净（对应 SP 更高）。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4.3 血管形态特征分析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 800 个测试块分别做形态定量（骨架化 + 距离变换），金标准与两个模型预测的均值对比见表 5。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5  形态特征均值对比（金标准 vs 模型预测）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2724"/>
        <w:gridCol w:w="2021"/>
        <w:gridCol w:w="2021"/>
        <w:gridCol w:w="2021"/>
      </w:tblGrid>
      <w:tr>
        <w:trPr>
          <w:cantSplit/>
          <w:tblHeader/>
        </w:trPr>
        <w:tc>
          <w:tcPr>
            <w:tcW w:type="pct" w:w="15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pct" w:w="11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金标准</w:t>
            </w:r>
          </w:p>
        </w:tc>
        <w:tc>
          <w:tcPr>
            <w:tcW w:type="pct" w:w="11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基线 U-Net</w:t>
            </w:r>
          </w:p>
        </w:tc>
        <w:tc>
          <w:tcPr>
            <w:tcW w:type="pct" w:w="11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注意力 U-Net</w:t>
            </w:r>
          </w:p>
        </w:tc>
      </w:tr>
      <w:tr>
        <w:trPr>
          <w:cantSplit/>
        </w:trPr>
        <w:tc>
          <w:tcPr>
            <w:tcW w:type="pct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血管密度（视野内）</w:t>
            </w:r>
          </w:p>
        </w:tc>
        <w:tc>
          <w:tcPr>
            <w:tcW w:type="pct" w:w="1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0.0937</w:t>
            </w:r>
          </w:p>
        </w:tc>
        <w:tc>
          <w:tcPr>
            <w:tcW w:type="pct" w:w="1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0.0918</w:t>
            </w:r>
          </w:p>
        </w:tc>
        <w:tc>
          <w:tcPr>
            <w:tcW w:type="pct" w:w="1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0.1019</w:t>
            </w:r>
          </w:p>
        </w:tc>
      </w:tr>
      <w:tr>
        <w:trPr>
          <w:cantSplit/>
        </w:trPr>
        <w:tc>
          <w:tcPr>
            <w:tcW w:type="pct" w:w="15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平均直径（像素）</w:t>
            </w:r>
          </w:p>
        </w:tc>
        <w:tc>
          <w:tcPr>
            <w:tcW w:type="pct" w:w="11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6.67</w:t>
            </w:r>
          </w:p>
        </w:tc>
        <w:tc>
          <w:tcPr>
            <w:tcW w:type="pct" w:w="11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6.92</w:t>
            </w:r>
          </w:p>
        </w:tc>
        <w:tc>
          <w:tcPr>
            <w:tcW w:type="pct" w:w="11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7.24</w:t>
            </w:r>
          </w:p>
        </w:tc>
      </w:tr>
      <w:tr>
        <w:trPr>
          <w:cantSplit/>
        </w:trPr>
        <w:tc>
          <w:tcPr>
            <w:tcW w:type="pct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中位直径（像素）</w:t>
            </w:r>
          </w:p>
        </w:tc>
        <w:tc>
          <w:tcPr>
            <w:tcW w:type="pct" w:w="1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6.16</w:t>
            </w:r>
          </w:p>
        </w:tc>
        <w:tc>
          <w:tcPr>
            <w:tcW w:type="pct" w:w="1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6.51</w:t>
            </w:r>
          </w:p>
        </w:tc>
        <w:tc>
          <w:tcPr>
            <w:tcW w:type="pct" w:w="1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6.83</w:t>
            </w:r>
          </w:p>
        </w:tc>
      </w:tr>
      <w:tr>
        <w:trPr>
          <w:cantSplit/>
        </w:trPr>
        <w:tc>
          <w:tcPr>
            <w:tcW w:type="pct" w:w="15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血管总长度（像素/块）</w:t>
            </w:r>
          </w:p>
        </w:tc>
        <w:tc>
          <w:tcPr>
            <w:tcW w:type="pct" w:w="11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2658</w:t>
            </w:r>
          </w:p>
        </w:tc>
        <w:tc>
          <w:tcPr>
            <w:tcW w:type="pct" w:w="11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2461</w:t>
            </w:r>
          </w:p>
        </w:tc>
        <w:tc>
          <w:tcPr>
            <w:tcW w:type="pct" w:w="11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2629</w:t>
            </w:r>
          </w:p>
        </w:tc>
      </w:tr>
      <w:tr>
        <w:trPr>
          <w:cantSplit/>
        </w:trPr>
        <w:tc>
          <w:tcPr>
            <w:tcW w:type="pct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迂曲度（简化口径）</w:t>
            </w:r>
          </w:p>
        </w:tc>
        <w:tc>
          <w:tcPr>
            <w:tcW w:type="pct" w:w="1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3.92</w:t>
            </w:r>
          </w:p>
        </w:tc>
        <w:tc>
          <w:tcPr>
            <w:tcW w:type="pct" w:w="1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3.36</w:t>
            </w:r>
          </w:p>
        </w:tc>
        <w:tc>
          <w:tcPr>
            <w:tcW w:type="pct" w:w="1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3.53</w:t>
            </w:r>
          </w:p>
        </w:tc>
      </w:tr>
      <w:tr>
        <w:trPr>
          <w:cantSplit/>
        </w:trPr>
        <w:tc>
          <w:tcPr>
            <w:tcW w:type="pct" w:w="15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分形维数（盒计数）</w:t>
            </w:r>
          </w:p>
        </w:tc>
        <w:tc>
          <w:tcPr>
            <w:tcW w:type="pct" w:w="11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1.394</w:t>
            </w:r>
          </w:p>
        </w:tc>
        <w:tc>
          <w:tcPr>
            <w:tcW w:type="pct" w:w="11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1.376</w:t>
            </w:r>
          </w:p>
        </w:tc>
        <w:tc>
          <w:tcPr>
            <w:tcW w:type="pct" w:w="115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1.394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4381500" cy="26289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eastAsia="SimSun"/>
          <w:color w:val="404040"/>
          <w:sz w:val="21"/>
          <w:szCs w:val="21"/>
        </w:rPr>
        <w:t xml:space="preserve">图 3  血管直径分布对比（金标准与两模型）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形态统计能读出模型误差的“性质”：预测血管平均粗 0.3–0.6 像素（模型倾向把细血管预测得偏粗）；基线密度几乎与金标准一致但总长度只有 92.6%（细末梢断裂），改进版靠 Tversky 把长度恢复到 99.0%；两者都低估迂曲度（弯曲的细末梢丢失让骨架变直），分形维数基本保持（分支复杂度没有塌缩）。结论：如果下游做疾病筛查的形态统计，改进版预测更接近金标准；若更在乎假阳性，基线更稳。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4.4 复现方式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全部流程可由仓库脚本重跑：prepare_fives.py 负责下载还原、缩放裁块与视野掩膜生成；train.py 以相同种子分别训练基线与改进版；evaluate.py 输出逐块指标与可视化；morphology_batch.py 输出形态统计与直径分布图。逐块指标明细（800 块）与最优权重都保留在 outputs/ 目录。</w:t>
      </w:r>
    </w:p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五、改进方向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按值得做的程度排序：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拓扑连续性约束（clDice 损失）：形态分析显示模型最大短板是末梢断裂（总长度 93–99%、迂曲度低估 10–14%），clDice 直接优化骨架连通性，是对症的一步。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整图推理拼接：目前按块评估，块边界处血管被截断；把 4 块预测拼回整图再评估，指标会更贴近真实使用场景。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3. 高分辨率细化：在 1024 整图上做滑窗重叠推理 + 边界融合，减少缩放造成的细血管丢失。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4. 跨数据集泛化：在 FIVES 训练、DRIVE/CHASE 上零样本测试，检验人群与设备差异下的稳健性。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5. 把形态量直接纳入模型选择：本实验已经显示“Dice 接近、形态偏差不小”，下游要用形态统计时，应按形态误差而不是只按 Dice 选模型。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50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06ae15ec60eb629ab4f0103a46650895813fa31.png"/><Relationship Id="rId9" Type="http://schemas.openxmlformats.org/officeDocument/2006/relationships/image" Target="media/2a230f938482399d3e52b1f19a9fec37bf991a1d.png"/><Relationship Id="rId10" Type="http://schemas.openxmlformats.org/officeDocument/2006/relationships/image" Target="media/e106ba51a191a1e5495114496bf25b964769b46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基于眼底图像的视网膜血管分割与血管形态特征分析实验报告</dc:title>
  <dc:creator>Course Project</dc:creator>
  <cp:lastModifiedBy>Un-named</cp:lastModifiedBy>
  <cp:revision>1</cp:revision>
  <dcterms:created xsi:type="dcterms:W3CDTF">2026-09-28T13:27:01.839Z</dcterms:created>
  <dcterms:modified xsi:type="dcterms:W3CDTF">2026-09-28T13:27:01.839Z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