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 w:line="506" w:lineRule="atLeast"/>
        <w:jc w:val="center"/>
      </w:pPr>
      <w:r>
        <w:rPr>
          <w:rFonts w:ascii="Times New Roman" w:eastAsia="SimHei"/>
          <w:b/>
          <w:bCs/>
          <w:color w:val="000000"/>
          <w:sz w:val="44"/>
          <w:szCs w:val="44"/>
        </w:rPr>
        <w:t xml:space="preserve">基于皮肤镜图像的皮肤病变分类实验报告</w:t>
      </w:r>
    </w:p>
    <w:p>
      <w:pPr>
        <w:pBdr>
          <w:bottom w:val="single" w:color="888888" w:sz="4" w:space="10"/>
        </w:pBdr>
        <w:spacing w:after="320"/>
        <w:jc w:val="center"/>
      </w:pPr>
      <w:r>
        <w:rPr>
          <w:rFonts w:ascii="Times New Roman" w:eastAsia="SimSun"/>
          <w:color w:val="505050"/>
          <w:sz w:val="21"/>
          <w:szCs w:val="21"/>
        </w:rPr>
        <w:t xml:space="preserve">课程实践 · 数据集 HAM10000 · 2026 年 9 月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一、数据集说明与预处理方法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1.1 数据集介绍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HAM10000 是皮肤病变分类最常用的公开数据集（Tschandl 等，2018 年发布），共 10015 张皮肤镜图像（JPEG，约 600×450 像素），来自维也纳医科大学和澳大利亚一家皮肤诊所 20 年的临床积累，对应 7470 个独立病灶。同一病灶常有多张不同角度、不同焦距的照片，这一点对后面怎么划分数据有直接影响。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全部图像标注为 7 类，各类数量见表 1。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  HAM10000 类别分布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类别代码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病变名称</w:t>
            </w:r>
          </w:p>
        </w:tc>
        <w:tc>
          <w:tcPr>
            <w:tcW w:type="pct" w:w="1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性质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占比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黑色素细胞痣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6705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66.9%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黑色素瘤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1113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11.1%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良性角化病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1099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11.0%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基底细胞癌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恶性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514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光化性角化病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癌前病变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327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3.3%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3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血管性病损</w:t>
            </w:r>
          </w:p>
        </w:tc>
        <w:tc>
          <w:tcPr>
            <w:tcW w:type="pct" w:w="1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142</w:t>
            </w:r>
          </w:p>
        </w:tc>
        <w:tc>
          <w:tcPr>
            <w:tcW w:type="pct" w:w="1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1.4%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</w:t>
            </w:r>
          </w:p>
        </w:tc>
        <w:tc>
          <w:tcPr>
            <w:tcW w:type="pct" w:w="3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皮肤纤维瘤</w:t>
            </w:r>
          </w:p>
        </w:tc>
        <w:tc>
          <w:tcPr>
            <w:tcW w:type="pct" w:w="1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良性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115</w:t>
            </w:r>
          </w:p>
        </w:tc>
        <w:tc>
          <w:tcPr>
            <w:tcW w:type="pct" w:w="1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1.1%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可以看到两个直接决定实验难点的现象。一是类别严重不平衡：最多的 nv 和最少的 df 相差 58 倍；而且临床重要性跟数量是倒着的——恶性程度最高的黑色素瘤只占 11%。二是如果模型偷懒把所有图都判成 nv，总体准确率就有 66.9%，但这样毫无临床价值，所以评估不能只看总体准确率（见第三章）。类别分布和各类样例见图 1、图 2。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381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1  类别分布（10015 张，7 类）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2  每类一张样例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样例图能直观感受到任务难度：不同类长得像（良性角化和早期黑色素瘤都是色斑），同类内部差别又大（痣从浅棕到深黑都有）；另外图像之间色温、亮度、清晰度差别不小，还有毛发遮挡、标尺入镜。这些观察决定了后面的增强策略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1.2 数据获取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数据从 Hugging Face 公开镜像（marmal88/skin_cancer，parquet 格式）下载，用脚本 parquet_extract.py 还原成图像目录。还原时发现镜像里混进了 3339 张 HAM10000 之外的照片（共 13354 张），所以按官方 metadata 清单（10015 个 image_id）做了过滤，并去掉分片间的重复行。不做这一步，数据集就跟文献里的 HAM10000 对不上了。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1.3 数据划分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划分数据集时最容易犯的错是按图像随机分：同一病灶的多张照片几乎一样，随机分会让它们同时出现在训练集和测试集里，模型靠背答案就能拿虚高的分。正确做法是按病灶（lesion_id）分组，一个病灶的所有照片只能进同一个集合。镜像自带的划分恰恰就是随机分的，没用它，而是自己写了按病灶分组、按类别分层的划分，结果见表 2。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  数据划分（按病灶分组）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集合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图像数</w:t>
            </w:r>
          </w:p>
        </w:tc>
        <w:tc>
          <w:tcPr>
            <w:tcW w:type="pct" w:w="5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train</w:t>
            </w:r>
          </w:p>
        </w:tc>
        <w:tc>
          <w:tcPr>
            <w:tcW w:type="pct" w:w="2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8011</w:t>
            </w:r>
          </w:p>
        </w:tc>
        <w:tc>
          <w:tcPr>
            <w:tcW w:type="pct" w:w="5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训练（含数据增强）</w:t>
            </w:r>
          </w:p>
        </w:tc>
      </w:tr>
      <w:tr>
        <w:trPr>
          <w:cantSplit/>
        </w:trPr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val</w:t>
            </w:r>
          </w:p>
        </w:tc>
        <w:tc>
          <w:tcPr>
            <w:tcW w:type="pct" w:w="25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1003</w:t>
            </w:r>
          </w:p>
        </w:tc>
        <w:tc>
          <w:tcPr>
            <w:tcW w:type="pct" w:w="55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 epoch 验证，按准确率保存最优权重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</w:t>
            </w:r>
          </w:p>
        </w:tc>
        <w:tc>
          <w:tcPr>
            <w:tcW w:type="pct" w:w="2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1001</w:t>
            </w:r>
          </w:p>
        </w:tc>
        <w:tc>
          <w:tcPr>
            <w:tcW w:type="pct" w:w="55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最终评估，训练过程完全看不到</w:t>
            </w:r>
          </w:p>
        </w:tc>
      </w:tr>
    </w:tbl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1.4 预处理与增强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输入统一做中心方形裁剪再缩放到 224×224（ResNet 的标准输入），按 ImageNet 均值方差归一化。训练增强分两档：基线只用随机翻转和 90° 整倍旋转——皮肤镜图像没有固定方向，这些变换不改变病变含义；改进版另加亮度/对比度扰动、高斯模糊和小角度旋转，用来模拟采集差异。没有用大幅度的颜色抖动，因为颜色本身是判别依据，不能破坏。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二、实验方案（模型原理和改进）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2.1 基线：随机初始化的 ResNet18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基线用 ResNet18（He 等，2016）：4 个残差阶段，每阶段 2 个基本残差块，最后接全局平均池化和全连接层，约 1170 万参数。残差结构 y = F(x) + x 让梯度能直接回传，是深度网络的标配。基线从随机初始化开始训练，用普通交叉熵，30 个 epoch，代表不带任何先验知识的起点。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2.2 改进一：ImageNet 预训练初始化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预训练模型在 ImageNet 上学到的边缘、纹理、颜色块状等低中层特征，对皮肤镜图像同样有用。改进版用 ImageNet 权重初始化骨干、把最后的全连接层换成 7 类输出，然后整体微调。对每类只有几十张图的稀有类来说，这等于免费带了一个会看图的起点。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2.3 改进二：按类频率加权采样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均匀采样时一个 epoch 里 df 只出现约 97 次、nv 出现 5360 次，梯度基本被 nv 支配。改进版用 WeightedRandomSampler，按类频率的倒数给每张图采样权重（归一化后 df 为 1.0、nv 为 0.018），让每个 epoch 里七类的出现次数接近。跟在损失函数里加权相比，采样加权跟 BatchNorm 配合更稳，实现也简单。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2.4 改进三：针对采集差异的强增强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即 1.4 节说的颜色扰动、模糊和小角度旋转，目的是扩大训练分布的覆盖，缓解稀有类过拟合。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2.5 训练配置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两个模型用同一份数据划分、同样的轮数和优化器，只差三项改进，保证对比公平，具体见表 3。实验在单张 RTX 4090 上跑，PyTorch 2.11，两个模型各 30 个 epoch，总共约 25 分钟，随机种子固定 42，结果可以复现。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  训练配置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pct" w:w="3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3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初始化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随机初始化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ImageNet 预训练微调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损失函数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交叉熵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采样方式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均匀采样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类频率倒数加权采样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数据增强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翻转 / 旋转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加颜色扰动 / 模糊 / 小角度旋转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优化器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AdamW，lr=1e-3，weight decay=1e-4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学习率调度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余弦退火，30 epochs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批大小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pct" w:w="3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  <w:tr>
        <w:trPr>
          <w:cantSplit/>
        </w:trPr>
        <w:tc>
          <w:tcPr>
            <w:tcW w:type="pct" w:w="2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模型选择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验证集准确率最优权重</w:t>
            </w:r>
          </w:p>
        </w:tc>
        <w:tc>
          <w:tcPr>
            <w:tcW w:type="pct" w:w="3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同左</w:t>
            </w:r>
          </w:p>
        </w:tc>
      </w:tr>
    </w:tbl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三、评价指标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类别不平衡时总体准确率会被大类主导，所以除了准确率，主要看这几个指标，定义和选用理由见表 4。简单说：平衡准确率是七类召回率的平均，是最核心的一个数；每类的召回率有直接的临床含义，黑色素瘤的召回率低就等于漏诊率高，而漏诊一例黑色素瘤的代价远大于把痣误判。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4  评价指标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3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为什么看它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总体判对的比例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参考值；全猜 nv 也有 66.9%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各类召回率的平均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不平衡场景最核心的单一指标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各类 F1 取平均（不加权）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精确率召回率都算，稀有类大类同权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一对其余 AUC 的平均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跟阈值无关的排序能力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每类召回率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每类找回来多少</w:t>
            </w:r>
          </w:p>
        </w:tc>
        <w:tc>
          <w:tcPr>
            <w:tcW w:type="pct" w:w="38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 的召回率就是漏诊率的反面</w:t>
            </w:r>
          </w:p>
        </w:tc>
      </w:tr>
      <w:tr>
        <w:trPr>
          <w:cantSplit/>
        </w:trPr>
        <w:tc>
          <w:tcPr>
            <w:tcW w:type="pct" w:w="24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混淆矩阵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每个真类被分成谁</w:t>
            </w:r>
          </w:p>
        </w:tc>
        <w:tc>
          <w:tcPr>
            <w:tcW w:type="pct" w:w="38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直观看错在哪</w:t>
            </w:r>
          </w:p>
        </w:tc>
      </w:tr>
    </w:tbl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四、实验结果与分析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4.1 总体指标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 1001 张测试图上的总体结果见表 5。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5  测试集总体指标（n=1001）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2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2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提升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Accuracy</w:t>
            </w:r>
          </w:p>
        </w:tc>
        <w:tc>
          <w:tcPr>
            <w:tcW w:type="pct" w:w="23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0.7772</w:t>
            </w:r>
          </w:p>
        </w:tc>
        <w:tc>
          <w:tcPr>
            <w:tcW w:type="pct" w:w="2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0.8272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+5.0 pt</w:t>
            </w:r>
          </w:p>
        </w:tc>
      </w:tr>
      <w:tr>
        <w:trPr>
          <w:cantSplit/>
        </w:trPr>
        <w:tc>
          <w:tcPr>
            <w:tcW w:type="pct" w:w="3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Balanced Accuracy</w:t>
            </w:r>
          </w:p>
        </w:tc>
        <w:tc>
          <w:tcPr>
            <w:tcW w:type="pct" w:w="23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0.6146</w:t>
            </w:r>
          </w:p>
        </w:tc>
        <w:tc>
          <w:tcPr>
            <w:tcW w:type="pct" w:w="27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0.7261</w:t>
            </w:r>
          </w:p>
        </w:tc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+11.2 pt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F1</w:t>
            </w:r>
          </w:p>
        </w:tc>
        <w:tc>
          <w:tcPr>
            <w:tcW w:type="pct" w:w="23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0.6071</w:t>
            </w:r>
          </w:p>
        </w:tc>
        <w:tc>
          <w:tcPr>
            <w:tcW w:type="pct" w:w="2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0.7079</w:t>
            </w:r>
          </w:p>
        </w:tc>
        <w:tc>
          <w:tcPr>
            <w:tcW w:type="pct" w:w="20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+10.1 pt</w:t>
            </w:r>
          </w:p>
        </w:tc>
      </w:tr>
      <w:tr>
        <w:trPr>
          <w:cantSplit/>
        </w:trPr>
        <w:tc>
          <w:tcPr>
            <w:tcW w:type="pct" w:w="3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Macro AUC</w:t>
            </w:r>
          </w:p>
        </w:tc>
        <w:tc>
          <w:tcPr>
            <w:tcW w:type="pct" w:w="23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0.9384</w:t>
            </w:r>
          </w:p>
        </w:tc>
        <w:tc>
          <w:tcPr>
            <w:tcW w:type="pct" w:w="27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0.9610</w:t>
            </w:r>
          </w:p>
        </w:tc>
        <w:tc>
          <w:tcPr>
            <w:tcW w:type="pct" w:w="20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+2.3 pt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改进版四项指标全部超过基线，而且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越公平的指标提升越大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：平衡准确率涨了 11.2 个百分点，总体准确率只涨 5.0 个。说明提升主要来自稀有类，不是靠把大类做得更好。四项指标都在文献常见范围内（ResNet 级模型：准确率 0.83–0.87，平衡准确率 0.65–0.75，宏 AUC 0.91–0.94），宏 AUC 0.961 略高于常见水平。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4.2 每类召回率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6  每类召回率对比</w:t>
      </w:r>
    </w:p>
    <w:tbl>
      <w:tblPr>
        <w:tblW w:type="pct" w:w="100%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1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测试图数</w:t>
            </w:r>
          </w:p>
        </w:tc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基线</w:t>
            </w:r>
          </w:p>
        </w:tc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改进版</w:t>
            </w:r>
          </w:p>
        </w:tc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akiec（癌前病变）</w:t>
            </w:r>
          </w:p>
        </w:tc>
        <w:tc>
          <w:tcPr>
            <w:tcW w:type="pct" w:w="1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0.324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bcc（恶性）</w:t>
            </w:r>
          </w:p>
        </w:tc>
        <w:tc>
          <w:tcPr>
            <w:tcW w:type="pct" w:w="17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0.580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0.740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+16 pt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bkl（良性）</w:t>
            </w:r>
          </w:p>
        </w:tc>
        <w:tc>
          <w:tcPr>
            <w:tcW w:type="pct" w:w="1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107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0.551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0.720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+17 pt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df（良性）</w:t>
            </w:r>
          </w:p>
        </w:tc>
        <w:tc>
          <w:tcPr>
            <w:tcW w:type="pct" w:w="17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0.500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0.750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+25 pt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mel（恶性）</w:t>
            </w:r>
          </w:p>
        </w:tc>
        <w:tc>
          <w:tcPr>
            <w:tcW w:type="pct" w:w="1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113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0.442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0.646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+20 pt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nv（良性，大类）</w:t>
            </w:r>
          </w:p>
        </w:tc>
        <w:tc>
          <w:tcPr>
            <w:tcW w:type="pct" w:w="17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674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0.905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0.904</w:t>
            </w:r>
          </w:p>
        </w:tc>
        <w:tc>
          <w:tcPr>
            <w:tcW w:type="pct" w:w="19%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vasc</w:t>
            </w:r>
          </w:p>
        </w:tc>
        <w:tc>
          <w:tcPr>
            <w:tcW w:type="pct" w:w="17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1.000</w:t>
            </w:r>
          </w:p>
        </w:tc>
        <w:tc>
          <w:tcPr>
            <w:tcW w:type="pct" w:w="19%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±0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五个类召回率明显提高，最重要的是黑色素瘤从 0.442 提到 0.646。大类 nv 的召回一点没掉，精确率反而从 0.865 涨到 0.944——加权采样并没有牺牲大类，稀有类学好了之后，原来被错吸到 nv 边上的样本反而少了。唯一没动的是 akiec（0.324，测试集只有 34 张），它和 bkl 在临床上本来就是连续谱系，是这个数据集公认的难点。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4.3 混淆矩阵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3  基线混淆矩阵（行归一化）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4  改进版混淆矩阵（行归一化）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基线（图 3）的典型错误是往 nv 塌：41.6% 的黑色素瘤被判成痣，11.5% 判成良性角化，这两块恶性流失就是它平衡准确率只有 0.615 的原因。改进版（图 4）把 mel 判成 nv 的比例砍了一半（41.6% 到 21.2%）。剩下的混淆集中在 akiec 和 bkl 之间（17.6% 到 26.5%）以及 bkl 和 mel 之间，这些确实是长得像的类，属于任务本身的难度，不是训练策略的问题。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4.4 训练过程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625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eastAsia="SimSun"/>
          <w:color w:val="404040"/>
          <w:sz w:val="21"/>
          <w:szCs w:val="21"/>
        </w:rPr>
        <w:t xml:space="preserve">图 5  训练曲线：损失（左）与准确率（右）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从图 5 能看出三点。第一，前 5 个 epoch 两个模型验证准确率差不多（0.69 对 0.70），但最后改进版到 0.819、基线停在 0.776，预训练的价值在后期泛化而不是前期收敛。第二，两个模型训练准确率都明显高于验证准确率（改进版 0.983 对 0.812），说明 8000 张图的规模下过拟合还是存在，强增强把它压在了可接受的范围（验证损失没有发散）。第三，改进版后期验证曲线在 0.80 到 0.82 之间晃，这是加权采样下每个 epoch 类别组成有随机性，正常现象，按验证准确率存最优权重就行。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4.5 不足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有两点不足要说明。一是三项改进是打包对比的，没有逐项拆开消融，各自贡献多少说不准：按文献经验和上面的结果推断，预训练主要贡献总体精度，加权采样主要贡献稀有类召回，强增强负责压过拟合，拆开验证每条只要 10 分钟，是后续最直接的补充。二是 akiec 的召回没有改善，加上测试集只有 1001 张，个别稀有类的结论置信度有限。</w:t>
      </w:r>
    </w:p>
    <w:p>
      <w:pPr>
        <w:pStyle w:val="Heading2"/>
        <w:spacing w:after="120" w:before="240" w:line="350" w:lineRule="atLeast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4.6 复现方式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全部流程可以用仓库脚本重跑：parquet_extract.py 负责数据还原、过滤和划分；train.py 用同样的种子分别训练基线和改进版；evaluate.py 输出指标、每类报告、混淆矩阵；训练日志和最优权重都留在 outputs/ 目录下。</w:t>
      </w:r>
    </w:p>
    <w:p>
      <w:pPr>
        <w:pStyle w:val="Heading1"/>
        <w:spacing w:after="160" w:before="36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五、改进方向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按值得做的程度排序：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把三项改进拆开做消融，确认各自的贡献；再换 ResNet50 或 EfficientNet 级别的骨干，这个数据量下一般还能再涨 2 到 3 个百分点。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akiec 和 bkl 是连续谱系，光靠采样救不回来，可以试结构化损失（把 akiec 错分成 bkl 和错分成 nv 区别对待），或者利用 metadata 里的确诊手段字段对标注不确定性加权。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同一个病灶的多张图现在是一张一张预测的，推理时按病灶聚合概率再判，既符合医生看多张图的习惯，一般也能再涨 1 到 2 个百分点。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加测试时增强（翻转旋转取平均）和按验证集选各类阈值，在可控的精度损失下把黑色素瘤召回再往上提。</w:t>
      </w:r>
    </w:p>
    <w:p>
      <w:pPr>
        <w:spacing w:after="40" w:line="312"/>
        <w:ind w:left="480" w:hanging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用 Grad-CAM 画出模型关注的区域，检查它是不是学到了标尺、毛发这类假线索，对医学应用来说这个检查很有说服力。</w:t>
      </w:r>
    </w:p>
    <w:sectPr>
      <w:footerReference w:type="default" r:id="rId7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8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5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85ed41075fdaafe4a65c32bfc580880a7f492a2.png"/><Relationship Id="rId9" Type="http://schemas.openxmlformats.org/officeDocument/2006/relationships/image" Target="media/eb3077aaea24f22cf0763472a6ecf38733c02425.png"/><Relationship Id="rId10" Type="http://schemas.openxmlformats.org/officeDocument/2006/relationships/image" Target="media/15dd7650516c0f14369306af037a8199da9fb607.png"/><Relationship Id="rId11" Type="http://schemas.openxmlformats.org/officeDocument/2006/relationships/image" Target="media/4f30764970e8a439b8739e698407ee0bd5af67b8.png"/><Relationship Id="rId12" Type="http://schemas.openxmlformats.org/officeDocument/2006/relationships/image" Target="media/7feb6a78443fe7534bb886e1199481b27a53d4d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基于皮肤镜图像的皮肤病变分类实验报告</dc:title>
  <dc:creator>Course Project</dc:creator>
  <cp:lastModifiedBy>Un-named</cp:lastModifiedBy>
  <cp:revision>1</cp:revision>
  <dcterms:created xsi:type="dcterms:W3CDTF">2026-09-21T16:39:59.131Z</dcterms:created>
  <dcterms:modified xsi:type="dcterms:W3CDTF">2026-09-21T16:39:59.132Z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