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125E9">
      <w:pPr>
        <w:spacing w:before="480" w:after="160" w:line="506" w:lineRule="atLeast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基于皮肤镜图像的皮肤病变分类实验报告</w:t>
      </w:r>
    </w:p>
    <w:p w14:paraId="2F9160EB">
      <w:pPr>
        <w:pBdr>
          <w:bottom w:val="single" w:color="888888" w:sz="4" w:space="10"/>
        </w:pBdr>
        <w:spacing w:after="320"/>
        <w:jc w:val="center"/>
      </w:pPr>
      <w:r>
        <w:rPr>
          <w:rFonts w:ascii="Times New Roman" w:eastAsia="宋体"/>
          <w:color w:val="505050"/>
          <w:sz w:val="21"/>
          <w:szCs w:val="21"/>
        </w:rPr>
        <w:t>课程实践 · 数据集 HAM10000 · 2026 年 9 月</w:t>
      </w:r>
    </w:p>
    <w:p w14:paraId="07B77696">
      <w:pPr>
        <w:pStyle w:val="2"/>
        <w:spacing w:before="360" w:after="160" w:line="380" w:lineRule="atLeas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一、数据集说明与预处理方法</w:t>
      </w:r>
    </w:p>
    <w:p w14:paraId="30582374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1.1 数据集介绍</w:t>
      </w:r>
    </w:p>
    <w:p w14:paraId="0B52E1E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HAM10000 是皮肤病变分类最常用的公开数据集（Tschandl 等，2018 年发布），共 10015 张皮肤镜图像（JPEG，约 600×450 像素），来自维也纳医科大学和澳大利亚一家皮肤诊所 20 年的临床积累，对应 7470 个独立病灶。同一病灶常有多张不同角度、不同焦距的照片，这对后面怎么划分数据有直接影响。</w:t>
      </w:r>
    </w:p>
    <w:p w14:paraId="029F8D4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全部图像标注为 7 类，各类数量见表 1。</w:t>
      </w:r>
    </w:p>
    <w:p w14:paraId="0CD2360D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1  HAM10000 类别分布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2988"/>
        <w:gridCol w:w="1582"/>
        <w:gridCol w:w="1406"/>
        <w:gridCol w:w="1406"/>
      </w:tblGrid>
      <w:tr w14:paraId="278F123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9AE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类别代码</w:t>
            </w:r>
          </w:p>
        </w:tc>
        <w:tc>
          <w:tcPr>
            <w:tcW w:w="17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EE57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病变名称</w:t>
            </w:r>
          </w:p>
        </w:tc>
        <w:tc>
          <w:tcPr>
            <w:tcW w:w="9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2A41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性质</w:t>
            </w:r>
          </w:p>
        </w:tc>
        <w:tc>
          <w:tcPr>
            <w:tcW w:w="8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598C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图像数</w:t>
            </w:r>
          </w:p>
        </w:tc>
        <w:tc>
          <w:tcPr>
            <w:tcW w:w="8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994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占比</w:t>
            </w:r>
          </w:p>
        </w:tc>
      </w:tr>
      <w:tr w14:paraId="6C721074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CCAC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nv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B534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黑色素细胞痣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984A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良性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D780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6705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3E72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66.9%</w:t>
            </w:r>
          </w:p>
        </w:tc>
      </w:tr>
      <w:tr w14:paraId="0B74386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73A9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mel</w:t>
            </w:r>
          </w:p>
        </w:tc>
        <w:tc>
          <w:tcPr>
            <w:tcW w:w="17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D759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黑色素瘤</w:t>
            </w:r>
          </w:p>
        </w:tc>
        <w:tc>
          <w:tcPr>
            <w:tcW w:w="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3976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恶性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0DC1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1113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C8DE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11.1%</w:t>
            </w:r>
          </w:p>
        </w:tc>
      </w:tr>
      <w:tr w14:paraId="5A90115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AA92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bkl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429F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良性角化病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D17B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良性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0C7C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1099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4F19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11.0%</w:t>
            </w:r>
          </w:p>
        </w:tc>
      </w:tr>
      <w:tr w14:paraId="3328CF9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D7AA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bcc</w:t>
            </w:r>
          </w:p>
        </w:tc>
        <w:tc>
          <w:tcPr>
            <w:tcW w:w="17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C4F0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基底细胞癌</w:t>
            </w:r>
          </w:p>
        </w:tc>
        <w:tc>
          <w:tcPr>
            <w:tcW w:w="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A0C4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恶性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8E56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514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861B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5.1%</w:t>
            </w:r>
          </w:p>
        </w:tc>
      </w:tr>
      <w:tr w14:paraId="420EEE2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12DD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akiec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2A05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光化性角化病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3ED3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癌前病变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7132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327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26BE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3.3%</w:t>
            </w:r>
          </w:p>
        </w:tc>
      </w:tr>
      <w:tr w14:paraId="2575D67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B681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vasc</w:t>
            </w:r>
          </w:p>
        </w:tc>
        <w:tc>
          <w:tcPr>
            <w:tcW w:w="17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C5E1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血管性病损</w:t>
            </w:r>
          </w:p>
        </w:tc>
        <w:tc>
          <w:tcPr>
            <w:tcW w:w="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9124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良性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54DC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7849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1.4%</w:t>
            </w:r>
          </w:p>
        </w:tc>
      </w:tr>
      <w:tr w14:paraId="2B78C0E8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1BED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C8FC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皮肤纤维瘤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FBBC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良性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9529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4458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1.1%</w:t>
            </w:r>
          </w:p>
        </w:tc>
      </w:tr>
    </w:tbl>
    <w:p w14:paraId="55AB021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可以看到两个直接决定实验难点的现象。一是类别严重不平衡：最多的 nv 和最少的 df 相差 58 倍；而且临床重要性跟数量是倒着的——恶性程度最高的黑色素瘤只占 11%。二是如果模型把所有图都判成 nv，总体准确率就有 66.9%，但这样</w:t>
      </w:r>
      <w:r>
        <w:rPr>
          <w:rFonts w:hint="eastAsia"/>
          <w:color w:val="000000"/>
          <w:sz w:val="24"/>
          <w:szCs w:val="24"/>
          <w:lang w:val="en-US" w:eastAsia="zh-CN"/>
        </w:rPr>
        <w:t>无法体现</w:t>
      </w:r>
      <w:r>
        <w:rPr>
          <w:rFonts w:ascii="Times New Roman" w:eastAsia="宋体"/>
          <w:color w:val="000000"/>
          <w:sz w:val="24"/>
          <w:szCs w:val="24"/>
        </w:rPr>
        <w:t>临床价值，所以评估不能只看总体准确率。类别分布和各类样例见图 1、图 2。</w:t>
      </w:r>
    </w:p>
    <w:p w14:paraId="0CDC589C">
      <w:pPr>
        <w:keepNext/>
        <w:spacing w:before="120"/>
        <w:jc w:val="center"/>
      </w:pPr>
      <w:r>
        <w:drawing>
          <wp:inline distT="0" distB="0" distL="0" distR="0">
            <wp:extent cx="4381500" cy="2628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2195">
      <w:pPr>
        <w:spacing w:before="80" w:after="160"/>
        <w:jc w:val="center"/>
      </w:pPr>
      <w:r>
        <w:rPr>
          <w:rFonts w:ascii="Times New Roman" w:eastAsia="宋体"/>
          <w:color w:val="404040"/>
          <w:sz w:val="21"/>
          <w:szCs w:val="21"/>
        </w:rPr>
        <w:t>图 1  类别分布（10015 张，7 类）</w:t>
      </w:r>
    </w:p>
    <w:p w14:paraId="13AA49F0">
      <w:pPr>
        <w:keepNext/>
        <w:spacing w:before="120"/>
        <w:jc w:val="center"/>
      </w:pPr>
      <w:r>
        <w:drawing>
          <wp:inline distT="0" distB="0" distL="0" distR="0">
            <wp:extent cx="4762500" cy="2381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74B7">
      <w:pPr>
        <w:spacing w:before="80" w:after="160"/>
        <w:jc w:val="center"/>
      </w:pPr>
      <w:r>
        <w:rPr>
          <w:rFonts w:ascii="Times New Roman" w:eastAsia="宋体"/>
          <w:color w:val="404040"/>
          <w:sz w:val="21"/>
          <w:szCs w:val="21"/>
        </w:rPr>
        <w:t>图 2  每类一张样例</w:t>
      </w:r>
    </w:p>
    <w:p w14:paraId="7574B12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从样例图能直观感受到任务难度：不同类长得像（良性角化和早期黑色素瘤都是色斑），同类内部差别又大（痣从浅棕到深黑都有）；另外图像之间色温、亮度、清晰度差别不小，还有毛发遮挡、标尺入镜。</w:t>
      </w:r>
    </w:p>
    <w:p w14:paraId="66A52113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1.2 数据获取</w:t>
      </w:r>
    </w:p>
    <w:p w14:paraId="053C606E">
      <w:pPr>
        <w:spacing w:after="6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color w:val="000000"/>
          <w:sz w:val="24"/>
          <w:szCs w:val="24"/>
        </w:rPr>
        <w:t>数据从 Hugging Face 公开镜像下载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</w:p>
    <w:p w14:paraId="01F7FF02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1.3 数据划分</w:t>
      </w:r>
    </w:p>
    <w:p w14:paraId="4DCE387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划分数据集时最容易犯的错是按图像随机分：同一病灶的多张照片几乎一样，随机分会让它们同时出现在训练集和测试集里，模型靠背答案就能拿虚高的分。正确做法是按病灶（lesion_id）分组，一个病灶的所有照片只能进同一个集合。</w:t>
      </w:r>
      <w:r>
        <w:rPr>
          <w:rFonts w:hint="eastAsia"/>
          <w:color w:val="000000"/>
          <w:sz w:val="24"/>
          <w:szCs w:val="24"/>
          <w:lang w:val="en-US" w:eastAsia="zh-CN"/>
        </w:rPr>
        <w:t>数据集</w:t>
      </w:r>
      <w:r>
        <w:rPr>
          <w:rFonts w:ascii="Times New Roman" w:eastAsia="宋体"/>
          <w:color w:val="000000"/>
          <w:sz w:val="24"/>
          <w:szCs w:val="24"/>
        </w:rPr>
        <w:t>自带的划分是随机分的，</w:t>
      </w:r>
      <w:r>
        <w:rPr>
          <w:rFonts w:hint="eastAsia"/>
          <w:color w:val="000000"/>
          <w:sz w:val="24"/>
          <w:szCs w:val="24"/>
          <w:lang w:val="en-US" w:eastAsia="zh-CN"/>
        </w:rPr>
        <w:t>我们</w:t>
      </w:r>
      <w:r>
        <w:rPr>
          <w:rFonts w:ascii="Times New Roman" w:eastAsia="宋体"/>
          <w:color w:val="000000"/>
          <w:sz w:val="24"/>
          <w:szCs w:val="24"/>
        </w:rPr>
        <w:t>自己写了按病灶分组、按类别分层的划分，结果见表 2。</w:t>
      </w:r>
    </w:p>
    <w:p w14:paraId="55D346B2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2  数据划分（按病灶分组）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2197"/>
        <w:gridCol w:w="4833"/>
      </w:tblGrid>
      <w:tr w14:paraId="1270CA4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3B3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集合</w:t>
            </w:r>
          </w:p>
        </w:tc>
        <w:tc>
          <w:tcPr>
            <w:tcW w:w="12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2C7B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图像数</w:t>
            </w:r>
          </w:p>
        </w:tc>
        <w:tc>
          <w:tcPr>
            <w:tcW w:w="27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2F20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5DF7D6E4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26EC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train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A191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8011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FE9B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训练（含数据增强）</w:t>
            </w:r>
          </w:p>
        </w:tc>
      </w:tr>
      <w:tr w14:paraId="6AF75CB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E33E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val</w:t>
            </w:r>
          </w:p>
        </w:tc>
        <w:tc>
          <w:tcPr>
            <w:tcW w:w="12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2CF7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1003</w:t>
            </w:r>
          </w:p>
        </w:tc>
        <w:tc>
          <w:tcPr>
            <w:tcW w:w="27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BD27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每个 epoch 验证，按准确率保存最优权重</w:t>
            </w:r>
          </w:p>
        </w:tc>
      </w:tr>
      <w:tr w14:paraId="3A68EE4A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0949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1E11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B89D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最终评估，训练过程完全看不到</w:t>
            </w:r>
          </w:p>
        </w:tc>
      </w:tr>
    </w:tbl>
    <w:p w14:paraId="11510800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1.4 预处理与增强</w:t>
      </w:r>
    </w:p>
    <w:p w14:paraId="49E5896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输入统一做中心方形裁剪</w:t>
      </w:r>
      <w:bookmarkStart w:id="0" w:name="_GoBack"/>
      <w:bookmarkEnd w:id="0"/>
      <w:r>
        <w:rPr>
          <w:rFonts w:ascii="Times New Roman" w:eastAsia="宋体"/>
          <w:color w:val="000000"/>
          <w:sz w:val="24"/>
          <w:szCs w:val="24"/>
        </w:rPr>
        <w:t>再缩放到 224×224（ResNet 的标准输入），按 ImageNet 均值方差归一化。训练增强分两档：基线只用随机翻转和 90° 整倍旋转——皮肤镜图像没有固定方向，这些变换不改变病变含义；改进版另加亮度/对比度扰动、高斯模糊和小角度旋转，用来模拟采集差异。没有用大幅度的颜色抖动，因为颜色本身是判别依据，不能破坏。</w:t>
      </w:r>
    </w:p>
    <w:p w14:paraId="04AEE231">
      <w:pPr>
        <w:pStyle w:val="2"/>
        <w:spacing w:before="360" w:after="160" w:line="380" w:lineRule="atLeas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二、实验方案（模型原理和改进）</w:t>
      </w:r>
    </w:p>
    <w:p w14:paraId="7B42E315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2.1 基线：随机初始化的 ResNet18</w:t>
      </w:r>
    </w:p>
    <w:p w14:paraId="0C33E4F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基线用 ResNet18（He 等，2016）：4 个残差阶段，每阶段 2 个基本残差块，最后接全局平均池化和全连接层，约 1170 万参数。残差结构 y = F(x) + x 让梯度能直接回传，是深度网络的标配。基线从随机初始化开始训练，用普通交叉熵，30 个 epoch，代表不带任何先验知识的起点。</w:t>
      </w:r>
    </w:p>
    <w:p w14:paraId="14002E6B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2.2 改进一：ImageNet 预训练初始化</w:t>
      </w:r>
    </w:p>
    <w:p w14:paraId="78FBA09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预训练模型在 ImageNet 上学到的边缘、纹理、颜色块状等低中层特征，对皮肤镜图像同样有用。改进版用 ImageNet 权重初始化骨干、把最后的全连接层换成 7 类输出，然后整体微调。对每类只有几十张图的稀有类来说，这等于免费带了一个会看图的起点。</w:t>
      </w:r>
    </w:p>
    <w:p w14:paraId="44002EB9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2.3 改进二：按类频率加权采样</w:t>
      </w:r>
    </w:p>
    <w:p w14:paraId="562AA06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均匀采样时一个 epoch 里 df 只出现约 97 次、nv 出现 5360 次，梯度基本被 nv 支配。改进版用 WeightedRandomSampler，按类频率的倒数给每张图采样权重（归一化后 df 为 1.0、nv 为 0.018），让每个 epoch 里七类的出现次数接近。跟在损失函数里加权相比，采样加权跟 BatchNorm 配合更稳，实现也简单。</w:t>
      </w:r>
    </w:p>
    <w:p w14:paraId="27B47642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2.4 改进三：针对采集差异的强增强</w:t>
      </w:r>
    </w:p>
    <w:p w14:paraId="04EDFBA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即 1.4 节说的颜色扰动、模糊和小角度旋转，目的是扩大训练分布的覆盖，缓解稀有类过拟合。</w:t>
      </w:r>
    </w:p>
    <w:p w14:paraId="44E97726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2.5 训练配置</w:t>
      </w:r>
    </w:p>
    <w:p w14:paraId="3FB3DF7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两个模型用同一份数据划分、同样的轮数和优化器，只差三项改进，保证对比公平，具体见表 3。实验在单张 RTX 4090 上跑，PyTorch 2.11，两个模型各 30 个 epoch，总共约 25 分钟，随机种子固定 42，结果可以复现。</w:t>
      </w:r>
    </w:p>
    <w:p w14:paraId="1F3CE3E2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3  训练配置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3164"/>
        <w:gridCol w:w="3164"/>
      </w:tblGrid>
      <w:tr w14:paraId="1A2223F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003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18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2FF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基线</w:t>
            </w:r>
          </w:p>
        </w:tc>
        <w:tc>
          <w:tcPr>
            <w:tcW w:w="18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B078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改进版</w:t>
            </w:r>
          </w:p>
        </w:tc>
      </w:tr>
      <w:tr w14:paraId="2CA713C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3ED0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初始化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1D67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随机初始化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93B1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ImageNet 预训练微调</w:t>
            </w:r>
          </w:p>
        </w:tc>
      </w:tr>
      <w:tr w14:paraId="18FAFE7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3689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损失函数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B1B4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交叉熵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7DF9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交叉熵</w:t>
            </w:r>
          </w:p>
        </w:tc>
      </w:tr>
      <w:tr w14:paraId="142D049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D809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采样方式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8057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均匀采样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9B51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类频率倒数加权采样</w:t>
            </w:r>
          </w:p>
        </w:tc>
      </w:tr>
      <w:tr w14:paraId="6D2AEAA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3D85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数据增强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C146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翻转 / 旋转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3B0F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加颜色扰动 / 模糊 / 小角度旋转</w:t>
            </w:r>
          </w:p>
        </w:tc>
      </w:tr>
      <w:tr w14:paraId="38A0EC9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8B98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优化器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3826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AdamW，lr=1e-3，weight decay=1e-4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B997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同左</w:t>
            </w:r>
          </w:p>
        </w:tc>
      </w:tr>
      <w:tr w14:paraId="2C11196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50A5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学习率调度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80B8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余弦退火，30 epochs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87D6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同左</w:t>
            </w:r>
          </w:p>
        </w:tc>
      </w:tr>
      <w:tr w14:paraId="33A2ABFA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B1F1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批大小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C16A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7A9A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同左</w:t>
            </w:r>
          </w:p>
        </w:tc>
      </w:tr>
      <w:tr w14:paraId="7B6B71F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D5DF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模型选择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2B47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验证集准确率最优权重</w:t>
            </w:r>
          </w:p>
        </w:tc>
        <w:tc>
          <w:tcPr>
            <w:tcW w:w="18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BAB9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同左</w:t>
            </w:r>
          </w:p>
        </w:tc>
      </w:tr>
    </w:tbl>
    <w:p w14:paraId="7A3FC43C">
      <w:pPr>
        <w:pStyle w:val="2"/>
        <w:spacing w:before="360" w:after="160" w:line="380" w:lineRule="atLeas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三、评价指标</w:t>
      </w:r>
    </w:p>
    <w:p w14:paraId="7649D17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类别不平衡时总体准确率会被大类主导，所以除了准确率，主要看这几个指标，定义和选用理由见表 4。简单说：平衡准确率是七类召回率的平均，是最核心的一个数；每类的召回率有直接的临床含义，黑色素瘤的召回率低就等于漏诊率高，而漏诊一例黑色素瘤的代价远大于把痣误判。</w:t>
      </w:r>
    </w:p>
    <w:p w14:paraId="2626E3D2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4  评价指标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3339"/>
        <w:gridCol w:w="3340"/>
      </w:tblGrid>
      <w:tr w14:paraId="518E24CC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718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0E8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9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104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为什么看它</w:t>
            </w:r>
          </w:p>
        </w:tc>
      </w:tr>
      <w:tr w14:paraId="5665A419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3399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D886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总体判对的比例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F634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参考值；全猜 nv 也有 66.9%</w:t>
            </w:r>
          </w:p>
        </w:tc>
      </w:tr>
      <w:tr w14:paraId="5450EE8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AE55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Balanced Accuracy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1D22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各类召回率的平均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ECD0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不平衡场景最核心的单一指标</w:t>
            </w:r>
          </w:p>
        </w:tc>
      </w:tr>
      <w:tr w14:paraId="2BCF141D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C904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Macro F1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4F56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各类 F1 取平均（不加权）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7BB4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精确率召回率都算，稀有类大类同权</w:t>
            </w:r>
          </w:p>
        </w:tc>
      </w:tr>
      <w:tr w14:paraId="4E48F9F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0895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Macro AUC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581C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一对其余 AUC 的平均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838D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跟阈值无关的排序能力</w:t>
            </w:r>
          </w:p>
        </w:tc>
      </w:tr>
      <w:tr w14:paraId="22E458D5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4371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每类召回率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F70B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每类找回来多少</w:t>
            </w:r>
          </w:p>
        </w:tc>
        <w:tc>
          <w:tcPr>
            <w:tcW w:w="1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AE59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mel 的召回率就是漏诊率的反面</w:t>
            </w:r>
          </w:p>
        </w:tc>
      </w:tr>
      <w:tr w14:paraId="0F96913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B10B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混淆矩阵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C419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每个真类被分成谁</w:t>
            </w:r>
          </w:p>
        </w:tc>
        <w:tc>
          <w:tcPr>
            <w:tcW w:w="19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FAEF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直观看错在哪</w:t>
            </w:r>
          </w:p>
        </w:tc>
      </w:tr>
    </w:tbl>
    <w:p w14:paraId="5AF35201">
      <w:pPr>
        <w:pStyle w:val="2"/>
        <w:spacing w:before="360" w:after="160" w:line="380" w:lineRule="atLeas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四、实验结果与分析</w:t>
      </w:r>
    </w:p>
    <w:p w14:paraId="38317EC4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4.1 总体指标</w:t>
      </w:r>
    </w:p>
    <w:p w14:paraId="3BF0F85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 1001 张测试图上的总体结果见表 5。</w:t>
      </w:r>
    </w:p>
    <w:p w14:paraId="213AD5D8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5  测试集总体指标（n=1001）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2021"/>
        <w:gridCol w:w="2373"/>
        <w:gridCol w:w="1758"/>
      </w:tblGrid>
      <w:tr w14:paraId="284E40B5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3AA2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1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E37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基线</w:t>
            </w:r>
          </w:p>
        </w:tc>
        <w:tc>
          <w:tcPr>
            <w:tcW w:w="13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B9F1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改进版</w:t>
            </w:r>
          </w:p>
        </w:tc>
        <w:tc>
          <w:tcPr>
            <w:tcW w:w="10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3313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提升</w:t>
            </w:r>
          </w:p>
        </w:tc>
      </w:tr>
      <w:tr w14:paraId="136DCF72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CF69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1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77F6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0.7772</w:t>
            </w:r>
          </w:p>
        </w:tc>
        <w:tc>
          <w:tcPr>
            <w:tcW w:w="1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EB08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0.8272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A97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+5.0 pt</w:t>
            </w:r>
          </w:p>
        </w:tc>
      </w:tr>
      <w:tr w14:paraId="4A920CA1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089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Balanced Accuracy</w:t>
            </w:r>
          </w:p>
        </w:tc>
        <w:tc>
          <w:tcPr>
            <w:tcW w:w="11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3578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0.6146</w:t>
            </w:r>
          </w:p>
        </w:tc>
        <w:tc>
          <w:tcPr>
            <w:tcW w:w="13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479B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0.7261</w:t>
            </w:r>
          </w:p>
        </w:tc>
        <w:tc>
          <w:tcPr>
            <w:tcW w:w="10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AE1F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+11.2 pt</w:t>
            </w:r>
          </w:p>
        </w:tc>
      </w:tr>
      <w:tr w14:paraId="1A17C0F7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DA93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Macro F1</w:t>
            </w:r>
          </w:p>
        </w:tc>
        <w:tc>
          <w:tcPr>
            <w:tcW w:w="11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A7E9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0.6071</w:t>
            </w:r>
          </w:p>
        </w:tc>
        <w:tc>
          <w:tcPr>
            <w:tcW w:w="13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ED78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0.7079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A584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+10.1 pt</w:t>
            </w:r>
          </w:p>
        </w:tc>
      </w:tr>
      <w:tr w14:paraId="13855F2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5EC5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Macro AUC</w:t>
            </w:r>
          </w:p>
        </w:tc>
        <w:tc>
          <w:tcPr>
            <w:tcW w:w="11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A60F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0.9384</w:t>
            </w:r>
          </w:p>
        </w:tc>
        <w:tc>
          <w:tcPr>
            <w:tcW w:w="13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592B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0.9610</w:t>
            </w:r>
          </w:p>
        </w:tc>
        <w:tc>
          <w:tcPr>
            <w:tcW w:w="10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0D0F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+2.3 pt</w:t>
            </w:r>
          </w:p>
        </w:tc>
      </w:tr>
    </w:tbl>
    <w:p w14:paraId="0E5ECA71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改进版四项指标全部超过基线，而且</w:t>
      </w:r>
      <w:r>
        <w:rPr>
          <w:rFonts w:ascii="Times New Roman" w:eastAsia="宋体"/>
          <w:b/>
          <w:bCs/>
          <w:color w:val="000000"/>
          <w:sz w:val="24"/>
          <w:szCs w:val="24"/>
        </w:rPr>
        <w:t>越公平的指标提升越大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：平衡准确率涨了 11.2 个百分点，总体准确率只涨 5.0 个。说明提升主要来自稀有类，不是靠把大类做得更好。四项指标都在文献常见范围内（ResNet 级模型：准确率 0.83–0.87，平衡准确率 0.65–0.75，宏 AUC 0.91–0.94），宏 AUC 0.961 略高于常见水平。</w:t>
      </w:r>
    </w:p>
    <w:p w14:paraId="6DA5B2AB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4.2 每类召回率</w:t>
      </w:r>
    </w:p>
    <w:p w14:paraId="663917E5">
      <w:pPr>
        <w:keepNext/>
        <w:spacing w:before="160" w:after="80"/>
        <w:jc w:val="center"/>
      </w:pPr>
      <w:r>
        <w:rPr>
          <w:rFonts w:ascii="Times New Roman" w:eastAsia="宋体"/>
          <w:b/>
          <w:bCs/>
          <w:color w:val="000000"/>
          <w:sz w:val="21"/>
          <w:szCs w:val="21"/>
        </w:rPr>
        <w:t>表 6  每类召回率对比</w:t>
      </w:r>
    </w:p>
    <w:tbl>
      <w:tblPr>
        <w:tblStyle w:val="11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1494"/>
        <w:gridCol w:w="1670"/>
        <w:gridCol w:w="1670"/>
        <w:gridCol w:w="1670"/>
      </w:tblGrid>
      <w:tr w14:paraId="6C0FFDB0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214D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8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50C9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测试图数</w:t>
            </w:r>
          </w:p>
        </w:tc>
        <w:tc>
          <w:tcPr>
            <w:tcW w:w="9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8BC6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基线</w:t>
            </w:r>
          </w:p>
        </w:tc>
        <w:tc>
          <w:tcPr>
            <w:tcW w:w="9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26CE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改进版</w:t>
            </w:r>
          </w:p>
        </w:tc>
        <w:tc>
          <w:tcPr>
            <w:tcW w:w="950" w:type="pct"/>
            <w:shd w:val="clear" w:color="auto" w:fill="1B6B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6A17">
            <w:pPr>
              <w:spacing w:line="280" w:lineRule="auto"/>
              <w:jc w:val="center"/>
            </w:pPr>
            <w:r>
              <w:rPr>
                <w:rFonts w:ascii="Times New Roman" w:eastAsia="宋体"/>
                <w:b/>
                <w:bCs/>
                <w:color w:val="FFFFFF"/>
                <w:sz w:val="20"/>
                <w:szCs w:val="20"/>
              </w:rPr>
              <w:t>变化</w:t>
            </w:r>
          </w:p>
        </w:tc>
      </w:tr>
      <w:tr w14:paraId="6EB8286B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1202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akiec（癌前病变）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2C9A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692D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0.324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495B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0.324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7784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±0</w:t>
            </w:r>
          </w:p>
        </w:tc>
      </w:tr>
      <w:tr w14:paraId="77BC11B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BAB1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bcc（恶性）</w:t>
            </w:r>
          </w:p>
        </w:tc>
        <w:tc>
          <w:tcPr>
            <w:tcW w:w="8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14B2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A966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0.580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BE00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0.740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D05F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+16 pt</w:t>
            </w:r>
          </w:p>
        </w:tc>
      </w:tr>
      <w:tr w14:paraId="0A8C232D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4A1FD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bkl（良性）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C98F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0E04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0.551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D3AB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0.720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312D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+17 pt</w:t>
            </w:r>
          </w:p>
        </w:tc>
      </w:tr>
      <w:tr w14:paraId="2EA75436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C8C8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df（良性）</w:t>
            </w:r>
          </w:p>
        </w:tc>
        <w:tc>
          <w:tcPr>
            <w:tcW w:w="8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B232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67FF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EDF7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3678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+25 pt</w:t>
            </w:r>
          </w:p>
        </w:tc>
      </w:tr>
      <w:tr w14:paraId="1BB3D585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3265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mel（恶性）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0A2E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72CB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E752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0.646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075E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+20 pt</w:t>
            </w:r>
          </w:p>
        </w:tc>
      </w:tr>
      <w:tr w14:paraId="30AD281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2A8F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nv（良性，大类）</w:t>
            </w:r>
          </w:p>
        </w:tc>
        <w:tc>
          <w:tcPr>
            <w:tcW w:w="8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96DF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674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CAC2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0.905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BA00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0.904</w:t>
            </w:r>
          </w:p>
        </w:tc>
        <w:tc>
          <w:tcPr>
            <w:tcW w:w="950" w:type="pct"/>
            <w:shd w:val="clear" w:color="auto" w:fill="EDF3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8BD8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±0</w:t>
            </w:r>
          </w:p>
        </w:tc>
      </w:tr>
      <w:tr w14:paraId="161BDD2E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CAF4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vasc</w:t>
            </w:r>
          </w:p>
        </w:tc>
        <w:tc>
          <w:tcPr>
            <w:tcW w:w="8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1F6F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D835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4022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5A46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±0</w:t>
            </w:r>
          </w:p>
        </w:tc>
      </w:tr>
    </w:tbl>
    <w:p w14:paraId="47A0945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五个类召回率明显提高，最重要的是黑色素瘤从 0.442 提到 0.646。大类 nv 的召回一点没掉，精确率反而从 0.865 涨到 0.944——加权采样并没有牺牲大类，稀有类学好了之后，原来被错吸到 nv 边上的样本反而少了。唯一没动的是 akiec（0.324，测试集只有 34 张），它和 bkl 在临床上本来就是连续谱系，是这个数据集公认的难点。</w:t>
      </w:r>
    </w:p>
    <w:p w14:paraId="16E8A2D3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4.3 混淆矩阵</w:t>
      </w:r>
    </w:p>
    <w:p w14:paraId="7DC8EC4B">
      <w:pPr>
        <w:keepNext/>
        <w:spacing w:before="120"/>
        <w:jc w:val="center"/>
      </w:pPr>
      <w:r>
        <w:drawing>
          <wp:inline distT="0" distB="0" distL="0" distR="0">
            <wp:extent cx="3810000" cy="3219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BAB2">
      <w:pPr>
        <w:spacing w:before="80" w:after="160"/>
        <w:jc w:val="center"/>
      </w:pPr>
      <w:r>
        <w:rPr>
          <w:rFonts w:ascii="Times New Roman" w:eastAsia="宋体"/>
          <w:color w:val="404040"/>
          <w:sz w:val="21"/>
          <w:szCs w:val="21"/>
        </w:rPr>
        <w:t>图 3  基线混淆矩阵（行归一化）</w:t>
      </w:r>
    </w:p>
    <w:p w14:paraId="3C966B27">
      <w:pPr>
        <w:keepNext/>
        <w:spacing w:before="120"/>
        <w:jc w:val="center"/>
      </w:pPr>
      <w:r>
        <w:drawing>
          <wp:inline distT="0" distB="0" distL="0" distR="0">
            <wp:extent cx="3810000" cy="3219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0DA1">
      <w:pPr>
        <w:spacing w:before="80" w:after="160"/>
        <w:jc w:val="center"/>
      </w:pPr>
      <w:r>
        <w:rPr>
          <w:rFonts w:ascii="Times New Roman" w:eastAsia="宋体"/>
          <w:color w:val="404040"/>
          <w:sz w:val="21"/>
          <w:szCs w:val="21"/>
        </w:rPr>
        <w:t>图 4  改进版混淆矩阵（行归一化）</w:t>
      </w:r>
    </w:p>
    <w:p w14:paraId="1D324DB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基线（图 3）的典型错误是往 nv 塌：41.6% 的黑色素瘤被判成痣，11.5% 判成良性角化，这两块恶性流失就是它平衡准确率只有 0.615 的原因。改进版（图 4）把 mel 判成 nv 的比例砍了一半（41.6% 到 21.2%）。剩下的混淆集中在 akiec 和 bkl 之间（17.6% 到 26.5%）以及 bkl 和 mel 之间，这些确实是长得像的类，属于任务本身的难度，不是训练策略的问题。</w:t>
      </w:r>
    </w:p>
    <w:p w14:paraId="3BBFFB27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4.4 训练过程</w:t>
      </w:r>
    </w:p>
    <w:p w14:paraId="6E5C10BE">
      <w:pPr>
        <w:keepNext/>
        <w:spacing w:before="120"/>
        <w:jc w:val="center"/>
      </w:pPr>
      <w:r>
        <w:drawing>
          <wp:inline distT="0" distB="0" distL="0" distR="0">
            <wp:extent cx="4762500" cy="182994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C823">
      <w:pPr>
        <w:spacing w:before="80" w:after="160"/>
        <w:jc w:val="center"/>
      </w:pPr>
      <w:r>
        <w:rPr>
          <w:rFonts w:ascii="Times New Roman" w:eastAsia="宋体"/>
          <w:color w:val="404040"/>
          <w:sz w:val="21"/>
          <w:szCs w:val="21"/>
        </w:rPr>
        <w:t>图 5  训练曲线：损失（左）与准确率（右）</w:t>
      </w:r>
    </w:p>
    <w:p w14:paraId="0C66A3F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从图 5 能看出三点。第一，前 5 个 epoch 两个模型验证准确率差不多（0.69 对 0.70），但最后改进版到 0.819、基线停在 0.776，预训练的价值在后期泛化而不是前期收敛。第二，两个模型训练准确率都明显高于验证准确率（改进版 0.983 对 0.812），说明 8000 张图的规模下过拟合还是存在，强增强把它压在了可接受的范围（验证损失没有发散）。第三，改进版后期验证曲线在 0.80 到 0.82 之间晃，这是加权采样下每个 epoch 类别组成有随机性，正常现象，按验证准确率存最优权重就行。</w:t>
      </w:r>
    </w:p>
    <w:p w14:paraId="006B8CD6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4.5 不足</w:t>
      </w:r>
    </w:p>
    <w:p w14:paraId="23335F1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有两点不足要说明。一是三项改进是打包对比的，没有逐项拆开消融，各自贡献多少说不准：按文献经验和上面的结果推断，预训练主要贡献总体精度，加权采样主要贡献稀有类召回，强增强负责压过拟合，拆开验证每条只要 10 分钟，是后续最直接的补充。二是 akiec 的召回没有改善，加上测试集只有 1001 张，个别稀有类的结论置信度有限。</w:t>
      </w:r>
    </w:p>
    <w:p w14:paraId="3A628408">
      <w:pPr>
        <w:pStyle w:val="3"/>
        <w:spacing w:before="240" w:after="120" w:line="350" w:lineRule="atLeast"/>
      </w:pPr>
      <w:r>
        <w:rPr>
          <w:rFonts w:ascii="Times New Roman" w:eastAsia="黑体"/>
          <w:b/>
          <w:bCs/>
          <w:color w:val="000000"/>
          <w:sz w:val="28"/>
          <w:szCs w:val="28"/>
        </w:rPr>
        <w:t>4.6 复现方式</w:t>
      </w:r>
    </w:p>
    <w:p w14:paraId="124BBBA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全部流程可以用仓库脚本重跑：parquet_extract.py 负责数据还原、过滤和划分；train.py 用同样的种子分别训练基线和改进版；evaluate.py 输出指标、每类报告、混淆矩阵；训练日志和最优权重都留在 outputs/ 目录下。</w:t>
      </w:r>
    </w:p>
    <w:p w14:paraId="5F13934A">
      <w:pPr>
        <w:pStyle w:val="2"/>
        <w:spacing w:before="360" w:after="160" w:line="380" w:lineRule="atLeas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五、改进方向</w:t>
      </w:r>
    </w:p>
    <w:p w14:paraId="6563FDA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按值得做的程度排序：</w:t>
      </w:r>
    </w:p>
    <w:p w14:paraId="41189B62">
      <w:pPr>
        <w:spacing w:after="40" w:line="312" w:lineRule="auto"/>
        <w:ind w:left="480" w:hanging="480"/>
        <w:jc w:val="both"/>
      </w:pPr>
      <w:r>
        <w:rPr>
          <w:rFonts w:ascii="Times New Roman" w:eastAsia="宋体"/>
          <w:color w:val="000000"/>
          <w:sz w:val="24"/>
          <w:szCs w:val="24"/>
        </w:rPr>
        <w:t>1. 把三项改进拆开做消融，确认各自的贡献；再换 ResNet50 或 EfficientNet 级别的骨干，这个数据量下一般还能再涨 2 到 3 个百分点。</w:t>
      </w:r>
    </w:p>
    <w:p w14:paraId="4CBE29DD">
      <w:pPr>
        <w:spacing w:after="40" w:line="312" w:lineRule="auto"/>
        <w:ind w:left="480" w:hanging="480"/>
        <w:jc w:val="both"/>
      </w:pPr>
      <w:r>
        <w:rPr>
          <w:rFonts w:ascii="Times New Roman" w:eastAsia="宋体"/>
          <w:color w:val="000000"/>
          <w:sz w:val="24"/>
          <w:szCs w:val="24"/>
        </w:rPr>
        <w:t>2. akiec 和 bkl 是连续谱系，光靠采样救不回来，可以试结构化损失（把 akiec 错分成 bkl 和错分成 nv 区别对待），或者利用 metadata 里的确诊手段字段对标注不确定性加权。</w:t>
      </w:r>
    </w:p>
    <w:p w14:paraId="6444BC32">
      <w:pPr>
        <w:spacing w:after="40" w:line="312" w:lineRule="auto"/>
        <w:ind w:left="480" w:hanging="480"/>
        <w:jc w:val="both"/>
      </w:pPr>
      <w:r>
        <w:rPr>
          <w:rFonts w:ascii="Times New Roman" w:eastAsia="宋体"/>
          <w:color w:val="000000"/>
          <w:sz w:val="24"/>
          <w:szCs w:val="24"/>
        </w:rPr>
        <w:t>3. 同一个病灶的多张图现在是一张一张预测的，推理时按病灶聚合概率再判，既符合医生看多张图的习惯，一般也能再涨 1 到 2 个百分点。</w:t>
      </w:r>
    </w:p>
    <w:p w14:paraId="12A35E25">
      <w:pPr>
        <w:spacing w:after="40" w:line="312" w:lineRule="auto"/>
        <w:ind w:left="480" w:hanging="480"/>
        <w:jc w:val="both"/>
      </w:pPr>
      <w:r>
        <w:rPr>
          <w:rFonts w:ascii="Times New Roman" w:eastAsia="宋体"/>
          <w:color w:val="000000"/>
          <w:sz w:val="24"/>
          <w:szCs w:val="24"/>
        </w:rPr>
        <w:t>4. 加测试时增强（翻转旋转取平均）和按验证集选各类阈值，在可控的精度损失下把黑色素瘤召回再往上提。</w:t>
      </w:r>
    </w:p>
    <w:p w14:paraId="054E763A">
      <w:pPr>
        <w:spacing w:after="40" w:line="312" w:lineRule="auto"/>
        <w:ind w:left="480" w:hanging="480"/>
        <w:jc w:val="both"/>
      </w:pPr>
      <w:r>
        <w:rPr>
          <w:rFonts w:ascii="Times New Roman" w:eastAsia="宋体"/>
          <w:color w:val="000000"/>
          <w:sz w:val="24"/>
          <w:szCs w:val="24"/>
        </w:rPr>
        <w:t>5. 用 Grad-CAM 画出模型关注的区域，检查它是不是学到了标尺、毛发这类假线索，对医学应用来说这个检查很有说服力。</w:t>
      </w:r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A6AE8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CB342B"/>
    <w:rsid w:val="58C76641"/>
    <w:rsid w:val="7A9D4E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80" w:lineRule="auto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50" w:lineRule="auto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3319</Words>
  <Characters>4262</Characters>
  <TotalTime>25</TotalTime>
  <ScaleCrop>false</ScaleCrop>
  <LinksUpToDate>false</LinksUpToDate>
  <CharactersWithSpaces>4578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2026-09-21T16:39:00Z</dcterms:created>
  <dc:creator>Course Project</dc:creator>
  <cp:lastModifiedBy>知白守黑</cp:lastModifiedBy>
  <dcterms:modified xsi:type="dcterms:W3CDTF">2026-09-28T10:42:01Z</dcterms:modified>
  <dc:title>基于皮肤镜图像的皮肤病变分类实验报告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eyJoZGlkIjoiMmZjMTYxNTA0OTk1MWEwMjQ1YTUwODMzZTQzN2E4ZDYiLCJ1c2VySWQiOiIzMzUzMzY5NjAifQ==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ECEE18CB4B2F4AFD9ADE2D50C989FBCE_12</vt:lpwstr>
  </property>
</Properties>
</file>