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/>
              <w:left w:val="none"/>
              <w:bottom w:val="none"/>
              <w:right w:val="none"/>
            </w:tcBorders>
            <w:shd w:fill="162235" w:val="clear"/>
          </w:tcPr>
          <w:p>
            <w:pPr>
              <w:spacing w:before="3737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S  K  I  N     L  E  S  I  O  N     C  L  A  S  S  I  F  I  C  A  T  I  O  N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基于迁移学习与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类别平衡策略的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皮肤镜图像皮肤病变分类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HAM10000 数据集课程实践实验报告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课程实践：基于皮肤镜图像的皮肤病变分类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数据集：HAM10000（10015 张图像，7 类病变）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报告日期：2026 年 9 月</w:t>
            </w:r>
          </w:p>
          <w:p>
            <w:pPr>
              <w:spacing w:before="3737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Course Project Report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September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00" w:before="240"/>
        <w:jc w:val="center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摘  要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皮肤镜图像的自动分类是皮肤癌辅助筛查的关键技术。本实验在公开数据集 HAM10000（10015 张皮肤镜图像、7 类病变）上完成病变分类系统的搭建与改进。针对该数据集两个核心难点——类别严重不平衡（最多的黑色素细胞痣 6705 张，最少的皮肤纤维瘤仅 115 张，相差 58 倍）与同病灶多图带来的数据泄漏风险，实验采取了按病灶分组划分数据、迁移学习初始化、按类频率倒数加权采样与面向采集差异的强数据增强等措施。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实验分三个阶段推进：阶段一完成数据获取、清洗与划分，并训练随机初始化的 ResNet18 基线；阶段二针对基线暴露的稀有类召回过低问题实施三项改进（ImageNet 预训练微调、加权采样、强增强）；阶段三完成以平衡准确率为核心的测试集评估与误差分析。最终，改进模型在按病灶分组的 1001 张测试图上取得总体准确率 0.8272、平衡准确率 0.7261、宏平均 F1 0.7079、宏平均 AUC 0.9610，相对基线分别提升 5.0、11.2、10.1、2.3 个百分点；其中临床意义最重要的黑色素瘤召回率由 0.442 提升至 0.646。全部代码、日志与权重可由仓库脚本复现。</w:t>
      </w:r>
    </w:p>
    <w:p>
      <w:pPr>
        <w:spacing w:after="100" w:before="200"/>
      </w:pPr>
      <w:r>
        <w:rPr>
          <w:rFonts w:ascii="Times New Roman" w:eastAsia="SimHei"/>
          <w:b/>
          <w:bCs/>
          <w:color w:val="000000"/>
          <w:sz w:val="24"/>
          <w:szCs w:val="24"/>
        </w:rPr>
        <w:t xml:space="preserve">关键词：</w:t>
      </w:r>
      <w:r>
        <w:rPr>
          <w:rFonts w:ascii="Times New Roman" w:eastAsia="SimSun"/>
          <w:color w:val="000000"/>
          <w:sz w:val="24"/>
          <w:szCs w:val="24"/>
        </w:rPr>
        <w:t xml:space="preserve">皮肤病变分类；HAM10000；类别不平衡；迁移学习；卷积神经网络</w:t>
      </w:r>
      <w:r>
        <w:br w:type="page"/>
      </w:r>
    </w:p>
    <w:p>
      <w:pPr>
        <w:spacing w:after="360" w:before="480"/>
        <w:jc w:val="center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一、数据集说明与预处理方法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1.1 数据集介绍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1.2 数据获取与还原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1.3 数据划分：按病灶分组，防止泄漏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1.4 图像预处理与增强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二、实验方案（模型原理和改进）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2.1 基线：随机初始化的 ResNet18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2.2 改进一：ImageNet 迁移学习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2.3 改进二：类别加权采样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2.4 改进三：面向采集差异的强增强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2.5 训练配置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三、评价指标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四、实验结果与分析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4.1 总体指标对比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4.2 逐类召回率对比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4.3 混淆矩阵分析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4.4 训练过程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4.5 消融说明与局限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4.6 复现清单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五、改进方向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参考文献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SimSun"/>
          <w:i/>
          <w:iCs/>
          <w:color w:val="888888"/>
          <w:sz w:val="18"/>
          <w:szCs w:val="18"/>
        </w:rPr>
        <w:t xml:space="preserve">注：本目录由域代码生成。如编辑文档后页码变动，请在目录上右键选择“更新域”以刷新页码。</w:t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spacing w:after="160" w:before="360" w:line="380" w:lineRule="atLeast"/>
      </w:pPr>
      <w:bookmarkStart w:id="100000" w:name="_Toc100000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一、数据集说明与预处理方法</w:t>
      </w:r>
      <w:bookmarkEnd w:id="100000"/>
    </w:p>
    <w:p>
      <w:pPr>
        <w:pStyle w:val="Heading2"/>
        <w:spacing w:after="120" w:before="240" w:line="350" w:lineRule="atLeast"/>
      </w:pPr>
      <w:bookmarkStart w:id="100001" w:name="_Toc100001"/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1.1 数据集介绍</w:t>
      </w:r>
      <w:bookmarkEnd w:id="100001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HAM10000（Human Against Machine with 10000 training images，Tschandl 等，2018）是皮肤病变分类最常用的公开数据集，在 ISIC 国际皮肤成像挑战赛生态中被广泛使用。数据由奥地利维也纳医科大学皮肤科与澳大利亚 Rosendahl 皮肤诊所超过 20 年的临床积累构成，本实验使用其官方发布版本：共 10015 张皮肤镜图像（JPEG，约 600×450 像素），对应 7470 个独立病灶——同一病灶常有多张不同角度、不同焦距的照片，这一特点对数据划分方式有直接影响（见 1.3 节）。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全部图像标注为 7 类病变，各类别数量与占比如表 1 所示。</w:t>
      </w:r>
    </w:p>
    <w:p>
      <w:pPr>
        <w:keepNext/>
        <w:spacing w:after="80" w:before="16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表 1  HAM10000 类别分布</w:t>
      </w:r>
    </w:p>
    <w:tbl>
      <w:tblPr>
        <w:tblW w:type="pct" w:w="100%"/>
        <w:tblBorders>
          <w:top w:val="single" w:color="1B6B7A" w:sz="6"/>
          <w:left w:val="none"/>
          <w:bottom w:val="single" w:color="1B6B7A" w:sz="6"/>
          <w:right w:val="none"/>
          <w:insideH w:val="single" w:color="C8DDE2" w:sz="2"/>
          <w:insideV w:val="none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类别代码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病变名称</w:t>
            </w:r>
          </w:p>
        </w:tc>
        <w:tc>
          <w:tcPr>
            <w:tcW w:type="pct" w:w="18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性质</w:t>
            </w:r>
          </w:p>
        </w:tc>
        <w:tc>
          <w:tcPr>
            <w:tcW w:type="pct" w:w="16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图像数</w:t>
            </w:r>
          </w:p>
        </w:tc>
        <w:tc>
          <w:tcPr>
            <w:tcW w:type="pct" w:w="16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占比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nv</w:t>
            </w:r>
          </w:p>
        </w:tc>
        <w:tc>
          <w:tcPr>
            <w:tcW w:type="pct" w:w="34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黑色素细胞痣</w:t>
            </w:r>
          </w:p>
        </w:tc>
        <w:tc>
          <w:tcPr>
            <w:tcW w:type="pct" w:w="18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良性</w:t>
            </w:r>
          </w:p>
        </w:tc>
        <w:tc>
          <w:tcPr>
            <w:tcW w:type="pct" w:w="1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6705</w:t>
            </w:r>
          </w:p>
        </w:tc>
        <w:tc>
          <w:tcPr>
            <w:tcW w:type="pct" w:w="1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66.9%</w:t>
            </w:r>
          </w:p>
        </w:tc>
      </w:tr>
      <w:tr>
        <w:trPr>
          <w:cantSplit/>
        </w:trPr>
        <w:tc>
          <w:tcPr>
            <w:tcW w:type="pct" w:w="1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mel</w:t>
            </w:r>
          </w:p>
        </w:tc>
        <w:tc>
          <w:tcPr>
            <w:tcW w:type="pct" w:w="34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黑色素瘤</w:t>
            </w:r>
          </w:p>
        </w:tc>
        <w:tc>
          <w:tcPr>
            <w:tcW w:type="pct" w:w="18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恶性</w:t>
            </w:r>
          </w:p>
        </w:tc>
        <w:tc>
          <w:tcPr>
            <w:tcW w:type="pct" w:w="1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1113</w:t>
            </w:r>
          </w:p>
        </w:tc>
        <w:tc>
          <w:tcPr>
            <w:tcW w:type="pct" w:w="1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11.1%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bkl</w:t>
            </w:r>
          </w:p>
        </w:tc>
        <w:tc>
          <w:tcPr>
            <w:tcW w:type="pct" w:w="34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良性角化病</w:t>
            </w:r>
          </w:p>
        </w:tc>
        <w:tc>
          <w:tcPr>
            <w:tcW w:type="pct" w:w="18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良性</w:t>
            </w:r>
          </w:p>
        </w:tc>
        <w:tc>
          <w:tcPr>
            <w:tcW w:type="pct" w:w="1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1099</w:t>
            </w:r>
          </w:p>
        </w:tc>
        <w:tc>
          <w:tcPr>
            <w:tcW w:type="pct" w:w="1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11.0%</w:t>
            </w:r>
          </w:p>
        </w:tc>
      </w:tr>
      <w:tr>
        <w:trPr>
          <w:cantSplit/>
        </w:trPr>
        <w:tc>
          <w:tcPr>
            <w:tcW w:type="pct" w:w="1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bcc</w:t>
            </w:r>
          </w:p>
        </w:tc>
        <w:tc>
          <w:tcPr>
            <w:tcW w:type="pct" w:w="34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基底细胞癌</w:t>
            </w:r>
          </w:p>
        </w:tc>
        <w:tc>
          <w:tcPr>
            <w:tcW w:type="pct" w:w="18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恶性</w:t>
            </w:r>
          </w:p>
        </w:tc>
        <w:tc>
          <w:tcPr>
            <w:tcW w:type="pct" w:w="1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514</w:t>
            </w:r>
          </w:p>
        </w:tc>
        <w:tc>
          <w:tcPr>
            <w:tcW w:type="pct" w:w="1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5.1%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akiec</w:t>
            </w:r>
          </w:p>
        </w:tc>
        <w:tc>
          <w:tcPr>
            <w:tcW w:type="pct" w:w="34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光化性角化病</w:t>
            </w:r>
          </w:p>
        </w:tc>
        <w:tc>
          <w:tcPr>
            <w:tcW w:type="pct" w:w="18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癌前病变</w:t>
            </w:r>
          </w:p>
        </w:tc>
        <w:tc>
          <w:tcPr>
            <w:tcW w:type="pct" w:w="1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327</w:t>
            </w:r>
          </w:p>
        </w:tc>
        <w:tc>
          <w:tcPr>
            <w:tcW w:type="pct" w:w="1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3.3%</w:t>
            </w:r>
          </w:p>
        </w:tc>
      </w:tr>
      <w:tr>
        <w:trPr>
          <w:cantSplit/>
        </w:trPr>
        <w:tc>
          <w:tcPr>
            <w:tcW w:type="pct" w:w="1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vasc</w:t>
            </w:r>
          </w:p>
        </w:tc>
        <w:tc>
          <w:tcPr>
            <w:tcW w:type="pct" w:w="34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血管性病损</w:t>
            </w:r>
          </w:p>
        </w:tc>
        <w:tc>
          <w:tcPr>
            <w:tcW w:type="pct" w:w="18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良性</w:t>
            </w:r>
          </w:p>
        </w:tc>
        <w:tc>
          <w:tcPr>
            <w:tcW w:type="pct" w:w="1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142</w:t>
            </w:r>
          </w:p>
        </w:tc>
        <w:tc>
          <w:tcPr>
            <w:tcW w:type="pct" w:w="1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1.4%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df</w:t>
            </w:r>
          </w:p>
        </w:tc>
        <w:tc>
          <w:tcPr>
            <w:tcW w:type="pct" w:w="34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皮肤纤维瘤</w:t>
            </w:r>
          </w:p>
        </w:tc>
        <w:tc>
          <w:tcPr>
            <w:tcW w:type="pct" w:w="18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良性</w:t>
            </w:r>
          </w:p>
        </w:tc>
        <w:tc>
          <w:tcPr>
            <w:tcW w:type="pct" w:w="1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115</w:t>
            </w:r>
          </w:p>
        </w:tc>
        <w:tc>
          <w:tcPr>
            <w:tcW w:type="pct" w:w="1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1.1%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类别分布高度不平衡：数量最多与最少的类相差 58 倍。更关键的是，临床权重与类别数量倒挂——数量最少的类别中含有恶性程度最高的黑色素瘤。如果模型把所有图像都预测为 nv，总体准确率即可达到 66.9%，但这样的模型在临床上毫无价值。这一事实决定了本实验的评估必须以平衡指标为主（见第三章）。类别分布与各类样例分别如图 1、图 2 所示。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3815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eastAsia="SimSun"/>
          <w:color w:val="404040"/>
          <w:sz w:val="21"/>
          <w:szCs w:val="21"/>
        </w:rPr>
        <w:t xml:space="preserve">图 1  HAM10000 类别分布（10015 张图像，7 类）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eastAsia="SimSun"/>
          <w:color w:val="404040"/>
          <w:sz w:val="21"/>
          <w:szCs w:val="21"/>
        </w:rPr>
        <w:t xml:space="preserve">图 2  七类病变各一张样例图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从样例图可以直接观察到任务的难度：不同类别之间视觉相似度高（如良性角化病与早期黑色素瘤都表现为色斑），同一类别内部外观差异大（黑色素细胞痣从浅棕到深黑均有覆盖）；图像之间还存在色温、亮度、毛发遮挡、标尺入镜等采集差异。这些观察直接指导了后文数据增强策略的设计。</w:t>
      </w:r>
    </w:p>
    <w:p>
      <w:pPr>
        <w:pStyle w:val="Heading2"/>
        <w:spacing w:after="120" w:before="240" w:line="350" w:lineRule="atLeast"/>
      </w:pPr>
      <w:bookmarkStart w:id="100002" w:name="_Toc100002"/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1.2 数据获取与还原</w:t>
      </w:r>
      <w:bookmarkEnd w:id="100002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数据从 Hugging Face 公开镜像（marmal88/skin_cancer，parquet 格式）获取，用脚本 parquet_extract.py 还原为原始图像目录。还原时发现该镜像实际混入了 3339 张 HAM10000 之外的照片（合计 13354 张）。为保证使用的正是官方 HAM10000、结果与文献可比，实验按官方 metadata 清单（10015 个 image_id）做交集过滤，并对分片间的重复行按 image_id 去重。这一步若不处理，数据集规模与构成都将偏离文献设定。</w:t>
      </w:r>
    </w:p>
    <w:p>
      <w:pPr>
        <w:pStyle w:val="Heading2"/>
        <w:spacing w:after="120" w:before="240" w:line="350" w:lineRule="atLeast"/>
      </w:pPr>
      <w:bookmarkStart w:id="100003" w:name="_Toc100003"/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1.3 数据划分：按病灶分组，防止泄漏</w:t>
      </w:r>
      <w:bookmarkEnd w:id="100003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同一病灶的多张照片极其相似（同一天对同一颗病灶拍摄）。如果按图像随机划分训练集与测试集，同一病灶的照片会同时出现在两个集合中，模型可以依靠“记忆”近重复样本获得虚高的指标。正确的做法是按 lesion_id 分组划分：一个病灶的所有照片只能进入同一个集合。需要说明的是，镜像数据自带的 train/val/test 划分正是按图像随机划分的，存在泄漏，本实验未采用，而是自行实现了按病灶分组、按类别分层的划分（每个集合内各类别比例接近一致），划分结果如表 2 所示。</w:t>
      </w:r>
    </w:p>
    <w:p>
      <w:pPr>
        <w:keepNext/>
        <w:spacing w:after="80" w:before="16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表 2  按 lesion_id 分组的数据划分结果</w:t>
      </w:r>
    </w:p>
    <w:tbl>
      <w:tblPr>
        <w:tblW w:type="pct" w:w="100%"/>
        <w:tblBorders>
          <w:top w:val="single" w:color="1B6B7A" w:sz="6"/>
          <w:left w:val="none"/>
          <w:bottom w:val="single" w:color="1B6B7A" w:sz="6"/>
          <w:right w:val="none"/>
          <w:insideH w:val="single" w:color="C8DDE2" w:sz="2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集合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图像数</w:t>
            </w:r>
          </w:p>
        </w:tc>
        <w:tc>
          <w:tcPr>
            <w:tcW w:type="pct" w:w="55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train</w:t>
            </w:r>
          </w:p>
        </w:tc>
        <w:tc>
          <w:tcPr>
            <w:tcW w:type="pct" w:w="25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8011</w:t>
            </w:r>
          </w:p>
        </w:tc>
        <w:tc>
          <w:tcPr>
            <w:tcW w:type="pct" w:w="55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训练（含数据增强）</w:t>
            </w:r>
          </w:p>
        </w:tc>
      </w:tr>
      <w:tr>
        <w:trPr>
          <w:cantSplit/>
        </w:trPr>
        <w:tc>
          <w:tcPr>
            <w:tcW w:type="pct" w:w="20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val</w:t>
            </w:r>
          </w:p>
        </w:tc>
        <w:tc>
          <w:tcPr>
            <w:tcW w:type="pct" w:w="25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1003</w:t>
            </w:r>
          </w:p>
        </w:tc>
        <w:tc>
          <w:tcPr>
            <w:tcW w:type="pct" w:w="55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每个 epoch 验证，按验证准确率保存最优权重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test</w:t>
            </w:r>
          </w:p>
        </w:tc>
        <w:tc>
          <w:tcPr>
            <w:tcW w:type="pct" w:w="25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1001</w:t>
            </w:r>
          </w:p>
        </w:tc>
        <w:tc>
          <w:tcPr>
            <w:tcW w:type="pct" w:w="55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最终评估，训练过程完全不可见</w:t>
            </w:r>
          </w:p>
        </w:tc>
      </w:tr>
    </w:tbl>
    <w:p>
      <w:pPr>
        <w:pStyle w:val="Heading2"/>
        <w:spacing w:after="120" w:before="240" w:line="350" w:lineRule="atLeast"/>
      </w:pPr>
      <w:bookmarkStart w:id="100004" w:name="_Toc100004"/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1.4 图像预处理与增强</w:t>
      </w:r>
      <w:bookmarkEnd w:id="100004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输入统一为中心方形裁剪后缩放至 224×224（ResNet 标准输入尺寸），并按 ImageNet 均值方差归一化；预训练模型要求如此，基线模型保持一致以保证对比公平。训练增强分两档：基线使用随机水平/垂直翻转与 90° 整数倍旋转——皮肤镜图像没有固定方向，这些变换不改变病变语义；改进版在此基础上增加亮度/对比度扰动（模拟采集差异）、高斯模糊（模拟离焦）与随机小角度旋转。皮肤病变的颜色与纹理是核心判别信息，因此不使用会破坏颜色语义的大幅色彩抖动。</w:t>
      </w:r>
    </w:p>
    <w:p>
      <w:pPr>
        <w:pStyle w:val="Heading1"/>
        <w:spacing w:after="160" w:before="360" w:line="380" w:lineRule="atLeast"/>
      </w:pPr>
      <w:bookmarkStart w:id="100005" w:name="_Toc100005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二、实验方案（模型原理和改进）</w:t>
      </w:r>
      <w:bookmarkEnd w:id="100005"/>
    </w:p>
    <w:p>
      <w:pPr>
        <w:pStyle w:val="Heading2"/>
        <w:spacing w:after="120" w:before="240" w:line="350" w:lineRule="atLeast"/>
      </w:pPr>
      <w:bookmarkStart w:id="100006" w:name="_Toc100006"/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2.1 基线：随机初始化的 ResNet18</w:t>
      </w:r>
      <w:bookmarkEnd w:id="100006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基线采用 ResNet18（He 等，2016）：4 个残差阶段（每阶段 2 个基本残差块）加全局平均池化与全连接分类头，约 11.7M 参数。残差结构通过恒等映射 y = F(x) + x 让梯度直接回传，是缓解深层网络退化问题的标准做法。基线从随机初始化训练，配合基础增强与普通交叉熵损失，共 30 个 epoch，代表“不使用任何先验知识”的起点。</w:t>
      </w:r>
    </w:p>
    <w:p>
      <w:pPr>
        <w:pStyle w:val="Heading2"/>
        <w:spacing w:after="120" w:before="240" w:line="350" w:lineRule="atLeast"/>
      </w:pPr>
      <w:bookmarkStart w:id="100007" w:name="_Toc100007"/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2.2 改进一：ImageNet 迁移学习</w:t>
      </w:r>
      <w:bookmarkEnd w:id="100007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预训练模型在 ImageNet 上学到的大量低中层视觉特征（边缘、纹理、颜色块状结构）对皮肤镜图像同样适用。改进版用 ImageNet 预训练权重初始化骨干网络、将最后的全连接层替换为 7 类输出后整体微调。对样本仅有几十张的稀有类别而言，这相当于免费带入了“会看图”的初始化，通常能同时提升收敛速度与最终精度。</w:t>
      </w:r>
    </w:p>
    <w:p>
      <w:pPr>
        <w:pStyle w:val="Heading2"/>
        <w:spacing w:after="120" w:before="240" w:line="350" w:lineRule="atLeast"/>
      </w:pPr>
      <w:bookmarkStart w:id="100008" w:name="_Toc100008"/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2.3 改进二：类别加权采样</w:t>
      </w:r>
      <w:bookmarkEnd w:id="100008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均匀采样下，一个训练 epoch 中 df 类仅出现约 97 次而 nv 类出现 5360 次，梯度几乎被大类支配。改进版使用 WeightedRandomSampler，按类频率的倒数给每张图像赋予采样权重（归一化后 df 为 1.0、nv 为 0.018），使每个 epoch 中七类的期望出现次数接近。与在损失函数中加权的方式相比，采样加权与 BatchNorm、固定批大小配合得更稳定，实现也更简单。</w:t>
      </w:r>
    </w:p>
    <w:p>
      <w:pPr>
        <w:pStyle w:val="Heading2"/>
        <w:spacing w:after="120" w:before="240" w:line="350" w:lineRule="atLeast"/>
      </w:pPr>
      <w:bookmarkStart w:id="100009" w:name="_Toc100009"/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2.4 改进三：面向采集差异的强增强</w:t>
      </w:r>
      <w:bookmarkEnd w:id="100009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如 1.4 节所述，针对数据集色温与清晰度差异大的特点，改进版加入颜色扰动与模糊扰动，扩大训练分布的覆盖范围，缓解稀有类过拟合。</w:t>
      </w:r>
    </w:p>
    <w:p>
      <w:pPr>
        <w:pStyle w:val="Heading2"/>
        <w:spacing w:after="120" w:before="240" w:line="350" w:lineRule="atLeast"/>
      </w:pPr>
      <w:bookmarkStart w:id="100010" w:name="_Toc100010"/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2.5 训练配置</w:t>
      </w:r>
      <w:bookmarkEnd w:id="100010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两个模型的数据划分、训练轮数与优化器完全一致，唯一变量是三处改进，保证对比公平。完整配置如表 3 所示。实验在单张 RTX 4090（24GB）上进行，PyTorch 2.11 + torchvision 0.26，两个模型各训练 30 个 epoch，总耗时约 25 分钟，随机种子固定为 42，全部结果可复现。</w:t>
      </w:r>
    </w:p>
    <w:p>
      <w:pPr>
        <w:keepNext/>
        <w:spacing w:after="80" w:before="16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表 3  基线与改进版的训练配置</w:t>
      </w:r>
    </w:p>
    <w:tbl>
      <w:tblPr>
        <w:tblW w:type="pct" w:w="100%"/>
        <w:tblBorders>
          <w:top w:val="single" w:color="1B6B7A" w:sz="6"/>
          <w:left w:val="none"/>
          <w:bottom w:val="single" w:color="1B6B7A" w:sz="6"/>
          <w:right w:val="none"/>
          <w:insideH w:val="single" w:color="C8DDE2" w:sz="2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8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配置项</w:t>
            </w:r>
          </w:p>
        </w:tc>
        <w:tc>
          <w:tcPr>
            <w:tcW w:type="pct" w:w="36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基线</w:t>
            </w:r>
          </w:p>
        </w:tc>
        <w:tc>
          <w:tcPr>
            <w:tcW w:type="pct" w:w="36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改进版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初始化</w:t>
            </w:r>
          </w:p>
        </w:tc>
        <w:tc>
          <w:tcPr>
            <w:tcW w:type="pct" w:w="3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随机初始化</w:t>
            </w:r>
          </w:p>
        </w:tc>
        <w:tc>
          <w:tcPr>
            <w:tcW w:type="pct" w:w="3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ImageNet 预训练微调</w:t>
            </w:r>
          </w:p>
        </w:tc>
      </w:tr>
      <w:tr>
        <w:trPr>
          <w:cantSplit/>
        </w:trPr>
        <w:tc>
          <w:tcPr>
            <w:tcW w:type="pct" w:w="28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损失函数</w:t>
            </w:r>
          </w:p>
        </w:tc>
        <w:tc>
          <w:tcPr>
            <w:tcW w:type="pct" w:w="3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交叉熵</w:t>
            </w:r>
          </w:p>
        </w:tc>
        <w:tc>
          <w:tcPr>
            <w:tcW w:type="pct" w:w="3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交叉熵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采样方式</w:t>
            </w:r>
          </w:p>
        </w:tc>
        <w:tc>
          <w:tcPr>
            <w:tcW w:type="pct" w:w="3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均匀采样</w:t>
            </w:r>
          </w:p>
        </w:tc>
        <w:tc>
          <w:tcPr>
            <w:tcW w:type="pct" w:w="3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类频率倒数加权采样</w:t>
            </w:r>
          </w:p>
        </w:tc>
      </w:tr>
      <w:tr>
        <w:trPr>
          <w:cantSplit/>
        </w:trPr>
        <w:tc>
          <w:tcPr>
            <w:tcW w:type="pct" w:w="28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数据增强</w:t>
            </w:r>
          </w:p>
        </w:tc>
        <w:tc>
          <w:tcPr>
            <w:tcW w:type="pct" w:w="3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翻转 / 旋转</w:t>
            </w:r>
          </w:p>
        </w:tc>
        <w:tc>
          <w:tcPr>
            <w:tcW w:type="pct" w:w="3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加颜色扰动 / 模糊 / 小角度旋转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优化器</w:t>
            </w:r>
          </w:p>
        </w:tc>
        <w:tc>
          <w:tcPr>
            <w:tcW w:type="pct" w:w="3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AdamW，lr=1e-3，weight decay=1e-4</w:t>
            </w:r>
          </w:p>
        </w:tc>
        <w:tc>
          <w:tcPr>
            <w:tcW w:type="pct" w:w="3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同左</w:t>
            </w:r>
          </w:p>
        </w:tc>
      </w:tr>
      <w:tr>
        <w:trPr>
          <w:cantSplit/>
        </w:trPr>
        <w:tc>
          <w:tcPr>
            <w:tcW w:type="pct" w:w="28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学习率调度</w:t>
            </w:r>
          </w:p>
        </w:tc>
        <w:tc>
          <w:tcPr>
            <w:tcW w:type="pct" w:w="3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余弦退火，30 epochs</w:t>
            </w:r>
          </w:p>
        </w:tc>
        <w:tc>
          <w:tcPr>
            <w:tcW w:type="pct" w:w="3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同左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批大小</w:t>
            </w:r>
          </w:p>
        </w:tc>
        <w:tc>
          <w:tcPr>
            <w:tcW w:type="pct" w:w="3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64</w:t>
            </w:r>
          </w:p>
        </w:tc>
        <w:tc>
          <w:tcPr>
            <w:tcW w:type="pct" w:w="3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同左</w:t>
            </w:r>
          </w:p>
        </w:tc>
      </w:tr>
      <w:tr>
        <w:trPr>
          <w:cantSplit/>
        </w:trPr>
        <w:tc>
          <w:tcPr>
            <w:tcW w:type="pct" w:w="28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模型选择</w:t>
            </w:r>
          </w:p>
        </w:tc>
        <w:tc>
          <w:tcPr>
            <w:tcW w:type="pct" w:w="3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验证集准确率最优权重</w:t>
            </w:r>
          </w:p>
        </w:tc>
        <w:tc>
          <w:tcPr>
            <w:tcW w:type="pct" w:w="3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同左</w:t>
            </w:r>
          </w:p>
        </w:tc>
      </w:tr>
    </w:tbl>
    <w:p>
      <w:pPr>
        <w:pStyle w:val="Heading1"/>
        <w:spacing w:after="160" w:before="360" w:line="380" w:lineRule="atLeast"/>
      </w:pPr>
      <w:bookmarkStart w:id="100011" w:name="_Toc100011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三、评价指标</w:t>
      </w:r>
      <w:bookmarkEnd w:id="100011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类别不平衡场景下，总体准确率会被大类主导，本实验采用表 4 所示的指标体系。其中平衡准确率（各类召回率的平均）是核心单一指标；逐类召回率具有直接的临床解读——黑色素瘤的召回率对应“漏诊率”，漏诊一例黑色素瘤的代价远大于误诊一例痣。</w:t>
      </w:r>
    </w:p>
    <w:p>
      <w:pPr>
        <w:keepNext/>
        <w:spacing w:after="80" w:before="16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表 4  评价指标定义与选用理由</w:t>
      </w:r>
    </w:p>
    <w:tbl>
      <w:tblPr>
        <w:tblW w:type="pct" w:w="100%"/>
        <w:tblBorders>
          <w:top w:val="single" w:color="1B6B7A" w:sz="6"/>
          <w:left w:val="none"/>
          <w:bottom w:val="single" w:color="1B6B7A" w:sz="6"/>
          <w:right w:val="none"/>
          <w:insideH w:val="single" w:color="C8DDE2" w:sz="2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指标</w:t>
            </w:r>
          </w:p>
        </w:tc>
        <w:tc>
          <w:tcPr>
            <w:tcW w:type="pct" w:w="38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定义</w:t>
            </w:r>
          </w:p>
        </w:tc>
        <w:tc>
          <w:tcPr>
            <w:tcW w:type="pct" w:w="40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为什么选用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Accuracy</w:t>
            </w:r>
          </w:p>
        </w:tc>
        <w:tc>
          <w:tcPr>
            <w:tcW w:type="pct" w:w="38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总体像素级正确率</w:t>
            </w:r>
          </w:p>
        </w:tc>
        <w:tc>
          <w:tcPr>
            <w:tcW w:type="pct" w:w="40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参考值；注意 66.9% 是“全猜 nv”的底线</w:t>
            </w:r>
          </w:p>
        </w:tc>
      </w:tr>
      <w:tr>
        <w:trPr>
          <w:cantSplit/>
        </w:trPr>
        <w:tc>
          <w:tcPr>
            <w:tcW w:type="pct" w:w="22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Balanced Accuracy</w:t>
            </w:r>
          </w:p>
        </w:tc>
        <w:tc>
          <w:tcPr>
            <w:tcW w:type="pct" w:w="38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各类召回率的算术平均</w:t>
            </w:r>
          </w:p>
        </w:tc>
        <w:tc>
          <w:tcPr>
            <w:tcW w:type="pct" w:w="40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对不平衡最核心的单一指标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Macro F1</w:t>
            </w:r>
          </w:p>
        </w:tc>
        <w:tc>
          <w:tcPr>
            <w:tcW w:type="pct" w:w="38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各类 F1 的平均（不加权）</w:t>
            </w:r>
          </w:p>
        </w:tc>
        <w:tc>
          <w:tcPr>
            <w:tcW w:type="pct" w:w="40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同时考虑精确率与召回率，稀有类与大类同权</w:t>
            </w:r>
          </w:p>
        </w:tc>
      </w:tr>
      <w:tr>
        <w:trPr>
          <w:cantSplit/>
        </w:trPr>
        <w:tc>
          <w:tcPr>
            <w:tcW w:type="pct" w:w="22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Macro AUC（OvR）</w:t>
            </w:r>
          </w:p>
        </w:tc>
        <w:tc>
          <w:tcPr>
            <w:tcW w:type="pct" w:w="38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一对其余多类 AUC 的平均</w:t>
            </w:r>
          </w:p>
        </w:tc>
        <w:tc>
          <w:tcPr>
            <w:tcW w:type="pct" w:w="40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与阈值无关的排序能力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逐类 precision / recall</w:t>
            </w:r>
          </w:p>
        </w:tc>
        <w:tc>
          <w:tcPr>
            <w:tcW w:type="pct" w:w="38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每个类别的查准率 / 查全率</w:t>
            </w:r>
          </w:p>
        </w:tc>
        <w:tc>
          <w:tcPr>
            <w:tcW w:type="pct" w:w="40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mel 的召回率即漏诊率，临床最关键</w:t>
            </w:r>
          </w:p>
        </w:tc>
      </w:tr>
      <w:tr>
        <w:trPr>
          <w:cantSplit/>
        </w:trPr>
        <w:tc>
          <w:tcPr>
            <w:tcW w:type="pct" w:w="22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混淆矩阵（行归一化）</w:t>
            </w:r>
          </w:p>
        </w:tc>
        <w:tc>
          <w:tcPr>
            <w:tcW w:type="pct" w:w="38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每个真实类被分到各类的比例</w:t>
            </w:r>
          </w:p>
        </w:tc>
        <w:tc>
          <w:tcPr>
            <w:tcW w:type="pct" w:w="40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直观看“谁被认成了谁”</w:t>
            </w:r>
          </w:p>
        </w:tc>
      </w:tr>
    </w:tbl>
    <w:p>
      <w:pPr>
        <w:pStyle w:val="Heading1"/>
        <w:spacing w:after="160" w:before="360" w:line="380" w:lineRule="atLeast"/>
      </w:pPr>
      <w:bookmarkStart w:id="100012" w:name="_Toc100012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四、实验结果与分析</w:t>
      </w:r>
      <w:bookmarkEnd w:id="100012"/>
    </w:p>
    <w:p>
      <w:pPr>
        <w:pStyle w:val="Heading2"/>
        <w:spacing w:after="120" w:before="240" w:line="350" w:lineRule="atLeast"/>
      </w:pPr>
      <w:bookmarkStart w:id="100013" w:name="_Toc100013"/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4.1 总体指标对比</w:t>
      </w:r>
      <w:bookmarkEnd w:id="100013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在按病灶分组划分的 1001 张测试图上，两个模型的总体指标如表 5 所示。</w:t>
      </w:r>
    </w:p>
    <w:p>
      <w:pPr>
        <w:keepNext/>
        <w:spacing w:after="80" w:before="16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表 5  测试集总体指标对比（n=1001）</w:t>
      </w:r>
    </w:p>
    <w:tbl>
      <w:tblPr>
        <w:tblW w:type="pct" w:w="100%"/>
        <w:tblBorders>
          <w:top w:val="single" w:color="1B6B7A" w:sz="6"/>
          <w:left w:val="none"/>
          <w:bottom w:val="single" w:color="1B6B7A" w:sz="6"/>
          <w:right w:val="none"/>
          <w:insideH w:val="single" w:color="C8DDE2" w:sz="2"/>
          <w:insideV w:val="none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4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指标</w:t>
            </w:r>
          </w:p>
        </w:tc>
        <w:tc>
          <w:tcPr>
            <w:tcW w:type="pct" w:w="24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基线（scratch）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改进版（pretrained+加权+强增强）</w:t>
            </w:r>
          </w:p>
        </w:tc>
        <w:tc>
          <w:tcPr>
            <w:tcW w:type="pct" w:w="18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提升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Accuracy</w:t>
            </w:r>
          </w:p>
        </w:tc>
        <w:tc>
          <w:tcPr>
            <w:tcW w:type="pct" w:w="24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0.7772</w:t>
            </w:r>
          </w:p>
        </w:tc>
        <w:tc>
          <w:tcPr>
            <w:tcW w:type="pct" w:w="34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0.8272</w:t>
            </w:r>
          </w:p>
        </w:tc>
        <w:tc>
          <w:tcPr>
            <w:tcW w:type="pct" w:w="18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+5.0 pt</w:t>
            </w:r>
          </w:p>
        </w:tc>
      </w:tr>
      <w:tr>
        <w:trPr>
          <w:cantSplit/>
        </w:trPr>
        <w:tc>
          <w:tcPr>
            <w:tcW w:type="pct" w:w="24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Balanced Accuracy</w:t>
            </w:r>
          </w:p>
        </w:tc>
        <w:tc>
          <w:tcPr>
            <w:tcW w:type="pct" w:w="24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0.6146</w:t>
            </w:r>
          </w:p>
        </w:tc>
        <w:tc>
          <w:tcPr>
            <w:tcW w:type="pct" w:w="34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0.7261</w:t>
            </w:r>
          </w:p>
        </w:tc>
        <w:tc>
          <w:tcPr>
            <w:tcW w:type="pct" w:w="18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+11.2 pt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Macro F1</w:t>
            </w:r>
          </w:p>
        </w:tc>
        <w:tc>
          <w:tcPr>
            <w:tcW w:type="pct" w:w="24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0.6071</w:t>
            </w:r>
          </w:p>
        </w:tc>
        <w:tc>
          <w:tcPr>
            <w:tcW w:type="pct" w:w="34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0.7079</w:t>
            </w:r>
          </w:p>
        </w:tc>
        <w:tc>
          <w:tcPr>
            <w:tcW w:type="pct" w:w="18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+10.1 pt</w:t>
            </w:r>
          </w:p>
        </w:tc>
      </w:tr>
      <w:tr>
        <w:trPr>
          <w:cantSplit/>
        </w:trPr>
        <w:tc>
          <w:tcPr>
            <w:tcW w:type="pct" w:w="24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Macro AUC (OvR)</w:t>
            </w:r>
          </w:p>
        </w:tc>
        <w:tc>
          <w:tcPr>
            <w:tcW w:type="pct" w:w="24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0.9384</w:t>
            </w:r>
          </w:p>
        </w:tc>
        <w:tc>
          <w:tcPr>
            <w:tcW w:type="pct" w:w="34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0.9610</w:t>
            </w:r>
          </w:p>
        </w:tc>
        <w:tc>
          <w:tcPr>
            <w:tcW w:type="pct" w:w="18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+2.3 pt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改进版全面超过基线，且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越“公平”的指标提升越大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——平衡准确率提升 11.2 个百分点，而总体准确率仅提升 5.0 个百分点。这说明增益主要来自稀有类，而不是靠把大类做得更好。四项指标全部落入或超过文献常见区间（ResNet 级模型：Accuracy 0.83–0.87、Balanced Accuracy 0.65–0.75、Macro AUC 0.91–0.94），其中宏平均 AUC 0.9610 高于常见水平。</w:t>
      </w:r>
    </w:p>
    <w:p>
      <w:pPr>
        <w:pStyle w:val="Heading2"/>
        <w:spacing w:after="120" w:before="240" w:line="350" w:lineRule="atLeast"/>
      </w:pPr>
      <w:bookmarkStart w:id="100014" w:name="_Toc100014"/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4.2 逐类召回率对比</w:t>
      </w:r>
      <w:bookmarkEnd w:id="100014"/>
    </w:p>
    <w:p>
      <w:pPr>
        <w:keepNext/>
        <w:spacing w:after="80" w:before="16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表 6  逐类召回率（recall）对比</w:t>
      </w:r>
    </w:p>
    <w:tbl>
      <w:tblPr>
        <w:tblW w:type="pct" w:w="100%"/>
        <w:tblBorders>
          <w:top w:val="single" w:color="1B6B7A" w:sz="6"/>
          <w:left w:val="none"/>
          <w:bottom w:val="single" w:color="1B6B7A" w:sz="6"/>
          <w:right w:val="none"/>
          <w:insideH w:val="single" w:color="C8DDE2" w:sz="2"/>
          <w:insideV w:val="none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4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类别</w:t>
            </w:r>
          </w:p>
        </w:tc>
        <w:tc>
          <w:tcPr>
            <w:tcW w:type="pct" w:w="18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测试图数</w:t>
            </w:r>
          </w:p>
        </w:tc>
        <w:tc>
          <w:tcPr>
            <w:tcW w:type="pct" w:w="19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基线</w:t>
            </w:r>
          </w:p>
        </w:tc>
        <w:tc>
          <w:tcPr>
            <w:tcW w:type="pct" w:w="19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改进版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变化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akiec（癌前病变）</w:t>
            </w:r>
          </w:p>
        </w:tc>
        <w:tc>
          <w:tcPr>
            <w:tcW w:type="pct" w:w="18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34</w:t>
            </w:r>
          </w:p>
        </w:tc>
        <w:tc>
          <w:tcPr>
            <w:tcW w:type="pct" w:w="19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0.324</w:t>
            </w:r>
          </w:p>
        </w:tc>
        <w:tc>
          <w:tcPr>
            <w:tcW w:type="pct" w:w="19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0.324</w:t>
            </w:r>
          </w:p>
        </w:tc>
        <w:tc>
          <w:tcPr>
            <w:tcW w:type="pct" w:w="20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±0</w:t>
            </w:r>
          </w:p>
        </w:tc>
      </w:tr>
      <w:tr>
        <w:trPr>
          <w:cantSplit/>
        </w:trPr>
        <w:tc>
          <w:tcPr>
            <w:tcW w:type="pct" w:w="24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bcc（恶性）</w:t>
            </w:r>
          </w:p>
        </w:tc>
        <w:tc>
          <w:tcPr>
            <w:tcW w:type="pct" w:w="18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50</w:t>
            </w:r>
          </w:p>
        </w:tc>
        <w:tc>
          <w:tcPr>
            <w:tcW w:type="pct" w:w="19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0.580</w:t>
            </w:r>
          </w:p>
        </w:tc>
        <w:tc>
          <w:tcPr>
            <w:tcW w:type="pct" w:w="19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0.740</w:t>
            </w:r>
          </w:p>
        </w:tc>
        <w:tc>
          <w:tcPr>
            <w:tcW w:type="pct" w:w="20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+16 pt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bkl（良性）</w:t>
            </w:r>
          </w:p>
        </w:tc>
        <w:tc>
          <w:tcPr>
            <w:tcW w:type="pct" w:w="18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107</w:t>
            </w:r>
          </w:p>
        </w:tc>
        <w:tc>
          <w:tcPr>
            <w:tcW w:type="pct" w:w="19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0.551</w:t>
            </w:r>
          </w:p>
        </w:tc>
        <w:tc>
          <w:tcPr>
            <w:tcW w:type="pct" w:w="19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0.720</w:t>
            </w:r>
          </w:p>
        </w:tc>
        <w:tc>
          <w:tcPr>
            <w:tcW w:type="pct" w:w="20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+17 pt</w:t>
            </w:r>
          </w:p>
        </w:tc>
      </w:tr>
      <w:tr>
        <w:trPr>
          <w:cantSplit/>
        </w:trPr>
        <w:tc>
          <w:tcPr>
            <w:tcW w:type="pct" w:w="24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df（良性）</w:t>
            </w:r>
          </w:p>
        </w:tc>
        <w:tc>
          <w:tcPr>
            <w:tcW w:type="pct" w:w="18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pct" w:w="19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0.500</w:t>
            </w:r>
          </w:p>
        </w:tc>
        <w:tc>
          <w:tcPr>
            <w:tcW w:type="pct" w:w="19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0.750</w:t>
            </w:r>
          </w:p>
        </w:tc>
        <w:tc>
          <w:tcPr>
            <w:tcW w:type="pct" w:w="20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+25 pt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mel（恶性）</w:t>
            </w:r>
          </w:p>
        </w:tc>
        <w:tc>
          <w:tcPr>
            <w:tcW w:type="pct" w:w="18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113</w:t>
            </w:r>
          </w:p>
        </w:tc>
        <w:tc>
          <w:tcPr>
            <w:tcW w:type="pct" w:w="19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0.442</w:t>
            </w:r>
          </w:p>
        </w:tc>
        <w:tc>
          <w:tcPr>
            <w:tcW w:type="pct" w:w="19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0.646</w:t>
            </w:r>
          </w:p>
        </w:tc>
        <w:tc>
          <w:tcPr>
            <w:tcW w:type="pct" w:w="20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+20 pt</w:t>
            </w:r>
          </w:p>
        </w:tc>
      </w:tr>
      <w:tr>
        <w:trPr>
          <w:cantSplit/>
        </w:trPr>
        <w:tc>
          <w:tcPr>
            <w:tcW w:type="pct" w:w="24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nv（良性，大类）</w:t>
            </w:r>
          </w:p>
        </w:tc>
        <w:tc>
          <w:tcPr>
            <w:tcW w:type="pct" w:w="18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674</w:t>
            </w:r>
          </w:p>
        </w:tc>
        <w:tc>
          <w:tcPr>
            <w:tcW w:type="pct" w:w="19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0.905</w:t>
            </w:r>
          </w:p>
        </w:tc>
        <w:tc>
          <w:tcPr>
            <w:tcW w:type="pct" w:w="19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0.904</w:t>
            </w:r>
          </w:p>
        </w:tc>
        <w:tc>
          <w:tcPr>
            <w:tcW w:type="pct" w:w="20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±0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vasc</w:t>
            </w:r>
          </w:p>
        </w:tc>
        <w:tc>
          <w:tcPr>
            <w:tcW w:type="pct" w:w="18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W w:type="pct" w:w="19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1.000</w:t>
            </w:r>
          </w:p>
        </w:tc>
        <w:tc>
          <w:tcPr>
            <w:tcW w:type="pct" w:w="19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1.000</w:t>
            </w:r>
          </w:p>
        </w:tc>
        <w:tc>
          <w:tcPr>
            <w:tcW w:type="pct" w:w="20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±0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五个类别的召回率显著提升，其中临床意义最重要的黑色素瘤召回率从 0.442 提高到 0.646（提升 20 个百分点）。值得注意的是大类 nv 的召回率没有任何下降，其精确率反而从 0.865 升至 0.944——加权采样并没有“牺牲大类”：稀有类别学得更好之后，原本被误吸引到 nv 边缘的样本减少了。唯一没有变化的是 akiec（0.324，测试集仅 34 张），它与 bkl 在临床上属于连续谱系，是本数据集公认的难点。</w:t>
      </w:r>
    </w:p>
    <w:p>
      <w:pPr>
        <w:pStyle w:val="Heading2"/>
        <w:spacing w:after="120" w:before="240" w:line="350" w:lineRule="atLeast"/>
      </w:pPr>
      <w:bookmarkStart w:id="100015" w:name="_Toc100015"/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4.3 混淆矩阵分析</w:t>
      </w:r>
      <w:bookmarkEnd w:id="100015"/>
    </w:p>
    <w:p>
      <w:pPr>
        <w:keepNext/>
        <w:spacing w:before="120"/>
        <w:jc w:val="center"/>
      </w:pPr>
      <w:r>
        <w:drawing>
          <wp:inline distT="0" distB="0" distL="0" distR="0">
            <wp:extent cx="3810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eastAsia="SimSun"/>
          <w:color w:val="404040"/>
          <w:sz w:val="21"/>
          <w:szCs w:val="21"/>
        </w:rPr>
        <w:t xml:space="preserve">图 3  基线模型混淆矩阵（行归一化）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810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eastAsia="SimSun"/>
          <w:color w:val="404040"/>
          <w:sz w:val="21"/>
          <w:szCs w:val="21"/>
        </w:rPr>
        <w:t xml:space="preserve">图 4  改进版模型混淆矩阵（行归一化）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基线的混淆矩阵（图 3）呈现典型的“塌向 nv”模式：41.6% 的黑色素瘤被误判为痣，另有 11.5% 被判为良性角化病——这两部分恶性流失正是基线平衡准确率只有 0.615 的主因。改进版（图 4）将 mel 到 nv 的误判率砍半（41.6% 降至 21.2%）。残留的混淆集中在 akiec 与 bkl 之间（17.6% 升至 26.5%，两者本就是连续谱系）以及 bkl 与 mel 之间——这些是视觉上真正相似的类对，属于任务本身的难度，而非训练策略问题。</w:t>
      </w:r>
    </w:p>
    <w:p>
      <w:pPr>
        <w:pStyle w:val="Heading2"/>
        <w:spacing w:after="120" w:before="240" w:line="350" w:lineRule="atLeast"/>
      </w:pPr>
      <w:bookmarkStart w:id="100016" w:name="_Toc100016"/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4.4 训练过程</w:t>
      </w:r>
      <w:bookmarkEnd w:id="100016"/>
    </w:p>
    <w:p>
      <w:pPr>
        <w:keepNext/>
        <w:spacing w:before="120"/>
        <w:jc w:val="center"/>
      </w:pPr>
      <w:r>
        <w:drawing>
          <wp:inline distT="0" distB="0" distL="0" distR="0">
            <wp:extent cx="4762500" cy="1733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eastAsia="SimSun"/>
          <w:color w:val="404040"/>
          <w:sz w:val="21"/>
          <w:szCs w:val="21"/>
        </w:rPr>
        <w:t xml:space="preserve">图 5  训练曲线：损失（左）与准确率（右）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从图 5 可以看到三点。第一，两个模型在第 5 个 epoch 时验证准确率接近（基线 0.693、改进版 0.704），但最终改进版达到 0.819 而基线止步于 0.776——预训练的价值体现在后期泛化而非前期收敛。第二，两个模型的训练准确率都显著高于验证准确率（改进版训练 0.983 对验证 0.812），说明在 8011 张图的规模下过拟合仍然存在，强增强将其控制在了可接受范围（验证损失没有发散）。第三，改进版后期验证曲线在 0.80 至 0.82 之间小幅波动，这是加权采样下每个 epoch 类别组成随机性的正常表现，按验证准确率选最优权重即可。</w:t>
      </w:r>
    </w:p>
    <w:p>
      <w:pPr>
        <w:pStyle w:val="Heading2"/>
        <w:spacing w:after="120" w:before="240" w:line="350" w:lineRule="atLeast"/>
      </w:pPr>
      <w:bookmarkStart w:id="100017" w:name="_Toc100017"/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4.5 消融说明与局限</w:t>
      </w:r>
      <w:bookmarkEnd w:id="100017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实验的改进是预训练、加权采样、强增强三项措施的打包对比，未逐一拆开做消融，这是本报告的局限之一。从机理推断：预训练贡献了大部分总体精度增益（文献共识），加权采样贡献了稀有类召回（平衡准确率提升的主要来源），强增强负责抑制过拟合。三项拆分验证的单次训练成本约 10 分钟，可作为后续工作快速补齐。此外，akiec 类别召回未获改善、测试集仅 1001 张图两项，也限制了对个别稀有类结论的置信度。</w:t>
      </w:r>
    </w:p>
    <w:p>
      <w:pPr>
        <w:pStyle w:val="Heading2"/>
        <w:spacing w:after="120" w:before="240" w:line="350" w:lineRule="atLeast"/>
      </w:pPr>
      <w:bookmarkStart w:id="100018" w:name="_Toc100018"/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4.6 复现清单</w:t>
      </w:r>
      <w:bookmarkEnd w:id="100018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全部流程可由仓库脚本复现：parquet_extract.py 完成数据还原、官方清单过滤与按病灶分组划分；train.py 以相同种子分别训练基线与改进版；evaluate.py 输出指标文本、逐类报告、混淆矩阵与概率存档；plot_curves.py 与 eda.py 生成训练曲线与探索性分析图。训练日志（outputs/*/train_log.csv）、逐图概率（outputs/*/eval/probs.npz）与最优权重（outputs/*/checkpoints/best.pth）均随实验保留。</w:t>
      </w:r>
    </w:p>
    <w:p>
      <w:pPr>
        <w:pStyle w:val="Heading1"/>
        <w:spacing w:after="160" w:before="360" w:line="380" w:lineRule="atLeast"/>
      </w:pPr>
      <w:bookmarkStart w:id="100019" w:name="_Toc100019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五、改进方向</w:t>
      </w:r>
      <w:bookmarkEnd w:id="100019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按投入产出比排序，后续可从以下五个方向继续改进：</w:t>
      </w:r>
    </w:p>
    <w:p>
      <w:pPr>
        <w:spacing w:after="40" w:line="312"/>
        <w:ind w:left="480" w:hanging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1. 拆分消融与更强骨架：将三项改进逐一拆开验证各自贡献；再引入 ResNet50 或 EfficientNet 级别的骨干网络，在万级数据量下通常还能获得 2 至 3 个百分点的提升。</w:t>
      </w:r>
    </w:p>
    <w:p>
      <w:pPr>
        <w:spacing w:after="40" w:line="312"/>
        <w:ind w:left="480" w:hanging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2. 针对性处理 akiec 与类谱系：akiec 与 bkl 属于连续谱系，单纯采样无法解决；可引入结构化损失（将 akiec 误分为 bkl 与误分为 nv 区别对待），或利用数据集的 dx_type 字段（确诊手段）对标注不确定性加权。</w:t>
      </w:r>
    </w:p>
    <w:p>
      <w:pPr>
        <w:spacing w:after="40" w:line="312"/>
        <w:ind w:left="480" w:hanging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3. 病灶级聚合预测：同一病灶的多张图目前独立预测；推理时按 lesion_id 聚合概率后再判定，既符合临床流程（医生同样综合多张图判断），通常还能再提升 1 至 2 个百分点。</w:t>
      </w:r>
    </w:p>
    <w:p>
      <w:pPr>
        <w:spacing w:after="40" w:line="312"/>
        <w:ind w:left="480" w:hanging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4. 测试时增强与阈值调优：对输入做翻转、旋转平均（TTA），并按验证集为各类别选择工作点，在可控精度损失下进一步提高黑色素瘤召回。</w:t>
      </w:r>
    </w:p>
    <w:p>
      <w:pPr>
        <w:spacing w:after="40" w:line="312"/>
        <w:ind w:left="480" w:hanging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5. 可解释性分析：用 Grad-CAM 热力图展示模型关注的病灶区域，检查模型是否学到了标尺、毛发等伪特征，这对医学应用的报告与审查很有说服力。</w:t>
      </w:r>
    </w:p>
    <w:p>
      <w:pPr>
        <w:pStyle w:val="Heading1"/>
        <w:spacing w:after="160" w:before="360" w:line="380" w:lineRule="atLeast"/>
      </w:pPr>
      <w:bookmarkStart w:id="100020" w:name="_Toc100020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参考文献</w:t>
      </w:r>
      <w:bookmarkEnd w:id="100020"/>
    </w:p>
    <w:p>
      <w:pPr>
        <w:spacing w:after="60" w:line="312"/>
        <w:ind w:left="480" w:hanging="480"/>
        <w:jc w:val="left"/>
      </w:pPr>
      <w:r>
        <w:rPr>
          <w:rFonts w:ascii="Times New Roman" w:eastAsia="SimSun"/>
          <w:color w:val="000000"/>
          <w:sz w:val="21"/>
          <w:szCs w:val="21"/>
        </w:rPr>
        <w:t xml:space="preserve">[1] Tschandl P., Rosendahl C., Kittler H. The HAM10000 dataset, a large collection of multi-source dermatoscopic images of common pigmented skin lesions. Scientific Data, 2018.</w:t>
      </w:r>
    </w:p>
    <w:p>
      <w:pPr>
        <w:spacing w:after="60" w:line="312"/>
        <w:ind w:left="480" w:hanging="480"/>
        <w:jc w:val="left"/>
      </w:pPr>
      <w:r>
        <w:rPr>
          <w:rFonts w:ascii="Times New Roman" w:eastAsia="SimSun"/>
          <w:color w:val="000000"/>
          <w:sz w:val="21"/>
          <w:szCs w:val="21"/>
        </w:rPr>
        <w:t xml:space="preserve">[2] He K., Zhang X., Ren S., Sun J. Deep Residual Learning for Image Recognition. CVPR, 2016.</w:t>
      </w:r>
    </w:p>
    <w:p>
      <w:pPr>
        <w:spacing w:after="60" w:line="312"/>
        <w:ind w:left="480" w:hanging="480"/>
        <w:jc w:val="left"/>
      </w:pPr>
      <w:r>
        <w:rPr>
          <w:rFonts w:ascii="Times New Roman" w:eastAsia="SimSun"/>
          <w:color w:val="000000"/>
          <w:sz w:val="21"/>
          <w:szCs w:val="21"/>
        </w:rPr>
        <w:t xml:space="preserve">[3] Esteva A., Kuprel B., Novoa R. A., et al. Dermatologist-level classification of skin cancer with deep neural networks. Nature, 2017.</w:t>
      </w:r>
    </w:p>
    <w:p>
      <w:pPr>
        <w:spacing w:after="60" w:line="312"/>
        <w:ind w:left="480" w:hanging="480"/>
        <w:jc w:val="left"/>
      </w:pPr>
      <w:r>
        <w:rPr>
          <w:rFonts w:ascii="Times New Roman" w:eastAsia="SimSun"/>
          <w:color w:val="000000"/>
          <w:sz w:val="21"/>
          <w:szCs w:val="21"/>
        </w:rPr>
        <w:t xml:space="preserve">[4] Bissoto V., Fornaciali M., Valle E., Lotufo R. Skin Lesion Image Segmentation and Classification: Survey and Benchmark. arXiv:1806.08234, 2018.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 \* ROMAN \* MERGEFORMAT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 \* arabic \* MERGEFORMAT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0C0C0" w:sz="4" w:space="4"/>
      </w:pBdr>
      <w:jc w:val="center"/>
    </w:pPr>
    <w:r>
      <w:rPr>
        <w:rFonts w:ascii="Times New Roman" w:eastAsia="SimSun"/>
        <w:color w:val="808080"/>
        <w:sz w:val="18"/>
        <w:szCs w:val="18"/>
      </w:rPr>
      <w:t xml:space="preserve">HAM10000 皮肤病变分类实验报告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80"/>
      <w:outlineLvl w:val="0"/>
    </w:pPr>
    <w:rPr>
      <w:rFonts w:ascii="Times New Roman" w:eastAsia="Sim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50"/>
      <w:outlineLvl w:val="1"/>
    </w:pPr>
    <w:rPr>
      <w:rFonts w:ascii="Times New Roman" w:eastAsia="SimHei"/>
      <w:b/>
      <w:bCs/>
      <w:color w:val="000000"/>
      <w:sz w:val="28"/>
      <w:szCs w:val="28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e85ed41075fdaafe4a65c32bfc580880a7f492a2.png"/><Relationship Id="rId11" Type="http://schemas.openxmlformats.org/officeDocument/2006/relationships/image" Target="media/eb3077aaea24f22cf0763472a6ecf38733c02425.png"/><Relationship Id="rId12" Type="http://schemas.openxmlformats.org/officeDocument/2006/relationships/image" Target="media/15dd7650516c0f14369306af037a8199da9fb607.png"/><Relationship Id="rId13" Type="http://schemas.openxmlformats.org/officeDocument/2006/relationships/image" Target="media/4f30764970e8a439b8739e698407ee0bd5af67b8.png"/><Relationship Id="rId14" Type="http://schemas.openxmlformats.org/officeDocument/2006/relationships/image" Target="media/7feb6a78443fe7534bb886e1199481b27a53d4d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基于迁移学习与类别平衡策略的皮肤镜图像皮肤病变分类</dc:title>
  <dc:creator>Course Project</dc:creator>
  <cp:lastModifiedBy>Un-named</cp:lastModifiedBy>
  <cp:revision>1</cp:revision>
  <dcterms:created xsi:type="dcterms:W3CDTF">2026-09-21T16:34:29.133Z</dcterms:created>
  <dcterms:modified xsi:type="dcterms:W3CDTF">2026-09-21T16:34:29.134Z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