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0A1A2F"/>
          <w:sz w:val="52"/>
        </w:rPr>
        <w:t>Ad Auction Simulator</w:t>
      </w:r>
    </w:p>
    <w:p>
      <w:r>
        <w:rPr>
          <w:rFonts w:ascii="Calibri" w:hAnsi="Calibri"/>
          <w:b/>
          <w:i w:val="0"/>
          <w:color w:val="1D4ED8"/>
          <w:sz w:val="40"/>
        </w:rPr>
        <w:t>Reference Library</w:t>
      </w:r>
    </w:p>
    <w:p>
      <w:pPr>
        <w:spacing w:after="80"/>
        <w:pBdr>
          <w:bottom w:val="single" w:sz="6" w:color="1D4ED8" w:space="1"/>
        </w:pBdr>
      </w:pPr>
      <w:r>
        <w:rPr>
          <w:rFonts w:ascii="Calibri" w:hAnsi="Calibri"/>
          <w:b w:val="0"/>
          <w:i w:val="0"/>
          <w:color w:val="6B7280"/>
          <w:sz w:val="20"/>
        </w:rPr>
        <w:t>Academic papers, engineering blog posts, and technical references for all major concepts</w:t>
      </w:r>
    </w:p>
    <w:p>
      <w:pPr>
        <w:spacing w:after="320"/>
      </w:pPr>
      <w:r>
        <w:rPr>
          <w:rFonts w:ascii="Calibri" w:hAnsi="Calibri"/>
          <w:b w:val="0"/>
          <w:i w:val="0"/>
          <w:color w:val="374151"/>
          <w:sz w:val="22"/>
        </w:rPr>
        <w:t>This document catalogs the foundational research and industry publications underlying each module of the Ad Auction Simulator. References are organized by project component, with direct hyperlinks to papers, blog posts, and official documentation.</w:t>
      </w:r>
    </w:p>
    <w:p>
      <w:pPr>
        <w:pStyle w:val="Heading1"/>
      </w:pPr>
      <w:r>
        <w:t>1. Auction Mechanisms (GSP &amp; VCG)</w:t>
      </w:r>
    </w:p>
    <w:p>
      <w:r>
        <w:rPr>
          <w:rFonts w:ascii="Calibri" w:hAnsi="Calibri"/>
          <w:b w:val="0"/>
          <w:i w:val="0"/>
          <w:color w:val="374151"/>
          <w:sz w:val="22"/>
        </w:rPr>
        <w:t>The project implements both Generalized Second-Price (GSP) and Vickrey-Clarke-Groves (VCG) auction mechanisms. GSP is the dominant mechanism used in sponsored search, while VCG provides truthful bidding guarantees.</w:t>
      </w:r>
    </w:p>
    <w:p>
      <w:pPr>
        <w:pStyle w:val="Heading3"/>
      </w:pPr>
      <w:r>
        <w:t>Foundational Papers</w:t>
      </w:r>
    </w:p>
    <w:p>
      <w:pPr>
        <w:pStyle w:val="ListBullet"/>
      </w:pPr>
      <w:r>
        <w:rPr>
          <w:rFonts w:ascii="Calibri" w:hAnsi="Calibri"/>
          <w:b w:val="0"/>
          <w:i w:val="0"/>
          <w:sz w:val="22"/>
        </w:rPr>
        <w:t xml:space="preserve">Edelman, B., Ostrovsky, M., &amp; Schwarz, M. (2007). </w:t>
      </w:r>
      <w:hyperlink r:id="rId9">
        <w:r>
          <w:rPr>
            <w:rStyle w:val="Hyperlink"/>
            <w:color w:val="1D4ED8"/>
            <w:u w:val="single"/>
            <w:sz w:val="22"/>
            <w:rFonts w:ascii="Calibri" w:hAnsi="Calibri"/>
          </w:rPr>
          <w:t xml:space="preserve">Internet Advertising and the Generalized Second-Price Auction: Selling Billions of Dollars Worth of Keywords</w:t>
        </w:r>
      </w:hyperlink>
      <w:r>
        <w:rPr>
          <w:rFonts w:ascii="Calibri" w:hAnsi="Calibri"/>
          <w:b w:val="0"/>
          <w:i w:val="0"/>
          <w:sz w:val="22"/>
        </w:rPr>
        <w:t>. American Economic Review, 97(1), 242–259.</w:t>
      </w:r>
    </w:p>
    <w:p>
      <w:pPr>
        <w:spacing w:after="160"/>
        <w:ind w:left="720"/>
      </w:pPr>
      <w:r>
        <w:rPr>
          <w:rFonts w:ascii="Calibri" w:hAnsi="Calibri"/>
          <w:b w:val="0"/>
          <w:i/>
          <w:color w:val="6B7280"/>
          <w:sz w:val="20"/>
        </w:rPr>
        <w:t>The seminal paper analyzing GSP auctions as used by Google and Yahoo. Proves that GSP does not have dominant-strategy equilibrium (unlike VCG) but identifies a locally envy-free Nash equilibrium.</w:t>
      </w:r>
    </w:p>
    <w:p>
      <w:pPr>
        <w:pStyle w:val="ListBullet"/>
      </w:pPr>
      <w:r>
        <w:rPr>
          <w:rFonts w:ascii="Calibri" w:hAnsi="Calibri"/>
          <w:b w:val="0"/>
          <w:i w:val="0"/>
          <w:sz w:val="22"/>
        </w:rPr>
        <w:t xml:space="preserve">Varian, H. R. (2007). </w:t>
      </w:r>
      <w:hyperlink r:id="rId10">
        <w:r>
          <w:rPr>
            <w:rStyle w:val="Hyperlink"/>
            <w:color w:val="1D4ED8"/>
            <w:u w:val="single"/>
            <w:sz w:val="22"/>
            <w:rFonts w:ascii="Calibri" w:hAnsi="Calibri"/>
          </w:rPr>
          <w:t xml:space="preserve">Position Auctions</w:t>
        </w:r>
      </w:hyperlink>
      <w:r>
        <w:rPr>
          <w:rFonts w:ascii="Calibri" w:hAnsi="Calibri"/>
          <w:b w:val="0"/>
          <w:i w:val="0"/>
          <w:sz w:val="22"/>
        </w:rPr>
        <w:t>. International Journal of Industrial Organization, 25(6), 1163–1178.</w:t>
      </w:r>
    </w:p>
    <w:p>
      <w:pPr>
        <w:spacing w:after="160"/>
        <w:ind w:left="720"/>
      </w:pPr>
      <w:r>
        <w:rPr>
          <w:rFonts w:ascii="Calibri" w:hAnsi="Calibri"/>
          <w:b w:val="0"/>
          <w:i/>
          <w:color w:val="6B7280"/>
          <w:sz w:val="20"/>
        </w:rPr>
        <w:t>Google’s Chief Economist independently analyzes GSP equilibria, deriving symmetric Nash equilibrium conditions and revenue equivalence results for position auctions.</w:t>
      </w:r>
    </w:p>
    <w:p>
      <w:pPr>
        <w:pStyle w:val="ListBullet"/>
      </w:pPr>
      <w:r>
        <w:rPr>
          <w:rFonts w:ascii="Calibri" w:hAnsi="Calibri"/>
          <w:b w:val="0"/>
          <w:i w:val="0"/>
          <w:sz w:val="22"/>
        </w:rPr>
        <w:t xml:space="preserve">Vickrey, W. (1961). </w:t>
      </w:r>
      <w:hyperlink r:id="rId11">
        <w:r>
          <w:rPr>
            <w:rStyle w:val="Hyperlink"/>
            <w:color w:val="1D4ED8"/>
            <w:u w:val="single"/>
            <w:sz w:val="22"/>
            <w:rFonts w:ascii="Calibri" w:hAnsi="Calibri"/>
          </w:rPr>
          <w:t xml:space="preserve">Counterspeculation, Auctions, and Competitive Sealed Tenders</w:t>
        </w:r>
      </w:hyperlink>
      <w:r>
        <w:rPr>
          <w:rFonts w:ascii="Calibri" w:hAnsi="Calibri"/>
          <w:b w:val="0"/>
          <w:i w:val="0"/>
          <w:sz w:val="22"/>
        </w:rPr>
        <w:t>. Journal of Finance, 16(1), 8–37.</w:t>
      </w:r>
    </w:p>
    <w:p>
      <w:pPr>
        <w:spacing w:after="160"/>
        <w:ind w:left="720"/>
      </w:pPr>
      <w:r>
        <w:rPr>
          <w:rFonts w:ascii="Calibri" w:hAnsi="Calibri"/>
          <w:b w:val="0"/>
          <w:i/>
          <w:color w:val="6B7280"/>
          <w:sz w:val="20"/>
        </w:rPr>
        <w:t>The original paper introducing second-price sealed-bid auctions and proving truthful bidding is a dominant strategy. Foundation of the VCG mechanism.</w:t>
      </w:r>
    </w:p>
    <w:p>
      <w:pPr>
        <w:pStyle w:val="ListBullet"/>
      </w:pPr>
      <w:r>
        <w:rPr>
          <w:rFonts w:ascii="Calibri" w:hAnsi="Calibri"/>
          <w:b w:val="0"/>
          <w:i w:val="0"/>
          <w:sz w:val="22"/>
        </w:rPr>
        <w:t xml:space="preserve">Gligorijevic, D. et al. (2023). </w:t>
      </w:r>
      <w:hyperlink r:id="rId12">
        <w:r>
          <w:rPr>
            <w:rStyle w:val="Hyperlink"/>
            <w:color w:val="1D4ED8"/>
            <w:u w:val="single"/>
            <w:sz w:val="22"/>
            <w:rFonts w:ascii="Calibri" w:hAnsi="Calibri"/>
          </w:rPr>
          <w:t xml:space="preserve">Advancing Ad Auction Realism: Practical Insights &amp; Modeling Implications</w:t>
        </w:r>
      </w:hyperlink>
      <w:r>
        <w:rPr>
          <w:rFonts w:ascii="Calibri" w:hAnsi="Calibri"/>
          <w:b w:val="0"/>
          <w:i w:val="0"/>
          <w:sz w:val="22"/>
        </w:rPr>
        <w:t>. arXiv:2307.11732.</w:t>
      </w:r>
    </w:p>
    <w:p>
      <w:pPr>
        <w:spacing w:after="160"/>
        <w:ind w:left="720"/>
      </w:pPr>
      <w:r>
        <w:rPr>
          <w:rFonts w:ascii="Calibri" w:hAnsi="Calibri"/>
          <w:b w:val="0"/>
          <w:i/>
          <w:color w:val="6B7280"/>
          <w:sz w:val="20"/>
        </w:rPr>
        <w:t>Addresses gaps between theoretical auction models and real-world ad auction systems, including budget constraints, strategic behavior, and ecosystem interactions.</w:t>
      </w:r>
    </w:p>
    <w:p>
      <w:pPr>
        <w:pStyle w:val="Heading1"/>
      </w:pPr>
      <w:r>
        <w:t>2. Budget Pacing &amp; Adversarial Robustness</w:t>
      </w:r>
    </w:p>
    <w:p>
      <w:r>
        <w:rPr>
          <w:rFonts w:ascii="Calibri" w:hAnsi="Calibri"/>
          <w:b w:val="0"/>
          <w:i w:val="0"/>
          <w:color w:val="374151"/>
          <w:sz w:val="22"/>
        </w:rPr>
        <w:t>The project simulates 24-hour budget pacing with bid shading and adversarial whale gaming analysis, demonstrating how sophisticated advertisers can detect and exploit reserve price patterns.</w:t>
      </w:r>
    </w:p>
    <w:p>
      <w:pPr>
        <w:pStyle w:val="Heading3"/>
      </w:pPr>
      <w:r>
        <w:t>Core References</w:t>
      </w:r>
    </w:p>
    <w:p>
      <w:pPr>
        <w:pStyle w:val="ListBullet"/>
      </w:pPr>
      <w:r>
        <w:rPr>
          <w:rFonts w:ascii="Calibri" w:hAnsi="Calibri"/>
          <w:b w:val="0"/>
          <w:i w:val="0"/>
          <w:sz w:val="22"/>
        </w:rPr>
        <w:t xml:space="preserve">Balseiro, S. R. &amp; Gur, Y. (2019). </w:t>
      </w:r>
      <w:hyperlink r:id="rId13">
        <w:r>
          <w:rPr>
            <w:rStyle w:val="Hyperlink"/>
            <w:color w:val="1D4ED8"/>
            <w:u w:val="single"/>
            <w:sz w:val="22"/>
            <w:rFonts w:ascii="Calibri" w:hAnsi="Calibri"/>
          </w:rPr>
          <w:t xml:space="preserve">Learning in Repeated Auctions with Budgets: Regret Minimization and Equilibrium</w:t>
        </w:r>
      </w:hyperlink>
      <w:r>
        <w:rPr>
          <w:rFonts w:ascii="Calibri" w:hAnsi="Calibri"/>
          <w:b w:val="0"/>
          <w:i w:val="0"/>
          <w:sz w:val="22"/>
        </w:rPr>
        <w:t>. Management Science, 65(9), 3952–4468.</w:t>
      </w:r>
    </w:p>
    <w:p>
      <w:pPr>
        <w:spacing w:after="160"/>
        <w:ind w:left="720"/>
      </w:pPr>
      <w:r>
        <w:rPr>
          <w:rFonts w:ascii="Calibri" w:hAnsi="Calibri"/>
          <w:b w:val="0"/>
          <w:i/>
          <w:color w:val="6B7280"/>
          <w:sz w:val="20"/>
        </w:rPr>
        <w:t>Develops adaptive pacing algorithms for budget-constrained advertisers. Shows that if all advertisers use adaptive pacing, the outcome is a stable equilibrium with no incentive to deviate.</w:t>
      </w:r>
    </w:p>
    <w:p>
      <w:pPr>
        <w:pStyle w:val="ListBullet"/>
      </w:pPr>
      <w:r>
        <w:rPr>
          <w:rFonts w:ascii="Calibri" w:hAnsi="Calibri"/>
          <w:b w:val="0"/>
          <w:i w:val="0"/>
          <w:sz w:val="22"/>
        </w:rPr>
        <w:t xml:space="preserve">Agarwal, D. et al. (2014). </w:t>
      </w:r>
      <w:hyperlink r:id="rId14">
        <w:r>
          <w:rPr>
            <w:rStyle w:val="Hyperlink"/>
            <w:color w:val="1D4ED8"/>
            <w:u w:val="single"/>
            <w:sz w:val="22"/>
            <w:rFonts w:ascii="Calibri" w:hAnsi="Calibri"/>
          </w:rPr>
          <w:t xml:space="preserve">Budget Pacing for Targeted Online Advertisements at LinkedIn</w:t>
        </w:r>
      </w:hyperlink>
      <w:r>
        <w:rPr>
          <w:rFonts w:ascii="Calibri" w:hAnsi="Calibri"/>
          <w:b w:val="0"/>
          <w:i w:val="0"/>
          <w:sz w:val="22"/>
        </w:rPr>
        <w:t>. KDD 2014.</w:t>
      </w:r>
    </w:p>
    <w:p>
      <w:pPr>
        <w:spacing w:after="160"/>
        <w:ind w:left="720"/>
      </w:pPr>
      <w:r>
        <w:rPr>
          <w:rFonts w:ascii="Calibri" w:hAnsi="Calibri"/>
          <w:b w:val="0"/>
          <w:i/>
          <w:color w:val="6B7280"/>
          <w:sz w:val="20"/>
        </w:rPr>
        <w:t>Industrial-scale budget pacing system with forecast-based allocation across discrete time periods. Directly relevant to the hourly pacing simulation in this project.</w:t>
      </w:r>
    </w:p>
    <w:p>
      <w:pPr>
        <w:pStyle w:val="ListBullet"/>
      </w:pPr>
      <w:r>
        <w:rPr>
          <w:rFonts w:ascii="Calibri" w:hAnsi="Calibri"/>
          <w:b w:val="0"/>
          <w:i w:val="0"/>
          <w:sz w:val="22"/>
        </w:rPr>
        <w:t xml:space="preserve">Nedelec, T. et al. (2019). </w:t>
      </w:r>
      <w:hyperlink r:id="rId15">
        <w:r>
          <w:rPr>
            <w:rStyle w:val="Hyperlink"/>
            <w:color w:val="1D4ED8"/>
            <w:u w:val="single"/>
            <w:sz w:val="22"/>
            <w:rFonts w:ascii="Calibri" w:hAnsi="Calibri"/>
          </w:rPr>
          <w:t xml:space="preserve">Adversarial Learning in Revenue-Maximizing Auctions</w:t>
        </w:r>
      </w:hyperlink>
      <w:r>
        <w:rPr>
          <w:rFonts w:ascii="Calibri" w:hAnsi="Calibri"/>
          <w:b w:val="0"/>
          <w:i w:val="0"/>
          <w:sz w:val="22"/>
        </w:rPr>
        <w:t>. arXiv:1909.06806.</w:t>
      </w:r>
    </w:p>
    <w:p>
      <w:pPr>
        <w:spacing w:after="160"/>
        <w:ind w:left="720"/>
      </w:pPr>
      <w:r>
        <w:rPr>
          <w:rFonts w:ascii="Calibri" w:hAnsi="Calibri"/>
          <w:b w:val="0"/>
          <w:i/>
          <w:color w:val="6B7280"/>
          <w:sz w:val="20"/>
        </w:rPr>
        <w:t>Examines how strategic bidders undermine revenue optimization via adversarial responses to dynamic reserve prices—directly relevant to the whale gaming analysis.</w:t>
      </w:r>
    </w:p>
    <w:p>
      <w:pPr>
        <w:pStyle w:val="ListBullet"/>
      </w:pPr>
      <w:r>
        <w:rPr>
          <w:rFonts w:ascii="Calibri" w:hAnsi="Calibri"/>
          <w:b w:val="0"/>
          <w:i w:val="0"/>
          <w:sz w:val="22"/>
        </w:rPr>
        <w:t xml:space="preserve">Choi, H. &amp; Mela, C. F. </w:t>
      </w:r>
      <w:hyperlink r:id="rId16">
        <w:r>
          <w:rPr>
            <w:rStyle w:val="Hyperlink"/>
            <w:color w:val="1D4ED8"/>
            <w:u w:val="single"/>
            <w:sz w:val="22"/>
            <w:rFonts w:ascii="Calibri" w:hAnsi="Calibri"/>
          </w:rPr>
          <w:t xml:space="preserve">Optimizing Reserve Prices in Display Advertising Auctions</w:t>
        </w:r>
      </w:hyperlink>
      <w:r>
        <w:rPr>
          <w:rFonts w:ascii="Calibri" w:hAnsi="Calibri"/>
          <w:b w:val="0"/>
          <w:i w:val="0"/>
          <w:sz w:val="22"/>
        </w:rPr>
        <w:t>. Working Paper.</w:t>
      </w:r>
    </w:p>
    <w:p>
      <w:pPr>
        <w:spacing w:after="160"/>
        <w:ind w:left="720"/>
      </w:pPr>
      <w:r>
        <w:rPr>
          <w:rFonts w:ascii="Calibri" w:hAnsi="Calibri"/>
          <w:b w:val="0"/>
          <w:i/>
          <w:color w:val="6B7280"/>
          <w:sz w:val="20"/>
        </w:rPr>
        <w:t>Structural model of how advertisers’ bidding behaviors respond to reserve price changes, with empirical validation on display advertising data.</w:t>
      </w:r>
    </w:p>
    <w:p>
      <w:pPr>
        <w:pStyle w:val="ListBullet"/>
      </w:pPr>
      <w:r>
        <w:rPr>
          <w:rFonts w:ascii="Calibri" w:hAnsi="Calibri"/>
          <w:b w:val="0"/>
          <w:i w:val="0"/>
          <w:sz w:val="22"/>
        </w:rPr>
        <w:t xml:space="preserve">Balseiro, S. R. et al. (2023). </w:t>
      </w:r>
      <w:hyperlink r:id="rId17">
        <w:r>
          <w:rPr>
            <w:rStyle w:val="Hyperlink"/>
            <w:color w:val="1D4ED8"/>
            <w:u w:val="single"/>
            <w:sz w:val="22"/>
            <w:rFonts w:ascii="Calibri" w:hAnsi="Calibri"/>
          </w:rPr>
          <w:t xml:space="preserve">Robust Budget Pacing with a Single Sample</w:t>
        </w:r>
      </w:hyperlink>
      <w:r>
        <w:rPr>
          <w:rFonts w:ascii="Calibri" w:hAnsi="Calibri"/>
          <w:b w:val="0"/>
          <w:i w:val="0"/>
          <w:sz w:val="22"/>
        </w:rPr>
        <w:t>. ICML 2023.</w:t>
      </w:r>
    </w:p>
    <w:p>
      <w:pPr>
        <w:spacing w:after="160"/>
        <w:ind w:left="720"/>
      </w:pPr>
      <w:r>
        <w:rPr>
          <w:rFonts w:ascii="Calibri" w:hAnsi="Calibri"/>
          <w:b w:val="0"/>
          <w:i/>
          <w:color w:val="6B7280"/>
          <w:sz w:val="20"/>
        </w:rPr>
        <w:t>Extends pacing theory to robust settings where the distribution of future opportunities is unknown. Provides worst-case guarantees relevant to adversarial environments.</w:t>
      </w:r>
    </w:p>
    <w:p>
      <w:pPr>
        <w:pStyle w:val="Heading1"/>
      </w:pPr>
      <w:r>
        <w:t>3. Quality Score &amp; CTR Prediction Feedback Loops</w:t>
      </w:r>
    </w:p>
    <w:p>
      <w:r>
        <w:rPr>
          <w:rFonts w:ascii="Calibri" w:hAnsi="Calibri"/>
          <w:b w:val="0"/>
          <w:i w:val="0"/>
          <w:color w:val="374151"/>
          <w:sz w:val="22"/>
        </w:rPr>
        <w:t>The project models how quality scores diverge through CTR prediction feedback, creating virtuous cycles for high-quality ads and death spirals for low-quality ads.</w:t>
      </w:r>
    </w:p>
    <w:p>
      <w:pPr>
        <w:pStyle w:val="Heading3"/>
      </w:pPr>
      <w:r>
        <w:t>Core References</w:t>
      </w:r>
    </w:p>
    <w:p>
      <w:pPr>
        <w:pStyle w:val="ListBullet"/>
      </w:pPr>
      <w:r>
        <w:rPr>
          <w:rFonts w:ascii="Calibri" w:hAnsi="Calibri"/>
          <w:b w:val="0"/>
          <w:i w:val="0"/>
          <w:sz w:val="22"/>
        </w:rPr>
        <w:t xml:space="preserve">McMahan, H. B. et al. (2013). </w:t>
      </w:r>
      <w:hyperlink r:id="rId18">
        <w:r>
          <w:rPr>
            <w:rStyle w:val="Hyperlink"/>
            <w:color w:val="1D4ED8"/>
            <w:u w:val="single"/>
            <w:sz w:val="22"/>
            <w:rFonts w:ascii="Calibri" w:hAnsi="Calibri"/>
          </w:rPr>
          <w:t xml:space="preserve">Ad Click Prediction: A View from the Trenches</w:t>
        </w:r>
      </w:hyperlink>
      <w:r>
        <w:rPr>
          <w:rFonts w:ascii="Calibri" w:hAnsi="Calibri"/>
          <w:b w:val="0"/>
          <w:i w:val="0"/>
          <w:sz w:val="22"/>
        </w:rPr>
        <w:t>. KDD 2013.</w:t>
      </w:r>
    </w:p>
    <w:p>
      <w:pPr>
        <w:spacing w:after="160"/>
        <w:ind w:left="720"/>
      </w:pPr>
      <w:r>
        <w:rPr>
          <w:rFonts w:ascii="Calibri" w:hAnsi="Calibri"/>
          <w:b w:val="0"/>
          <w:i/>
          <w:color w:val="6B7280"/>
          <w:sz w:val="20"/>
        </w:rPr>
        <w:t>Google’s landmark paper on CTR prediction at scale, introducing FTRL-Proximal and per-coordinate learning rates. Foundational reference for quality score computation in ad systems.</w:t>
      </w:r>
    </w:p>
    <w:p>
      <w:pPr>
        <w:pStyle w:val="ListBullet"/>
      </w:pPr>
      <w:r>
        <w:rPr>
          <w:rFonts w:ascii="Calibri" w:hAnsi="Calibri"/>
          <w:b w:val="0"/>
          <w:i w:val="0"/>
          <w:sz w:val="22"/>
        </w:rPr>
        <w:t xml:space="preserve">He, X. et al. (2014). </w:t>
      </w:r>
      <w:hyperlink r:id="rId19">
        <w:r>
          <w:rPr>
            <w:rStyle w:val="Hyperlink"/>
            <w:color w:val="1D4ED8"/>
            <w:u w:val="single"/>
            <w:sz w:val="22"/>
            <w:rFonts w:ascii="Calibri" w:hAnsi="Calibri"/>
          </w:rPr>
          <w:t xml:space="preserve">Practical Lessons from Predicting Clicks on Ads at Facebook</w:t>
        </w:r>
      </w:hyperlink>
      <w:r>
        <w:rPr>
          <w:rFonts w:ascii="Calibri" w:hAnsi="Calibri"/>
          <w:b w:val="0"/>
          <w:i w:val="0"/>
          <w:sz w:val="22"/>
        </w:rPr>
        <w:t>. ADKDD 2014.</w:t>
      </w:r>
    </w:p>
    <w:p>
      <w:pPr>
        <w:spacing w:after="160"/>
        <w:ind w:left="720"/>
      </w:pPr>
      <w:r>
        <w:rPr>
          <w:rFonts w:ascii="Calibri" w:hAnsi="Calibri"/>
          <w:b w:val="0"/>
          <w:i/>
          <w:color w:val="6B7280"/>
          <w:sz w:val="20"/>
        </w:rPr>
        <w:t>Facebook’s production CTR prediction system combining decision trees with logistic regression. Discusses feature importance, data freshness, and calibration—all relevant to quality score dynamics.</w:t>
      </w:r>
    </w:p>
    <w:p>
      <w:pPr>
        <w:pStyle w:val="ListBullet"/>
      </w:pPr>
      <w:r>
        <w:rPr>
          <w:rFonts w:ascii="Calibri" w:hAnsi="Calibri"/>
          <w:b w:val="0"/>
          <w:i w:val="0"/>
          <w:sz w:val="22"/>
        </w:rPr>
        <w:t xml:space="preserve">Zhou, G. et al. (2018). </w:t>
      </w:r>
      <w:hyperlink r:id="rId20">
        <w:r>
          <w:rPr>
            <w:rStyle w:val="Hyperlink"/>
            <w:color w:val="1D4ED8"/>
            <w:u w:val="single"/>
            <w:sz w:val="22"/>
            <w:rFonts w:ascii="Calibri" w:hAnsi="Calibri"/>
          </w:rPr>
          <w:t xml:space="preserve">Deep Interest Network for Click-Through Rate Prediction</w:t>
        </w:r>
      </w:hyperlink>
      <w:r>
        <w:rPr>
          <w:rFonts w:ascii="Calibri" w:hAnsi="Calibri"/>
          <w:b w:val="0"/>
          <w:i w:val="0"/>
          <w:sz w:val="22"/>
        </w:rPr>
        <w:t>. KDD 2018.</w:t>
      </w:r>
    </w:p>
    <w:p>
      <w:pPr>
        <w:spacing w:after="160"/>
        <w:ind w:left="720"/>
      </w:pPr>
      <w:r>
        <w:rPr>
          <w:rFonts w:ascii="Calibri" w:hAnsi="Calibri"/>
          <w:b w:val="0"/>
          <w:i/>
          <w:color w:val="6B7280"/>
          <w:sz w:val="20"/>
        </w:rPr>
        <w:t>Alibaba’s attention-based CTR model. Demonstrates how user interest representation affects prediction quality and downstream auction dynamics.</w:t>
      </w:r>
    </w:p>
    <w:p>
      <w:pPr>
        <w:pStyle w:val="Heading1"/>
      </w:pPr>
      <w:r>
        <w:t>4. Thompson Sampling &amp; Exploration-Exploitation</w:t>
      </w:r>
    </w:p>
    <w:p>
      <w:r>
        <w:rPr>
          <w:rFonts w:ascii="Calibri" w:hAnsi="Calibri"/>
          <w:b w:val="0"/>
          <w:i w:val="0"/>
          <w:color w:val="374151"/>
          <w:sz w:val="22"/>
        </w:rPr>
        <w:t>The project uses Thompson Sampling with Beta posteriors for model routing, demonstrating how exploration rates emerge naturally from posterior uncertainty.</w:t>
      </w:r>
    </w:p>
    <w:p>
      <w:pPr>
        <w:pStyle w:val="Heading3"/>
      </w:pPr>
      <w:r>
        <w:t>Core References</w:t>
      </w:r>
    </w:p>
    <w:p>
      <w:pPr>
        <w:pStyle w:val="ListBullet"/>
      </w:pPr>
      <w:r>
        <w:rPr>
          <w:rFonts w:ascii="Calibri" w:hAnsi="Calibri"/>
          <w:b w:val="0"/>
          <w:i w:val="0"/>
          <w:sz w:val="22"/>
        </w:rPr>
        <w:t xml:space="preserve">Thompson, W. R. (1933). </w:t>
      </w:r>
      <w:r>
        <w:rPr>
          <w:rFonts w:ascii="Calibri" w:hAnsi="Calibri"/>
          <w:b/>
          <w:i w:val="0"/>
          <w:sz w:val="22"/>
        </w:rPr>
        <w:t>On the Likelihood that One Unknown Probability Exceeds Another in View of the Evidence of Two Samples</w:t>
      </w:r>
      <w:r>
        <w:rPr>
          <w:rFonts w:ascii="Calibri" w:hAnsi="Calibri"/>
          <w:b w:val="0"/>
          <w:i w:val="0"/>
          <w:sz w:val="22"/>
        </w:rPr>
        <w:t>. Biometrika, 25(3–4), 285–294.</w:t>
      </w:r>
    </w:p>
    <w:p>
      <w:pPr>
        <w:spacing w:after="160"/>
        <w:ind w:left="720"/>
      </w:pPr>
      <w:r>
        <w:rPr>
          <w:rFonts w:ascii="Calibri" w:hAnsi="Calibri"/>
          <w:b w:val="0"/>
          <w:i/>
          <w:color w:val="6B7280"/>
          <w:sz w:val="20"/>
        </w:rPr>
        <w:t>The original 1933 paper introducing Thompson Sampling—the Bayesian approach to the multi-armed bandit problem.</w:t>
      </w:r>
    </w:p>
    <w:p>
      <w:pPr>
        <w:pStyle w:val="ListBullet"/>
      </w:pPr>
      <w:r>
        <w:rPr>
          <w:rFonts w:ascii="Calibri" w:hAnsi="Calibri"/>
          <w:b w:val="0"/>
          <w:i w:val="0"/>
          <w:sz w:val="22"/>
        </w:rPr>
        <w:t xml:space="preserve">Chapelle, O. &amp; Li, L. (2011). </w:t>
      </w:r>
      <w:hyperlink r:id="rId21">
        <w:r>
          <w:rPr>
            <w:rStyle w:val="Hyperlink"/>
            <w:color w:val="1D4ED8"/>
            <w:u w:val="single"/>
            <w:sz w:val="22"/>
            <w:rFonts w:ascii="Calibri" w:hAnsi="Calibri"/>
          </w:rPr>
          <w:t xml:space="preserve">An Empirical Evaluation of Thompson Sampling</w:t>
        </w:r>
      </w:hyperlink>
      <w:r>
        <w:rPr>
          <w:rFonts w:ascii="Calibri" w:hAnsi="Calibri"/>
          <w:b w:val="0"/>
          <w:i w:val="0"/>
          <w:sz w:val="22"/>
        </w:rPr>
        <w:t>. NeurIPS 2011.</w:t>
      </w:r>
    </w:p>
    <w:p>
      <w:pPr>
        <w:spacing w:after="160"/>
        <w:ind w:left="720"/>
      </w:pPr>
      <w:r>
        <w:rPr>
          <w:rFonts w:ascii="Calibri" w:hAnsi="Calibri"/>
          <w:b w:val="0"/>
          <w:i/>
          <w:color w:val="6B7280"/>
          <w:sz w:val="20"/>
        </w:rPr>
        <w:t>Revived modern interest in Thompson Sampling by showing it achieves regret comparable to the Lai-Robbins lower bound on both simulated and real data.</w:t>
      </w:r>
    </w:p>
    <w:p>
      <w:pPr>
        <w:pStyle w:val="ListBullet"/>
      </w:pPr>
      <w:r>
        <w:rPr>
          <w:rFonts w:ascii="Calibri" w:hAnsi="Calibri"/>
          <w:b w:val="0"/>
          <w:i w:val="0"/>
          <w:sz w:val="22"/>
        </w:rPr>
        <w:t xml:space="preserve">Agrawal, S. &amp; Goyal, N. (2012). </w:t>
      </w:r>
      <w:hyperlink r:id="rId22">
        <w:r>
          <w:rPr>
            <w:rStyle w:val="Hyperlink"/>
            <w:color w:val="1D4ED8"/>
            <w:u w:val="single"/>
            <w:sz w:val="22"/>
            <w:rFonts w:ascii="Calibri" w:hAnsi="Calibri"/>
          </w:rPr>
          <w:t xml:space="preserve">Analysis of Thompson Sampling for the Multi-armed Bandit Problem</w:t>
        </w:r>
      </w:hyperlink>
      <w:r>
        <w:rPr>
          <w:rFonts w:ascii="Calibri" w:hAnsi="Calibri"/>
          <w:b w:val="0"/>
          <w:i w:val="0"/>
          <w:sz w:val="22"/>
        </w:rPr>
        <w:t>. COLT 2012.</w:t>
      </w:r>
    </w:p>
    <w:p>
      <w:pPr>
        <w:spacing w:after="160"/>
        <w:ind w:left="720"/>
      </w:pPr>
      <w:r>
        <w:rPr>
          <w:rFonts w:ascii="Calibri" w:hAnsi="Calibri"/>
          <w:b w:val="0"/>
          <w:i/>
          <w:color w:val="6B7280"/>
          <w:sz w:val="20"/>
        </w:rPr>
        <w:t>First proof that Thompson Sampling achieves logarithmic expected regret for stochastic bandits, matching the Lai-Robbins lower bound.</w:t>
      </w:r>
    </w:p>
    <w:p>
      <w:pPr>
        <w:pStyle w:val="ListBullet"/>
      </w:pPr>
      <w:r>
        <w:rPr>
          <w:rFonts w:ascii="Calibri" w:hAnsi="Calibri"/>
          <w:b w:val="0"/>
          <w:i w:val="0"/>
          <w:sz w:val="22"/>
        </w:rPr>
        <w:t xml:space="preserve">Russo, D. et al. (2018). </w:t>
      </w:r>
      <w:hyperlink r:id="rId23">
        <w:r>
          <w:rPr>
            <w:rStyle w:val="Hyperlink"/>
            <w:color w:val="1D4ED8"/>
            <w:u w:val="single"/>
            <w:sz w:val="22"/>
            <w:rFonts w:ascii="Calibri" w:hAnsi="Calibri"/>
          </w:rPr>
          <w:t xml:space="preserve">A Tutorial on Thompson Sampling</w:t>
        </w:r>
      </w:hyperlink>
      <w:r>
        <w:rPr>
          <w:rFonts w:ascii="Calibri" w:hAnsi="Calibri"/>
          <w:b w:val="0"/>
          <w:i w:val="0"/>
          <w:sz w:val="22"/>
        </w:rPr>
        <w:t>. Foundations and Trends in Machine Learning, 11(1), 1–96.</w:t>
      </w:r>
    </w:p>
    <w:p>
      <w:pPr>
        <w:spacing w:after="160"/>
        <w:ind w:left="720"/>
      </w:pPr>
      <w:r>
        <w:rPr>
          <w:rFonts w:ascii="Calibri" w:hAnsi="Calibri"/>
          <w:b w:val="0"/>
          <w:i/>
          <w:color w:val="6B7280"/>
          <w:sz w:val="20"/>
        </w:rPr>
        <w:t>Comprehensive 96-page tutorial covering theory, algorithms, and practical implementation of Thompson Sampling across various bandit settings.</w:t>
      </w:r>
    </w:p>
    <w:p>
      <w:pPr>
        <w:pStyle w:val="ListBullet"/>
      </w:pPr>
      <w:r>
        <w:rPr>
          <w:rFonts w:ascii="Calibri" w:hAnsi="Calibri"/>
          <w:b w:val="0"/>
          <w:i w:val="0"/>
          <w:sz w:val="22"/>
        </w:rPr>
        <w:t xml:space="preserve">Lai, T. L. &amp; Robbins, H. (1985). </w:t>
      </w:r>
      <w:hyperlink r:id="rId24">
        <w:r>
          <w:rPr>
            <w:rStyle w:val="Hyperlink"/>
            <w:color w:val="1D4ED8"/>
            <w:u w:val="single"/>
            <w:sz w:val="22"/>
            <w:rFonts w:ascii="Calibri" w:hAnsi="Calibri"/>
          </w:rPr>
          <w:t xml:space="preserve">Asymptotically Efficient Adaptive Allocation Rules</w:t>
        </w:r>
      </w:hyperlink>
      <w:r>
        <w:rPr>
          <w:rFonts w:ascii="Calibri" w:hAnsi="Calibri"/>
          <w:b w:val="0"/>
          <w:i w:val="0"/>
          <w:sz w:val="22"/>
        </w:rPr>
        <w:t>. Advances in Applied Mathematics, 6(1), 4–22.</w:t>
      </w:r>
    </w:p>
    <w:p>
      <w:pPr>
        <w:spacing w:after="160"/>
        <w:ind w:left="720"/>
      </w:pPr>
      <w:r>
        <w:rPr>
          <w:rFonts w:ascii="Calibri" w:hAnsi="Calibri"/>
          <w:b w:val="0"/>
          <w:i/>
          <w:color w:val="6B7280"/>
          <w:sz w:val="20"/>
        </w:rPr>
        <w:t>Establishes the fundamental logarithmic lower bound on regret for multi-armed bandits. The regret bound referenced throughout the Thompson Sampling module.</w:t>
      </w:r>
    </w:p>
    <w:p>
      <w:pPr>
        <w:pStyle w:val="Heading1"/>
      </w:pPr>
      <w:r>
        <w:t>5. Cascade Ranking &amp; Latency-to-Conversion Economics</w:t>
      </w:r>
    </w:p>
    <w:p>
      <w:r>
        <w:rPr>
          <w:rFonts w:ascii="Calibri" w:hAnsi="Calibri"/>
          <w:b w:val="0"/>
          <w:i w:val="0"/>
          <w:color w:val="374151"/>
          <w:sz w:val="22"/>
        </w:rPr>
        <w:t>The project implements a three-stage cascade ranking pipeline and models the latency-to-conversion impact where each 100ms of ad rendering delay costs approximately 1% in site conversions.</w:t>
      </w:r>
    </w:p>
    <w:p>
      <w:pPr>
        <w:pStyle w:val="Heading3"/>
      </w:pPr>
      <w:r>
        <w:t>Core References</w:t>
      </w:r>
    </w:p>
    <w:p>
      <w:pPr>
        <w:pStyle w:val="ListBullet"/>
      </w:pPr>
      <w:r>
        <w:rPr>
          <w:rFonts w:ascii="Calibri" w:hAnsi="Calibri"/>
          <w:b w:val="0"/>
          <w:i w:val="0"/>
          <w:sz w:val="22"/>
        </w:rPr>
        <w:t xml:space="preserve">Meta Engineering. (2024). </w:t>
      </w:r>
      <w:hyperlink r:id="rId25">
        <w:r>
          <w:rPr>
            <w:rStyle w:val="Hyperlink"/>
            <w:color w:val="1D4ED8"/>
            <w:u w:val="single"/>
            <w:sz w:val="22"/>
            <w:rFonts w:ascii="Calibri" w:hAnsi="Calibri"/>
          </w:rPr>
          <w:t xml:space="preserve">Meta Andromeda: Supercharging Advantage+ Automation with the Next-Gen Personalized Ads Retrieval Engine</w:t>
        </w:r>
      </w:hyperlink>
      <w:r>
        <w:rPr>
          <w:rFonts w:ascii="Calibri" w:hAnsi="Calibri"/>
          <w:b w:val="0"/>
          <w:i w:val="0"/>
          <w:sz w:val="22"/>
        </w:rPr>
        <w:t>. Engineering at Meta Blog.</w:t>
      </w:r>
    </w:p>
    <w:p>
      <w:pPr>
        <w:spacing w:after="160"/>
        <w:ind w:left="720"/>
      </w:pPr>
      <w:r>
        <w:rPr>
          <w:rFonts w:ascii="Calibri" w:hAnsi="Calibri"/>
          <w:b w:val="0"/>
          <w:i/>
          <w:color w:val="6B7280"/>
          <w:sz w:val="20"/>
        </w:rPr>
        <w:t>Meta’s production multi-stage ads retrieval engine. Demonstrates real-world cascade architecture achieving +6% recall and +8% ads quality improvement.</w:t>
      </w:r>
    </w:p>
    <w:p>
      <w:pPr>
        <w:pStyle w:val="ListBullet"/>
      </w:pPr>
      <w:r>
        <w:rPr>
          <w:rFonts w:ascii="Calibri" w:hAnsi="Calibri"/>
          <w:b w:val="0"/>
          <w:i w:val="0"/>
          <w:sz w:val="22"/>
        </w:rPr>
        <w:t xml:space="preserve">Meta Engineering. (2024). </w:t>
      </w:r>
      <w:hyperlink r:id="rId26">
        <w:r>
          <w:rPr>
            <w:rStyle w:val="Hyperlink"/>
            <w:color w:val="1D4ED8"/>
            <w:u w:val="single"/>
            <w:sz w:val="22"/>
            <w:rFonts w:ascii="Calibri" w:hAnsi="Calibri"/>
          </w:rPr>
          <w:t xml:space="preserve">Taming the Tail Utilization of Ads Inference at Meta Scale</w:t>
        </w:r>
      </w:hyperlink>
      <w:r>
        <w:rPr>
          <w:rFonts w:ascii="Calibri" w:hAnsi="Calibri"/>
          <w:b w:val="0"/>
          <w:i w:val="0"/>
          <w:sz w:val="22"/>
        </w:rPr>
        <w:t>. Engineering at Meta Blog.</w:t>
      </w:r>
    </w:p>
    <w:p>
      <w:pPr>
        <w:spacing w:after="160"/>
        <w:ind w:left="720"/>
      </w:pPr>
      <w:r>
        <w:rPr>
          <w:rFonts w:ascii="Calibri" w:hAnsi="Calibri"/>
          <w:b w:val="0"/>
          <w:i/>
          <w:color w:val="6B7280"/>
          <w:sz w:val="20"/>
        </w:rPr>
        <w:t>Latency optimization in Meta’s ads inference stack, including load balancing and model serving strategies critical for maintaining low latency in cascade systems.</w:t>
      </w:r>
    </w:p>
    <w:p>
      <w:pPr>
        <w:pStyle w:val="ListBullet"/>
      </w:pPr>
      <w:r>
        <w:rPr>
          <w:rFonts w:ascii="Calibri" w:hAnsi="Calibri"/>
          <w:b w:val="0"/>
          <w:i w:val="0"/>
          <w:sz w:val="22"/>
        </w:rPr>
        <w:t xml:space="preserve">GigaSpaces Report. </w:t>
      </w:r>
      <w:hyperlink r:id="rId27">
        <w:r>
          <w:rPr>
            <w:rStyle w:val="Hyperlink"/>
            <w:color w:val="1D4ED8"/>
            <w:u w:val="single"/>
            <w:sz w:val="22"/>
            <w:rFonts w:ascii="Calibri" w:hAnsi="Calibri"/>
          </w:rPr>
          <w:t xml:space="preserve">Amazon: Every 100ms of Latency Cost 1% in Sales</w:t>
        </w:r>
      </w:hyperlink>
      <w:r>
        <w:rPr>
          <w:rFonts w:ascii="Calibri" w:hAnsi="Calibri"/>
          <w:b w:val="0"/>
          <w:i w:val="0"/>
          <w:sz w:val="22"/>
        </w:rPr>
        <w:t xml:space="preserve">. </w:t>
      </w:r>
    </w:p>
    <w:p>
      <w:pPr>
        <w:spacing w:after="160"/>
        <w:ind w:left="720"/>
      </w:pPr>
      <w:r>
        <w:rPr>
          <w:rFonts w:ascii="Calibri" w:hAnsi="Calibri"/>
          <w:b w:val="0"/>
          <w:i/>
          <w:color w:val="6B7280"/>
          <w:sz w:val="20"/>
        </w:rPr>
        <w:t>Amazon’s widely-cited finding that every 100ms of added page load time costs 1% in sales. The empirical basis for the 1%/100ms conversion loss model used in the cascade latency analysis.</w:t>
      </w:r>
    </w:p>
    <w:p>
      <w:pPr>
        <w:pStyle w:val="ListBullet"/>
      </w:pPr>
      <w:r>
        <w:rPr>
          <w:rFonts w:ascii="Calibri" w:hAnsi="Calibri"/>
          <w:b w:val="0"/>
          <w:i w:val="0"/>
          <w:sz w:val="22"/>
        </w:rPr>
        <w:t xml:space="preserve">Wang, X. et al. (2023). </w:t>
      </w:r>
      <w:hyperlink r:id="rId28">
        <w:r>
          <w:rPr>
            <w:rStyle w:val="Hyperlink"/>
            <w:color w:val="1D4ED8"/>
            <w:u w:val="single"/>
            <w:sz w:val="22"/>
            <w:rFonts w:ascii="Calibri" w:hAnsi="Calibri"/>
          </w:rPr>
          <w:t xml:space="preserve">A Multi-task Learning Framework for Early Stage Ads Ranking</w:t>
        </w:r>
      </w:hyperlink>
      <w:r>
        <w:rPr>
          <w:rFonts w:ascii="Calibri" w:hAnsi="Calibri"/>
          <w:b w:val="0"/>
          <w:i w:val="0"/>
          <w:sz w:val="22"/>
        </w:rPr>
        <w:t>. arXiv:2307.11096.</w:t>
      </w:r>
    </w:p>
    <w:p>
      <w:pPr>
        <w:spacing w:after="160"/>
        <w:ind w:left="720"/>
      </w:pPr>
      <w:r>
        <w:rPr>
          <w:rFonts w:ascii="Calibri" w:hAnsi="Calibri"/>
          <w:b w:val="0"/>
          <w:i/>
          <w:color w:val="6B7280"/>
          <w:sz w:val="20"/>
        </w:rPr>
        <w:t>Multi-task learning for early-stage ads ranking, demonstrating how lightweight models in the cascade’s first stages can approximate heavy models while respecting latency budgets.</w:t>
      </w:r>
    </w:p>
    <w:p>
      <w:pPr>
        <w:pStyle w:val="Heading1"/>
      </w:pPr>
      <w:r>
        <w:t>6. Recommender Model Architectures</w:t>
      </w:r>
    </w:p>
    <w:p>
      <w:r>
        <w:rPr>
          <w:rFonts w:ascii="Calibri" w:hAnsi="Calibri"/>
          <w:b w:val="0"/>
          <w:i w:val="0"/>
          <w:color w:val="374151"/>
          <w:sz w:val="22"/>
        </w:rPr>
        <w:t>The project simulates four core model architectures (Two-Tower, GBDT, DLRM, Contextual Bandit) plus two advanced variants (Hybrid Ensemble, Risk-Adjusted Ranker) in the Financial Services scenario.</w:t>
      </w:r>
    </w:p>
    <w:p>
      <w:pPr>
        <w:pStyle w:val="Heading3"/>
      </w:pPr>
      <w:r>
        <w:t>DLRM (Deep Learning Recommendation Model)</w:t>
      </w:r>
    </w:p>
    <w:p>
      <w:pPr>
        <w:pStyle w:val="ListBullet"/>
      </w:pPr>
      <w:r>
        <w:rPr>
          <w:rFonts w:ascii="Calibri" w:hAnsi="Calibri"/>
          <w:b w:val="0"/>
          <w:i w:val="0"/>
          <w:sz w:val="22"/>
        </w:rPr>
        <w:t xml:space="preserve">Naumov, M. et al. (2019). </w:t>
      </w:r>
      <w:hyperlink r:id="rId29">
        <w:r>
          <w:rPr>
            <w:rStyle w:val="Hyperlink"/>
            <w:color w:val="1D4ED8"/>
            <w:u w:val="single"/>
            <w:sz w:val="22"/>
            <w:rFonts w:ascii="Calibri" w:hAnsi="Calibri"/>
          </w:rPr>
          <w:t xml:space="preserve">Deep Learning Recommendation Model for Personalization and Recommendation Systems</w:t>
        </w:r>
      </w:hyperlink>
      <w:r>
        <w:rPr>
          <w:rFonts w:ascii="Calibri" w:hAnsi="Calibri"/>
          <w:b w:val="0"/>
          <w:i w:val="0"/>
          <w:sz w:val="22"/>
        </w:rPr>
        <w:t>. arXiv:1906.00091.</w:t>
      </w:r>
    </w:p>
    <w:p>
      <w:pPr>
        <w:spacing w:after="160"/>
        <w:ind w:left="720"/>
      </w:pPr>
      <w:r>
        <w:rPr>
          <w:rFonts w:ascii="Calibri" w:hAnsi="Calibri"/>
          <w:b w:val="0"/>
          <w:i/>
          <w:color w:val="6B7280"/>
          <w:sz w:val="20"/>
        </w:rPr>
        <w:t>Meta’s foundational DLRM paper. Introduces the architecture processing dense and sparse features through embedding tables with structured dot-product interactions, deployed at scale across Meta’s ad systems.</w:t>
      </w:r>
    </w:p>
    <w:p>
      <w:pPr>
        <w:pStyle w:val="ListBullet"/>
      </w:pPr>
      <w:r>
        <w:rPr>
          <w:rFonts w:ascii="Calibri" w:hAnsi="Calibri"/>
          <w:b w:val="0"/>
          <w:i w:val="0"/>
          <w:sz w:val="22"/>
        </w:rPr>
        <w:t xml:space="preserve">GitHub: </w:t>
      </w:r>
      <w:hyperlink r:id="rId30">
        <w:r>
          <w:rPr>
            <w:rStyle w:val="Hyperlink"/>
            <w:color w:val="1D4ED8"/>
            <w:u w:val="single"/>
            <w:sz w:val="22"/>
            <w:rFonts w:ascii="Calibri" w:hAnsi="Calibri"/>
          </w:rPr>
          <w:t xml:space="preserve">facebookresearch/dlrm</w:t>
        </w:r>
      </w:hyperlink>
      <w:r>
        <w:rPr>
          <w:rFonts w:ascii="Calibri" w:hAnsi="Calibri"/>
          <w:b w:val="0"/>
          <w:i w:val="0"/>
          <w:sz w:val="22"/>
        </w:rPr>
        <w:t xml:space="preserve"> — Official open-source implementation in PyTorch and Caffe2.</w:t>
      </w:r>
    </w:p>
    <w:p>
      <w:pPr>
        <w:pStyle w:val="Heading3"/>
      </w:pPr>
      <w:r>
        <w:t>Two-Tower (Embedding-Based Retrieval)</w:t>
      </w:r>
    </w:p>
    <w:p>
      <w:pPr>
        <w:pStyle w:val="ListBullet"/>
      </w:pPr>
      <w:r>
        <w:rPr>
          <w:rFonts w:ascii="Calibri" w:hAnsi="Calibri"/>
          <w:b w:val="0"/>
          <w:i w:val="0"/>
          <w:sz w:val="22"/>
        </w:rPr>
        <w:t xml:space="preserve">Huang, J.-T. et al. (2020). </w:t>
      </w:r>
      <w:hyperlink r:id="rId31">
        <w:r>
          <w:rPr>
            <w:rStyle w:val="Hyperlink"/>
            <w:color w:val="1D4ED8"/>
            <w:u w:val="single"/>
            <w:sz w:val="22"/>
            <w:rFonts w:ascii="Calibri" w:hAnsi="Calibri"/>
          </w:rPr>
          <w:t xml:space="preserve">Embedding-based Retrieval in Facebook Search</w:t>
        </w:r>
      </w:hyperlink>
      <w:r>
        <w:rPr>
          <w:rFonts w:ascii="Calibri" w:hAnsi="Calibri"/>
          <w:b w:val="0"/>
          <w:i w:val="0"/>
          <w:sz w:val="22"/>
        </w:rPr>
        <w:t>. KDD 2020.</w:t>
      </w:r>
    </w:p>
    <w:p>
      <w:pPr>
        <w:spacing w:after="160"/>
        <w:ind w:left="720"/>
      </w:pPr>
      <w:r>
        <w:rPr>
          <w:rFonts w:ascii="Calibri" w:hAnsi="Calibri"/>
          <w:b w:val="0"/>
          <w:i/>
          <w:color w:val="6B7280"/>
          <w:sz w:val="20"/>
        </w:rPr>
        <w:t>Facebook’s production two-tower model for retrieval. Covers unified embedding framework, ANN indexing, hard negative mining, and full-stack optimization. The reference architecture for the cascade’s retrieval stage.</w:t>
      </w:r>
    </w:p>
    <w:p>
      <w:pPr>
        <w:pStyle w:val="ListBullet"/>
      </w:pPr>
      <w:r>
        <w:rPr>
          <w:rFonts w:ascii="Calibri" w:hAnsi="Calibri"/>
          <w:b w:val="0"/>
          <w:i w:val="0"/>
          <w:sz w:val="22"/>
        </w:rPr>
        <w:t xml:space="preserve">Meta Engineering. (2023). </w:t>
      </w:r>
      <w:hyperlink r:id="rId32">
        <w:r>
          <w:rPr>
            <w:rStyle w:val="Hyperlink"/>
            <w:color w:val="1D4ED8"/>
            <w:u w:val="single"/>
            <w:sz w:val="22"/>
            <w:rFonts w:ascii="Calibri" w:hAnsi="Calibri"/>
          </w:rPr>
          <w:t xml:space="preserve">Scaling the Instagram Explore Recommendations System</w:t>
        </w:r>
      </w:hyperlink>
      <w:r>
        <w:rPr>
          <w:rFonts w:ascii="Calibri" w:hAnsi="Calibri"/>
          <w:b w:val="0"/>
          <w:i w:val="0"/>
          <w:sz w:val="22"/>
        </w:rPr>
        <w:t>. Engineering at Meta Blog.</w:t>
      </w:r>
    </w:p>
    <w:p>
      <w:pPr>
        <w:spacing w:after="160"/>
        <w:ind w:left="720"/>
      </w:pPr>
      <w:r>
        <w:rPr>
          <w:rFonts w:ascii="Calibri" w:hAnsi="Calibri"/>
          <w:b w:val="0"/>
          <w:i/>
          <w:color w:val="6B7280"/>
          <w:sz w:val="20"/>
        </w:rPr>
        <w:t>Engineering blog post on scaling two-tower retrieval for Instagram Explore, including practical challenges of ANN index updates, embedding freshness, and multi-stage candidate generation.</w:t>
      </w:r>
    </w:p>
    <w:p>
      <w:pPr>
        <w:pStyle w:val="Heading3"/>
      </w:pPr>
      <w:r>
        <w:t>GBDT (Gradient Boosted Decision Trees)</w:t>
      </w:r>
    </w:p>
    <w:p>
      <w:pPr>
        <w:pStyle w:val="ListBullet"/>
      </w:pPr>
      <w:r>
        <w:rPr>
          <w:rFonts w:ascii="Calibri" w:hAnsi="Calibri"/>
          <w:b w:val="0"/>
          <w:i w:val="0"/>
          <w:sz w:val="22"/>
        </w:rPr>
        <w:t xml:space="preserve">Chen, T. &amp; Guestrin, C. (2016). </w:t>
      </w:r>
      <w:hyperlink r:id="rId33">
        <w:r>
          <w:rPr>
            <w:rStyle w:val="Hyperlink"/>
            <w:color w:val="1D4ED8"/>
            <w:u w:val="single"/>
            <w:sz w:val="22"/>
            <w:rFonts w:ascii="Calibri" w:hAnsi="Calibri"/>
          </w:rPr>
          <w:t xml:space="preserve">XGBoost: A Scalable Tree Boosting System</w:t>
        </w:r>
      </w:hyperlink>
      <w:r>
        <w:rPr>
          <w:rFonts w:ascii="Calibri" w:hAnsi="Calibri"/>
          <w:b w:val="0"/>
          <w:i w:val="0"/>
          <w:sz w:val="22"/>
        </w:rPr>
        <w:t>. KDD 2016.</w:t>
      </w:r>
    </w:p>
    <w:p>
      <w:pPr>
        <w:spacing w:after="160"/>
        <w:ind w:left="720"/>
      </w:pPr>
      <w:r>
        <w:rPr>
          <w:rFonts w:ascii="Calibri" w:hAnsi="Calibri"/>
          <w:b w:val="0"/>
          <w:i/>
          <w:color w:val="6B7280"/>
          <w:sz w:val="20"/>
        </w:rPr>
        <w:t>The XGBoost paper: scalable gradient boosting with sparsity-aware algorithms and cache-aware computation. The basis for the GBDT Ranker model in the simulator.</w:t>
      </w:r>
    </w:p>
    <w:p>
      <w:pPr>
        <w:pStyle w:val="ListBullet"/>
      </w:pPr>
      <w:r>
        <w:rPr>
          <w:rFonts w:ascii="Calibri" w:hAnsi="Calibri"/>
          <w:b w:val="0"/>
          <w:i w:val="0"/>
          <w:sz w:val="22"/>
        </w:rPr>
        <w:t xml:space="preserve">Ke, G. et al. (2017). </w:t>
      </w:r>
      <w:hyperlink r:id="rId34">
        <w:r>
          <w:rPr>
            <w:rStyle w:val="Hyperlink"/>
            <w:color w:val="1D4ED8"/>
            <w:u w:val="single"/>
            <w:sz w:val="22"/>
            <w:rFonts w:ascii="Calibri" w:hAnsi="Calibri"/>
          </w:rPr>
          <w:t xml:space="preserve">LightGBM: A Highly Efficient Gradient Boosting Decision Tree</w:t>
        </w:r>
      </w:hyperlink>
      <w:r>
        <w:rPr>
          <w:rFonts w:ascii="Calibri" w:hAnsi="Calibri"/>
          <w:b w:val="0"/>
          <w:i w:val="0"/>
          <w:sz w:val="22"/>
        </w:rPr>
        <w:t>. NeurIPS 2017.</w:t>
      </w:r>
    </w:p>
    <w:p>
      <w:pPr>
        <w:spacing w:after="160"/>
        <w:ind w:left="720"/>
      </w:pPr>
      <w:r>
        <w:rPr>
          <w:rFonts w:ascii="Calibri" w:hAnsi="Calibri"/>
          <w:b w:val="0"/>
          <w:i/>
          <w:color w:val="6B7280"/>
          <w:sz w:val="20"/>
        </w:rPr>
        <w:t>Microsoft’s gradient boosting framework with GOSS and EFB. Widely used in production ad ranking systems for speed and accuracy on tabular features.</w:t>
      </w:r>
    </w:p>
    <w:p>
      <w:pPr>
        <w:pStyle w:val="Heading3"/>
      </w:pPr>
      <w:r>
        <w:t>Contextual Bandits</w:t>
      </w:r>
    </w:p>
    <w:p>
      <w:pPr>
        <w:pStyle w:val="ListBullet"/>
      </w:pPr>
      <w:r>
        <w:rPr>
          <w:rFonts w:ascii="Calibri" w:hAnsi="Calibri"/>
          <w:b w:val="0"/>
          <w:i w:val="0"/>
          <w:sz w:val="22"/>
        </w:rPr>
        <w:t xml:space="preserve">Li, L. et al. (2010). </w:t>
      </w:r>
      <w:hyperlink r:id="rId35">
        <w:r>
          <w:rPr>
            <w:rStyle w:val="Hyperlink"/>
            <w:color w:val="1D4ED8"/>
            <w:u w:val="single"/>
            <w:sz w:val="22"/>
            <w:rFonts w:ascii="Calibri" w:hAnsi="Calibri"/>
          </w:rPr>
          <w:t xml:space="preserve">A Contextual-Bandit Approach to Personalized News Article Recommendation</w:t>
        </w:r>
      </w:hyperlink>
      <w:r>
        <w:rPr>
          <w:rFonts w:ascii="Calibri" w:hAnsi="Calibri"/>
          <w:b w:val="0"/>
          <w:i w:val="0"/>
          <w:sz w:val="22"/>
        </w:rPr>
        <w:t>. WWW 2010.</w:t>
      </w:r>
    </w:p>
    <w:p>
      <w:pPr>
        <w:spacing w:after="160"/>
        <w:ind w:left="720"/>
      </w:pPr>
      <w:r>
        <w:rPr>
          <w:rFonts w:ascii="Calibri" w:hAnsi="Calibri"/>
          <w:b w:val="0"/>
          <w:i/>
          <w:color w:val="6B7280"/>
          <w:sz w:val="20"/>
        </w:rPr>
        <w:t>Introduces LinUCB for contextual bandits in recommendation. Models personalized recommendation as a contextual bandit problem. Foundation for the Contextual Bandit model variant.</w:t>
      </w:r>
    </w:p>
    <w:p>
      <w:pPr>
        <w:pStyle w:val="Heading1"/>
      </w:pPr>
      <w:r>
        <w:t>7. Multi-Objective Optimization &amp; Model Strategy</w:t>
      </w:r>
    </w:p>
    <w:p>
      <w:r>
        <w:rPr>
          <w:rFonts w:ascii="Calibri" w:hAnsi="Calibri"/>
          <w:b w:val="0"/>
          <w:i w:val="0"/>
          <w:color w:val="374151"/>
          <w:sz w:val="22"/>
        </w:rPr>
        <w:t>The Model Strategy Framework jointly optimizes revenue, user experience, advertiser health, and compute cost across segment-vertical-lifecycle contexts.</w:t>
      </w:r>
    </w:p>
    <w:p>
      <w:pPr>
        <w:pStyle w:val="Heading3"/>
      </w:pPr>
      <w:r>
        <w:t>Core References</w:t>
      </w:r>
    </w:p>
    <w:p>
      <w:pPr>
        <w:pStyle w:val="ListBullet"/>
      </w:pPr>
      <w:r>
        <w:rPr>
          <w:rFonts w:ascii="Calibri" w:hAnsi="Calibri"/>
          <w:b w:val="0"/>
          <w:i w:val="0"/>
          <w:sz w:val="22"/>
        </w:rPr>
        <w:t xml:space="preserve">Jannach, D. &amp; Abdollahpouri, H. (2023). </w:t>
      </w:r>
      <w:hyperlink r:id="rId36">
        <w:r>
          <w:rPr>
            <w:rStyle w:val="Hyperlink"/>
            <w:color w:val="1D4ED8"/>
            <w:u w:val="single"/>
            <w:sz w:val="22"/>
            <w:rFonts w:ascii="Calibri" w:hAnsi="Calibri"/>
          </w:rPr>
          <w:t xml:space="preserve">Multi-Objective Recommender Systems: Survey and Challenges</w:t>
        </w:r>
      </w:hyperlink>
      <w:r>
        <w:rPr>
          <w:rFonts w:ascii="Calibri" w:hAnsi="Calibri"/>
          <w:b w:val="0"/>
          <w:i w:val="0"/>
          <w:sz w:val="22"/>
        </w:rPr>
        <w:t>. arXiv:2210.10309.</w:t>
      </w:r>
    </w:p>
    <w:p>
      <w:pPr>
        <w:spacing w:after="160"/>
        <w:ind w:left="720"/>
      </w:pPr>
      <w:r>
        <w:rPr>
          <w:rFonts w:ascii="Calibri" w:hAnsi="Calibri"/>
          <w:b w:val="0"/>
          <w:i/>
          <w:color w:val="6B7280"/>
          <w:sz w:val="20"/>
        </w:rPr>
        <w:t>Comprehensive survey of multi-objective optimization in recommendation, covering competing objectives across stakeholders and long-term vs. short-term tradeoffs.</w:t>
      </w:r>
    </w:p>
    <w:p>
      <w:pPr>
        <w:pStyle w:val="ListBullet"/>
      </w:pPr>
      <w:r>
        <w:rPr>
          <w:rFonts w:ascii="Calibri" w:hAnsi="Calibri"/>
          <w:b w:val="0"/>
          <w:i w:val="0"/>
          <w:sz w:val="22"/>
        </w:rPr>
        <w:t xml:space="preserve">Zhao, X. et al. (2019). </w:t>
      </w:r>
      <w:hyperlink r:id="rId37">
        <w:r>
          <w:rPr>
            <w:rStyle w:val="Hyperlink"/>
            <w:color w:val="1D4ED8"/>
            <w:u w:val="single"/>
            <w:sz w:val="22"/>
            <w:rFonts w:ascii="Calibri" w:hAnsi="Calibri"/>
          </w:rPr>
          <w:t xml:space="preserve">DEAR: Deep Reinforcement Learning for Online Advertising Impression in Recommender Systems</w:t>
        </w:r>
      </w:hyperlink>
      <w:r>
        <w:rPr>
          <w:rFonts w:ascii="Calibri" w:hAnsi="Calibri"/>
          <w:b w:val="0"/>
          <w:i w:val="0"/>
          <w:sz w:val="22"/>
        </w:rPr>
        <w:t>. arXiv:1909.03602.</w:t>
      </w:r>
    </w:p>
    <w:p>
      <w:pPr>
        <w:spacing w:after="160"/>
        <w:ind w:left="720"/>
      </w:pPr>
      <w:r>
        <w:rPr>
          <w:rFonts w:ascii="Calibri" w:hAnsi="Calibri"/>
          <w:b w:val="0"/>
          <w:i/>
          <w:color w:val="6B7280"/>
          <w:sz w:val="20"/>
        </w:rPr>
        <w:t>Deep Q-network approach to jointly optimizing ad revenue and user experience. Determines ad insertion, selection, and placement—balancing monetization with user satisfaction.</w:t>
      </w:r>
    </w:p>
    <w:p>
      <w:pPr>
        <w:pStyle w:val="ListBullet"/>
      </w:pPr>
      <w:r>
        <w:rPr>
          <w:rFonts w:ascii="Calibri" w:hAnsi="Calibri"/>
          <w:b w:val="0"/>
          <w:i w:val="0"/>
          <w:sz w:val="22"/>
        </w:rPr>
        <w:t xml:space="preserve">Meta AI. (2022). </w:t>
      </w:r>
      <w:hyperlink r:id="rId38">
        <w:r>
          <w:rPr>
            <w:rStyle w:val="Hyperlink"/>
            <w:color w:val="1D4ED8"/>
            <w:u w:val="single"/>
            <w:sz w:val="22"/>
            <w:rFonts w:ascii="Calibri" w:hAnsi="Calibri"/>
          </w:rPr>
          <w:t xml:space="preserve">New AI Advancements Drive Meta’s Ads System Performance and Efficiency (Meta Lattice)</w:t>
        </w:r>
      </w:hyperlink>
      <w:r>
        <w:rPr>
          <w:rFonts w:ascii="Calibri" w:hAnsi="Calibri"/>
          <w:b w:val="0"/>
          <w:i w:val="0"/>
          <w:sz w:val="22"/>
        </w:rPr>
        <w:t>. Meta AI Blog.</w:t>
      </w:r>
    </w:p>
    <w:p>
      <w:pPr>
        <w:spacing w:after="160"/>
        <w:ind w:left="720"/>
      </w:pPr>
      <w:r>
        <w:rPr>
          <w:rFonts w:ascii="Calibri" w:hAnsi="Calibri"/>
          <w:b w:val="0"/>
          <w:i/>
          <w:color w:val="6B7280"/>
          <w:sz w:val="20"/>
        </w:rPr>
        <w:t>Meta Lattice architecture that predicts ad performance across datasets and optimizations simultaneously. Demonstrates production-scale multi-objective model serving.</w:t>
      </w:r>
    </w:p>
    <w:p>
      <w:pPr>
        <w:pStyle w:val="ListBullet"/>
      </w:pPr>
      <w:r>
        <w:rPr>
          <w:rFonts w:ascii="Calibri" w:hAnsi="Calibri"/>
          <w:b w:val="0"/>
          <w:i w:val="0"/>
          <w:sz w:val="22"/>
        </w:rPr>
        <w:t xml:space="preserve">Meta Engineering. (2025). </w:t>
      </w:r>
      <w:hyperlink r:id="rId39">
        <w:r>
          <w:rPr>
            <w:rStyle w:val="Hyperlink"/>
            <w:color w:val="1D4ED8"/>
            <w:u w:val="single"/>
            <w:sz w:val="22"/>
            <w:rFonts w:ascii="Calibri" w:hAnsi="Calibri"/>
          </w:rPr>
          <w:t xml:space="preserve">Meta’s Generative Ads Model (GEM): The Central Brain Accelerating Ads Recommendation AI Innovation</w:t>
        </w:r>
      </w:hyperlink>
      <w:r>
        <w:rPr>
          <w:rFonts w:ascii="Calibri" w:hAnsi="Calibri"/>
          <w:b w:val="0"/>
          <w:i w:val="0"/>
          <w:sz w:val="22"/>
        </w:rPr>
        <w:t>. Engineering at Meta Blog.</w:t>
      </w:r>
    </w:p>
    <w:p>
      <w:pPr>
        <w:spacing w:after="160"/>
        <w:ind w:left="720"/>
      </w:pPr>
      <w:r>
        <w:rPr>
          <w:rFonts w:ascii="Calibri" w:hAnsi="Calibri"/>
          <w:b w:val="0"/>
          <w:i/>
          <w:color w:val="6B7280"/>
          <w:sz w:val="20"/>
        </w:rPr>
        <w:t>Meta’s latest generative advertising recommendation framework. First end-to-end generative ad recommendation system deployed at scale, unifying heterogeneous data with multi-stakeholder optimization.</w:t>
      </w:r>
    </w:p>
    <w:p>
      <w:pPr>
        <w:pStyle w:val="ListBullet"/>
      </w:pPr>
      <w:r>
        <w:rPr>
          <w:rFonts w:ascii="Calibri" w:hAnsi="Calibri"/>
          <w:b w:val="0"/>
          <w:i w:val="0"/>
          <w:sz w:val="22"/>
        </w:rPr>
        <w:t xml:space="preserve">Meta Engineering. (2024). </w:t>
      </w:r>
      <w:hyperlink r:id="rId40">
        <w:r>
          <w:rPr>
            <w:rStyle w:val="Hyperlink"/>
            <w:color w:val="1D4ED8"/>
            <w:u w:val="single"/>
            <w:sz w:val="22"/>
            <w:rFonts w:ascii="Calibri" w:hAnsi="Calibri"/>
          </w:rPr>
          <w:t xml:space="preserve">Sequence Learning: A Paradigm Shift for Personalized Ads Recommendations</w:t>
        </w:r>
      </w:hyperlink>
      <w:r>
        <w:rPr>
          <w:rFonts w:ascii="Calibri" w:hAnsi="Calibri"/>
          <w:b w:val="0"/>
          <w:i w:val="0"/>
          <w:sz w:val="22"/>
        </w:rPr>
        <w:t>. Engineering at Meta Blog.</w:t>
      </w:r>
    </w:p>
    <w:p>
      <w:pPr>
        <w:spacing w:after="160"/>
        <w:ind w:left="720"/>
      </w:pPr>
      <w:r>
        <w:rPr>
          <w:rFonts w:ascii="Calibri" w:hAnsi="Calibri"/>
          <w:b w:val="0"/>
          <w:i/>
          <w:color w:val="6B7280"/>
          <w:sz w:val="20"/>
        </w:rPr>
        <w:t>Meta’s shift to sequence-based learning for ads, modeling user behavior as temporal sequences. Relevant to lifecycle-aware model selection.</w:t>
      </w:r>
    </w:p>
    <w:p>
      <w:pPr>
        <w:pStyle w:val="Heading1"/>
      </w:pPr>
      <w:r>
        <w:t>8. Financial Services Advertising &amp; Trust Optimization</w:t>
      </w:r>
    </w:p>
    <w:p>
      <w:r>
        <w:rPr>
          <w:rFonts w:ascii="Calibri" w:hAnsi="Calibri"/>
          <w:b w:val="0"/>
          <w:i w:val="0"/>
          <w:color w:val="374151"/>
          <w:sz w:val="22"/>
        </w:rPr>
        <w:t>The Financial Services scenario simulation applies domain-specific trust sensitivity, regulatory risk, and conversion windows across 5 sub-verticals.</w:t>
      </w:r>
    </w:p>
    <w:p>
      <w:pPr>
        <w:pStyle w:val="Heading3"/>
      </w:pPr>
      <w:r>
        <w:t>Core References</w:t>
      </w:r>
    </w:p>
    <w:p>
      <w:pPr>
        <w:pStyle w:val="ListBullet"/>
      </w:pPr>
      <w:r>
        <w:rPr>
          <w:rFonts w:ascii="Calibri" w:hAnsi="Calibri"/>
          <w:b w:val="0"/>
          <w:i w:val="0"/>
          <w:sz w:val="22"/>
        </w:rPr>
        <w:t xml:space="preserve">Sahni, N. S. &amp; Nair, H. S. (2020). </w:t>
      </w:r>
      <w:hyperlink r:id="rId41">
        <w:r>
          <w:rPr>
            <w:rStyle w:val="Hyperlink"/>
            <w:color w:val="1D4ED8"/>
            <w:u w:val="single"/>
            <w:sz w:val="22"/>
            <w:rFonts w:ascii="Calibri" w:hAnsi="Calibri"/>
          </w:rPr>
          <w:t xml:space="preserve">Does Advertising Serve as a Signal? Evidence from a Field Experiment in Mobile Search</w:t>
        </w:r>
      </w:hyperlink>
      <w:r>
        <w:rPr>
          <w:rFonts w:ascii="Calibri" w:hAnsi="Calibri"/>
          <w:b w:val="0"/>
          <w:i w:val="0"/>
          <w:sz w:val="22"/>
        </w:rPr>
        <w:t>. Review of Economic Studies, 87(3), 1529–1564.</w:t>
      </w:r>
    </w:p>
    <w:p>
      <w:pPr>
        <w:spacing w:after="160"/>
        <w:ind w:left="720"/>
      </w:pPr>
      <w:r>
        <w:rPr>
          <w:rFonts w:ascii="Calibri" w:hAnsi="Calibri"/>
          <w:b w:val="0"/>
          <w:i/>
          <w:color w:val="6B7280"/>
          <w:sz w:val="20"/>
        </w:rPr>
        <w:t>Field experiment showing that ad exposure itself signals quality and trustworthiness—a mechanism particularly relevant in financial services where trust drives conversion.</w:t>
      </w:r>
    </w:p>
    <w:p>
      <w:pPr>
        <w:pStyle w:val="ListBullet"/>
      </w:pPr>
      <w:r>
        <w:rPr>
          <w:rFonts w:ascii="Calibri" w:hAnsi="Calibri"/>
          <w:b w:val="0"/>
          <w:i w:val="0"/>
          <w:sz w:val="22"/>
        </w:rPr>
        <w:t xml:space="preserve">Bian, J. et al. (2023). </w:t>
      </w:r>
      <w:hyperlink r:id="rId42">
        <w:r>
          <w:rPr>
            <w:rStyle w:val="Hyperlink"/>
            <w:color w:val="1D4ED8"/>
            <w:u w:val="single"/>
            <w:sz w:val="22"/>
            <w:rFonts w:ascii="Calibri" w:hAnsi="Calibri"/>
          </w:rPr>
          <w:t xml:space="preserve">A Survey on Multi-Objective Recommender Systems</w:t>
        </w:r>
      </w:hyperlink>
      <w:r>
        <w:rPr>
          <w:rFonts w:ascii="Calibri" w:hAnsi="Calibri"/>
          <w:b w:val="0"/>
          <w:i w:val="0"/>
          <w:sz w:val="22"/>
        </w:rPr>
        <w:t>. Frontiers in Big Data, 6.</w:t>
      </w:r>
    </w:p>
    <w:p>
      <w:pPr>
        <w:spacing w:after="160"/>
        <w:ind w:left="720"/>
      </w:pPr>
      <w:r>
        <w:rPr>
          <w:rFonts w:ascii="Calibri" w:hAnsi="Calibri"/>
          <w:b w:val="0"/>
          <w:i/>
          <w:color w:val="6B7280"/>
          <w:sz w:val="20"/>
        </w:rPr>
        <w:t>Open-access survey covering Pareto-optimal approaches to multi-objective recommendation, directly relevant to balancing revenue vs. trust in financial ad optimization.</w:t>
      </w:r>
    </w:p>
    <w:p>
      <w:pPr>
        <w:pStyle w:val="ListBullet"/>
      </w:pPr>
      <w:r>
        <w:rPr>
          <w:rFonts w:ascii="Calibri" w:hAnsi="Calibri"/>
          <w:b w:val="0"/>
          <w:i w:val="0"/>
          <w:sz w:val="22"/>
        </w:rPr>
        <w:t xml:space="preserve">Zhu, J. et al. (2024). </w:t>
      </w:r>
      <w:hyperlink r:id="rId43">
        <w:r>
          <w:rPr>
            <w:rStyle w:val="Hyperlink"/>
            <w:color w:val="1D4ED8"/>
            <w:u w:val="single"/>
            <w:sz w:val="22"/>
            <w:rFonts w:ascii="Calibri" w:hAnsi="Calibri"/>
          </w:rPr>
          <w:t xml:space="preserve">Achieving a Better Tradeoff in Multi-stage Recommender Systems through Personalization</w:t>
        </w:r>
      </w:hyperlink>
      <w:r>
        <w:rPr>
          <w:rFonts w:ascii="Calibri" w:hAnsi="Calibri"/>
          <w:b w:val="0"/>
          <w:i w:val="0"/>
          <w:sz w:val="22"/>
        </w:rPr>
        <w:t>. KDD 2024.</w:t>
      </w:r>
    </w:p>
    <w:p>
      <w:pPr>
        <w:spacing w:after="160"/>
        <w:ind w:left="720"/>
      </w:pPr>
      <w:r>
        <w:rPr>
          <w:rFonts w:ascii="Calibri" w:hAnsi="Calibri"/>
          <w:b w:val="0"/>
          <w:i/>
          <w:color w:val="6B7280"/>
          <w:sz w:val="20"/>
        </w:rPr>
        <w:t>Personalized tradeoff optimization in multi-stage recommender systems. Demonstrates how different user segments require different balance points between competing objectives.</w:t>
      </w:r>
    </w:p>
    <w:p>
      <w:pPr>
        <w:pStyle w:val="ListBullet"/>
      </w:pPr>
      <w:r>
        <w:rPr>
          <w:rFonts w:ascii="Calibri" w:hAnsi="Calibri"/>
          <w:b w:val="0"/>
          <w:i w:val="0"/>
          <w:sz w:val="22"/>
        </w:rPr>
        <w:t xml:space="preserve">Cai, H. et al. (2023). </w:t>
      </w:r>
      <w:hyperlink r:id="rId44">
        <w:r>
          <w:rPr>
            <w:rStyle w:val="Hyperlink"/>
            <w:color w:val="1D4ED8"/>
            <w:u w:val="single"/>
            <w:sz w:val="22"/>
            <w:rFonts w:ascii="Calibri" w:hAnsi="Calibri"/>
          </w:rPr>
          <w:t xml:space="preserve">A Data-Centric Multi-Objective Learning Framework for Responsible Recommendation Systems</w:t>
        </w:r>
      </w:hyperlink>
      <w:r>
        <w:rPr>
          <w:rFonts w:ascii="Calibri" w:hAnsi="Calibri"/>
          <w:b w:val="0"/>
          <w:i w:val="0"/>
          <w:sz w:val="22"/>
        </w:rPr>
        <w:t>. arXiv:2310.13260.</w:t>
      </w:r>
    </w:p>
    <w:p>
      <w:pPr>
        <w:spacing w:after="160"/>
        <w:ind w:left="720"/>
      </w:pPr>
      <w:r>
        <w:rPr>
          <w:rFonts w:ascii="Calibri" w:hAnsi="Calibri"/>
          <w:b w:val="0"/>
          <w:i/>
          <w:color w:val="6B7280"/>
          <w:sz w:val="20"/>
        </w:rPr>
        <w:t>Framework balancing user utility, platform revenue, fairness, and long-term unbiasedness—closely aligned with the project’s multi-objective scoring approach for financial services.</w:t>
      </w:r>
    </w:p>
    <w:p>
      <w:pPr>
        <w:pStyle w:val="Heading1"/>
      </w:pPr>
      <w:r>
        <w:t>9. LLM-Powered What-If Analysis (Claude Tool Use)</w:t>
      </w:r>
    </w:p>
    <w:p>
      <w:r>
        <w:rPr>
          <w:rFonts w:ascii="Calibri" w:hAnsi="Calibri"/>
          <w:b w:val="0"/>
          <w:i w:val="0"/>
          <w:color w:val="374151"/>
          <w:sz w:val="22"/>
        </w:rPr>
        <w:t>The project integrates Claude API with tool-use for natural language queries across all simulation modules.</w:t>
      </w:r>
    </w:p>
    <w:p>
      <w:pPr>
        <w:pStyle w:val="Heading3"/>
      </w:pPr>
      <w:r>
        <w:t>Core References</w:t>
      </w:r>
    </w:p>
    <w:p>
      <w:pPr>
        <w:pStyle w:val="ListBullet"/>
      </w:pPr>
      <w:r>
        <w:rPr>
          <w:rFonts w:ascii="Calibri" w:hAnsi="Calibri"/>
          <w:b w:val="0"/>
          <w:i w:val="0"/>
          <w:sz w:val="22"/>
        </w:rPr>
        <w:t xml:space="preserve">Anthropic. (2024). </w:t>
      </w:r>
      <w:hyperlink r:id="rId45">
        <w:r>
          <w:rPr>
            <w:rStyle w:val="Hyperlink"/>
            <w:color w:val="1D4ED8"/>
            <w:u w:val="single"/>
            <w:sz w:val="22"/>
            <w:rFonts w:ascii="Calibri" w:hAnsi="Calibri"/>
          </w:rPr>
          <w:t xml:space="preserve">Tool Use (Function Calling) — Claude API Documentation</w:t>
        </w:r>
      </w:hyperlink>
      <w:r>
        <w:rPr>
          <w:rFonts w:ascii="Calibri" w:hAnsi="Calibri"/>
          <w:b w:val="0"/>
          <w:i w:val="0"/>
          <w:sz w:val="22"/>
        </w:rPr>
        <w:t>. Official Documentation.</w:t>
      </w:r>
    </w:p>
    <w:p>
      <w:pPr>
        <w:spacing w:after="160"/>
        <w:ind w:left="720"/>
      </w:pPr>
      <w:r>
        <w:rPr>
          <w:rFonts w:ascii="Calibri" w:hAnsi="Calibri"/>
          <w:b w:val="0"/>
          <w:i/>
          <w:color w:val="6B7280"/>
          <w:sz w:val="20"/>
        </w:rPr>
        <w:t>Official documentation for Claude’s tool-use capabilities, the underlying mechanism for the What-If Chat’s ability to invoke simulation modules via natural language.</w:t>
      </w:r>
    </w:p>
    <w:p>
      <w:pPr>
        <w:pStyle w:val="ListBullet"/>
      </w:pPr>
      <w:r>
        <w:rPr>
          <w:rFonts w:ascii="Calibri" w:hAnsi="Calibri"/>
          <w:b w:val="0"/>
          <w:i w:val="0"/>
          <w:sz w:val="22"/>
        </w:rPr>
        <w:t xml:space="preserve">Schick, T. et al. (2023). </w:t>
      </w:r>
      <w:hyperlink r:id="rId46">
        <w:r>
          <w:rPr>
            <w:rStyle w:val="Hyperlink"/>
            <w:color w:val="1D4ED8"/>
            <w:u w:val="single"/>
            <w:sz w:val="22"/>
            <w:rFonts w:ascii="Calibri" w:hAnsi="Calibri"/>
          </w:rPr>
          <w:t xml:space="preserve">Toolformer: Language Models Can Teach Themselves to Use Tools</w:t>
        </w:r>
      </w:hyperlink>
      <w:r>
        <w:rPr>
          <w:rFonts w:ascii="Calibri" w:hAnsi="Calibri"/>
          <w:b w:val="0"/>
          <w:i w:val="0"/>
          <w:sz w:val="22"/>
        </w:rPr>
        <w:t>. arXiv:2302.04761.</w:t>
      </w:r>
    </w:p>
    <w:p>
      <w:pPr>
        <w:spacing w:after="160"/>
        <w:ind w:left="720"/>
      </w:pPr>
      <w:r>
        <w:rPr>
          <w:rFonts w:ascii="Calibri" w:hAnsi="Calibri"/>
          <w:b w:val="0"/>
          <w:i/>
          <w:color w:val="6B7280"/>
          <w:sz w:val="20"/>
        </w:rPr>
        <w:t>Meta’s Toolformer paper demonstrating how language models can learn to use external tools via API calls. Foundational work for LLM-driven simulation analysis.</w:t>
      </w:r>
    </w:p>
    <w:p/>
    <w:p>
      <w:pPr>
        <w:spacing w:before="480"/>
        <w:pBdr>
          <w:top w:val="single" w:sz="4" w:color="D1D5DB" w:space="6"/>
        </w:pBdr>
      </w:pPr>
      <w:r>
        <w:rPr>
          <w:rFonts w:ascii="Calibri" w:hAnsi="Calibri"/>
          <w:b/>
          <w:i w:val="0"/>
          <w:color w:val="374151"/>
          <w:sz w:val="22"/>
        </w:rPr>
        <w:t>Total: 35 references across 9 project modules</w:t>
      </w:r>
    </w:p>
    <w:p>
      <w:r>
        <w:rPr>
          <w:rFonts w:ascii="Calibri" w:hAnsi="Calibri"/>
          <w:b w:val="0"/>
          <w:i w:val="0"/>
          <w:color w:val="6B7280"/>
          <w:sz w:val="20"/>
        </w:rPr>
        <w:t>All hyperlinks verified as of March 2026. Some papers may be available through institutional access or preprint servers.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A2F"/>
      <w:sz w:val="4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D4ED8"/>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7415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aweb.org/articles?id=10.1257/aer.97.1.242" TargetMode="External"/><Relationship Id="rId10" Type="http://schemas.openxmlformats.org/officeDocument/2006/relationships/hyperlink" Target="https://doi.org/10.1016/j.ijindorg.2006.10.002" TargetMode="External"/><Relationship Id="rId11" Type="http://schemas.openxmlformats.org/officeDocument/2006/relationships/hyperlink" Target="https://doi.org/10.1111/j.1540-6261.1961.tb02789.x" TargetMode="External"/><Relationship Id="rId12" Type="http://schemas.openxmlformats.org/officeDocument/2006/relationships/hyperlink" Target="https://arxiv.org/abs/2307.11732" TargetMode="External"/><Relationship Id="rId13" Type="http://schemas.openxmlformats.org/officeDocument/2006/relationships/hyperlink" Target="https://pubsonline.informs.org/doi/10.1287/mnsc.2018.3153" TargetMode="External"/><Relationship Id="rId14" Type="http://schemas.openxmlformats.org/officeDocument/2006/relationships/hyperlink" Target="https://doi.org/10.1145/2623330.2623366" TargetMode="External"/><Relationship Id="rId15" Type="http://schemas.openxmlformats.org/officeDocument/2006/relationships/hyperlink" Target="https://arxiv.org/abs/1909.06806" TargetMode="External"/><Relationship Id="rId16" Type="http://schemas.openxmlformats.org/officeDocument/2006/relationships/hyperlink" Target="https://hanachoi.github.io/research-papers/choi_mela_optimal_reserve.pdf" TargetMode="External"/><Relationship Id="rId17" Type="http://schemas.openxmlformats.org/officeDocument/2006/relationships/hyperlink" Target="https://proceedings.mlr.press/v202/balseiro23a/balseiro23a.pdf" TargetMode="External"/><Relationship Id="rId18" Type="http://schemas.openxmlformats.org/officeDocument/2006/relationships/hyperlink" Target="https://research.google/pubs/pub41159/" TargetMode="External"/><Relationship Id="rId19" Type="http://schemas.openxmlformats.org/officeDocument/2006/relationships/hyperlink" Target="https://research.facebook.com/publications/practical-lessons-from-predicting-clicks-on-ads-at-facebook/" TargetMode="External"/><Relationship Id="rId20" Type="http://schemas.openxmlformats.org/officeDocument/2006/relationships/hyperlink" Target="https://arxiv.org/abs/1706.06978" TargetMode="External"/><Relationship Id="rId21" Type="http://schemas.openxmlformats.org/officeDocument/2006/relationships/hyperlink" Target="https://papers.nips.cc/paper/2011/hash/e53a0a2978c28872a4505bdb51db06dc-Abstract.html" TargetMode="External"/><Relationship Id="rId22" Type="http://schemas.openxmlformats.org/officeDocument/2006/relationships/hyperlink" Target="https://arxiv.org/abs/1111.1797" TargetMode="External"/><Relationship Id="rId23" Type="http://schemas.openxmlformats.org/officeDocument/2006/relationships/hyperlink" Target="https://web.stanford.edu/~bvr/pubs/TS_Tutorial.pdf" TargetMode="External"/><Relationship Id="rId24" Type="http://schemas.openxmlformats.org/officeDocument/2006/relationships/hyperlink" Target="https://doi.org/10.1016/0196-8858(85)90002-8" TargetMode="External"/><Relationship Id="rId25" Type="http://schemas.openxmlformats.org/officeDocument/2006/relationships/hyperlink" Target="https://engineering.fb.com/2024/12/02/production-engineering/meta-andromeda-advantage-automation-next-gen-personalized-ads-retrieval-engine/" TargetMode="External"/><Relationship Id="rId26" Type="http://schemas.openxmlformats.org/officeDocument/2006/relationships/hyperlink" Target="https://engineering.fb.com/2024/07/10/production-engineering/tail-utilization-ads-inference-meta/" TargetMode="External"/><Relationship Id="rId27" Type="http://schemas.openxmlformats.org/officeDocument/2006/relationships/hyperlink" Target="https://www.gigaspaces.com/blog/amazon-found-every-100ms-of-latency-cost-them-1-in-sales" TargetMode="External"/><Relationship Id="rId28" Type="http://schemas.openxmlformats.org/officeDocument/2006/relationships/hyperlink" Target="https://arxiv.org/abs/2307.11096" TargetMode="External"/><Relationship Id="rId29" Type="http://schemas.openxmlformats.org/officeDocument/2006/relationships/hyperlink" Target="https://arxiv.org/abs/1906.00091" TargetMode="External"/><Relationship Id="rId30" Type="http://schemas.openxmlformats.org/officeDocument/2006/relationships/hyperlink" Target="https://github.com/facebookresearch/dlrm" TargetMode="External"/><Relationship Id="rId31" Type="http://schemas.openxmlformats.org/officeDocument/2006/relationships/hyperlink" Target="https://arxiv.org/abs/2006.11632" TargetMode="External"/><Relationship Id="rId32" Type="http://schemas.openxmlformats.org/officeDocument/2006/relationships/hyperlink" Target="https://engineering.fb.com/2023/08/09/ml-applications/scaling-instagram-explore-recommendations-system/" TargetMode="External"/><Relationship Id="rId33" Type="http://schemas.openxmlformats.org/officeDocument/2006/relationships/hyperlink" Target="https://arxiv.org/abs/1603.02754" TargetMode="External"/><Relationship Id="rId34" Type="http://schemas.openxmlformats.org/officeDocument/2006/relationships/hyperlink" Target="https://proceedings.neurips.cc/paper/6907-lightgbm-a-highly-efficient-gradient-boosting-decision-tree.pdf" TargetMode="External"/><Relationship Id="rId35" Type="http://schemas.openxmlformats.org/officeDocument/2006/relationships/hyperlink" Target="https://arxiv.org/abs/1003.0146" TargetMode="External"/><Relationship Id="rId36" Type="http://schemas.openxmlformats.org/officeDocument/2006/relationships/hyperlink" Target="https://arxiv.org/abs/2210.10309" TargetMode="External"/><Relationship Id="rId37" Type="http://schemas.openxmlformats.org/officeDocument/2006/relationships/hyperlink" Target="https://arxiv.org/abs/1909.03602" TargetMode="External"/><Relationship Id="rId38" Type="http://schemas.openxmlformats.org/officeDocument/2006/relationships/hyperlink" Target="https://ai.meta.com/blog/ai-ads-performance-efficiency-meta-lattice/" TargetMode="External"/><Relationship Id="rId39" Type="http://schemas.openxmlformats.org/officeDocument/2006/relationships/hyperlink" Target="https://engineering.fb.com/2025/11/10/ml-applications/metas-generative-ads-model-gem-the-central-brain-accelerating-ads-recommendation-ai-innovation/" TargetMode="External"/><Relationship Id="rId40" Type="http://schemas.openxmlformats.org/officeDocument/2006/relationships/hyperlink" Target="https://engineering.fb.com/2024/11/19/data-infrastructure/sequence-learning-personalized-ads-recommendations/" TargetMode="External"/><Relationship Id="rId41" Type="http://schemas.openxmlformats.org/officeDocument/2006/relationships/hyperlink" Target="https://doi.org/10.1093/restud/rdz053" TargetMode="External"/><Relationship Id="rId42" Type="http://schemas.openxmlformats.org/officeDocument/2006/relationships/hyperlink" Target="https://www.frontiersin.org/journals/big-data/articles/10.3389/fdata.2023.1157899/full" TargetMode="External"/><Relationship Id="rId43" Type="http://schemas.openxmlformats.org/officeDocument/2006/relationships/hyperlink" Target="https://dl.acm.org/doi/10.1145/3637528.3671593" TargetMode="External"/><Relationship Id="rId44" Type="http://schemas.openxmlformats.org/officeDocument/2006/relationships/hyperlink" Target="https://arxiv.org/abs/2310.13260" TargetMode="External"/><Relationship Id="rId45" Type="http://schemas.openxmlformats.org/officeDocument/2006/relationships/hyperlink" Target="https://docs.anthropic.com/en/docs/build-with-claude/tool-use" TargetMode="External"/><Relationship Id="rId46" Type="http://schemas.openxmlformats.org/officeDocument/2006/relationships/hyperlink" Target="https://arxiv.org/abs/2302.047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