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Recommending Without Testing: The Evidence Gap in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Katherine M. Keyes, PhD²; Timothy T. Brown, PhD³; J. John Mann, MD⁴,⁵</w:t>
      </w:r>
    </w:p>
    <w:p>
      <w:pPr>
        <w:spacing w:after="0" w:line="480" w:lineRule="auto"/>
      </w:pPr>
      <w:r>
        <w:rPr>
          <w:rFonts w:ascii="Arial" w:cs="Arial" w:eastAsia="Arial" w:hAnsi="Arial"/>
          <w:b/>
          <w:bCs/>
          <w:sz w:val="22"/>
          <w:szCs w:val="22"/>
        </w:rPr>
        <w:t xml:space="preserve">Author Affiliations:</w:t>
      </w:r>
      <w:r>
        <w:rPr>
          <w:rFonts w:ascii="Arial" w:cs="Arial" w:eastAsia="Arial" w:hAnsi="Arial"/>
          <w:b w:val="false"/>
          <w:bCs w:val="false"/>
          <w:i w:val="false"/>
          <w:iCs w:val="false"/>
          <w:sz w:val="22"/>
          <w:szCs w:val="22"/>
        </w:rPr>
        <w:t xml:space="preserve"> ¹ Department of Population Health Sciences, Weill Cornell Medicine/NewYork-Presbyterian, New York, New York; ² Columbia University Mailman School of Public Health, New York, New York; ³ School of Public Health, University of California, Berkeley, Berkeley, California; ⁴ Departments of Psychiatry and Radiology, Irving Medical Center, Columbia University, New York, New York; ⁵ Division of Molecular Imaging and Neuropathology, New York State Psychiatric Institute, New York, New York.</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Weill Cornell Medicine/NewYork-Presbyterian Department of Population Health Sciences, 575 Lexington Ave, FP650A,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2997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346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28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Governments in at least 10 jurisdictions have restricted children's and adolescents' access to social media, smartphones, and online games, and professional bodies have issued usage recommendations.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14 published evaluations, none reported suicide or self-harm. Evaluated effects have been small, absent, or reversed. South Korea's decade-long gaming curfew cut play time by 108.8 minutes among light gamers and by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policies did not differ from permissive schools in mental wellbeing (adjusted mean difference, −0.48; 95% CI, −2.05 to 1.06). The underlying association is real but small: more than 2 hours versus less than 1 hour of daily use predicted 6.3 additional cases of high depressive symptoms per 100 adolescents (95% CI, 2.7-9.9).</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gap is not between concern and evidence of harm. It is between evidence of harm and evidence that the proposed remedies work. Restriction has been treated as self-evidently beneficial and therefore exempt from the evaluation standard applied to any drug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binding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A recent commentary observed that screen time guidance has shifted as research has produced a more nuanced picture, noting that the AAP retired its hourly-limit framework in January 2026 in favor of contextual assessment.⁵ The retirement is itself instructive. Those limits were widely implemented, widely cited in policy, and withdrawn without ever having been tested as an intervention. They were recommendations that became de facto standards without passing through the stage at which anyone asked whether following them helped.</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227,413 records before deduplication: PubMed arm A, 15,276 records; Europe PMC arm A, 127,960 records from 14 of 17 publication years; PubMed arm B, 3,118 records; Europe PMC arm B, 81,059 records. [Provisional: the harvest is still running, and final PRISMA counts will be inserted before submission.]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was accompanied by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This is not a claim that policymakers acted unreasonably. Precaution justifies acting under uncertainty; it does not justify declining to resolve it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Individual game-server logs give a sharper picture than survey self-report and a worse one for the policy.⁷ Combining difference-in-differences with a discontinuity at the age-16 threshold, play time fell by 108.8 minutes among light gamers (P &lt; .01) and by 0.2 minutes among heavy gamers, that is, not at all. Within the restricted group, heavy gamers lost 154.9 and 41.1 minutes in the two curfew hours and gained 20.9, 69.8, 70.1, 74.3, and 37.6 minutes across the daytime and evening hours, a net increase.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produced an effect that decayed to nothing within three years, reversed in the group the law was written to protect, and never touched the outcomes the law was justified by. This is the most complete evidence available about what this class of intervention achieves, and it exists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is a genuine advance, and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and did not move the outcome.</w:t>
      </w:r>
    </w:p>
    <w:p>
      <w:pPr>
        <w:spacing w:after="0" w:line="480" w:lineRule="auto"/>
      </w:pPr>
      <w:r>
        <w:rPr>
          <w:rFonts w:ascii="Arial" w:cs="Arial" w:eastAsia="Arial" w:hAnsi="Arial"/>
          <w:b w:val="false"/>
          <w:bCs w:val="false"/>
          <w:i w:val="false"/>
          <w:iCs w:val="false"/>
          <w:sz w:val="22"/>
          <w:szCs w:val="22"/>
        </w:rPr>
        <w:t xml:space="preserve">A 2026 study is the first to test whether a stricter ban does more. Across 24 Dutch secondary schools, 1398 adolescents in schools with full bans covering the whole grounds were compared with those in schools restricting phones to outside the classroom only.¹² No wellbeing or bullying outcome differed. Full bans were associated with </w:t>
      </w:r>
      <w:r>
        <w:rPr>
          <w:rFonts w:ascii="Arial" w:cs="Arial" w:eastAsia="Arial" w:hAnsi="Arial"/>
          <w:i/>
          <w:iCs/>
          <w:sz w:val="22"/>
          <w:szCs w:val="22"/>
        </w:rPr>
        <w:t xml:space="preserve">lower</w:t>
      </w:r>
      <w:r>
        <w:rPr>
          <w:rFonts w:ascii="Arial" w:cs="Arial" w:eastAsia="Arial" w:hAnsi="Arial"/>
          <w:b w:val="false"/>
          <w:bCs w:val="false"/>
          <w:i w:val="false"/>
          <w:iCs w:val="false"/>
          <w:sz w:val="22"/>
          <w:szCs w:val="22"/>
        </w:rPr>
        <w:t xml:space="preserve"> student-teacher connectedness and, among girls, reduced school belonging. Roughly 40% of countries now operate some form of school phone ban; the first test of intensity found the stricter version no better on any intended outcome and worse on belonging for the group these policies most often invoke.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students.¹⁰ A replication in Sweden using the same design, a larger sample, and a school response rate near 75% found no effect and could reject gains larger than 0.024 SD, and in its preferred specification larger than 0.01 SD, which excludes the original estimate.¹¹ A scoping review of 22 studies across 12 countries found no randomized trials and only five difference-in-differences designs.¹⁵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Australia has since increased penalties on platforms to enforce the Act, without a mental health outcome yet reported.¹³</w:t>
      </w:r>
    </w:p>
    <w:p>
      <w:pPr>
        <w:spacing w:after="0" w:line="480" w:lineRule="auto"/>
      </w:pPr>
      <w:r>
        <w:rPr>
          <w:rFonts w:ascii="Arial" w:cs="Arial" w:eastAsia="Arial" w:hAnsi="Arial"/>
          <w:b w:val="false"/>
          <w:bCs w:val="false"/>
          <w:i w:val="false"/>
          <w:iCs w:val="false"/>
          <w:sz w:val="22"/>
          <w:szCs w:val="22"/>
        </w:rPr>
        <w:t xml:space="preserve">Across all 14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14 evaluations in Table 2, none reported either, and 6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rates.¹⁶ A bidirectional Mendelian randomization study found no effect of digital device use on suicide risk, and in the reverse direction found suicide risk predicting longer mobile phone use, a pattern consistent with reverse causation.¹⁷ Against these, instrumental variable studies of broadband and fiber rollout in Italy and Spain report increases in hospital-recorded self-harm and, in Spain, suicide mortality among adolescent girls.¹⁸,¹⁹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Where suicide-specific associations are reported, the exposure is compulsive use rather than duration, and the designs remain weak: a 2026 systematic review of smartphone addiction and suicidality found consistent associations with suicidal ideation (odds ratios 1.14-4.57 in high-risk users) and attempt (1.15-1.87), but all 11 included studies were cross-sectional.¹⁴</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of this evidence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In a population-based Australian cohort followed from ages 12 to 19 years (n = 1195), more than 2 hours versus less than 1 hour of daily social media use predicted high depressive symptoms at the following annual wave, with a risk difference of 6.3 per 100 adolescents (95% CI, 2.7-9.9), and poor wellbeing at 4.9 per 100 (95% CI, 1.1-8.6).²² Effects were largest in early adolescence and largest among girls aged 12 to 13 years (risk difference, 10.8; 95% CI, 2.7-18.9).</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years.²⁰,²¹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A further problem sits underneath all of this: the exposure the policies regulate may not be the exposure that carries the risk. In the Adolescent Brain Cognitive Development Study, 4285 youths followed from a mean age of 10.0 years through four annual waves showed three distinct trajectories of addictive social media and mobile phone use and two of addictive video game use. Increasing addictive use of social media carried a risk ratio of 2.14 (95% CI, 1.61-2.85) for suicidal behaviors, and high-peaking addictive use a risk ratio of 2.39 (95% CI, 1.66-3.43), relative to low addictive use. </w:t>
      </w:r>
      <w:r>
        <w:rPr>
          <w:rFonts w:ascii="Arial" w:cs="Arial" w:eastAsia="Arial" w:hAnsi="Arial"/>
          <w:b/>
          <w:bCs/>
          <w:sz w:val="22"/>
          <w:szCs w:val="22"/>
        </w:rPr>
        <w:t xml:space="preserve">Total screen time at baseline was not associated with any outcome.</w:t>
      </w:r>
      <w:r>
        <w:rPr>
          <w:rFonts w:ascii="Arial" w:cs="Arial" w:eastAsia="Arial" w:hAnsi="Arial"/>
          <w:b w:val="false"/>
          <w:bCs w:val="false"/>
          <w:i w:val="false"/>
          <w:iCs w:val="false"/>
          <w:sz w:val="22"/>
          <w:szCs w:val="22"/>
        </w:rPr>
        <w:t xml:space="preserve">²⁴ Nearly one third of participants entered an increasing addictive use trajectory beginning at age 11 years.</w:t>
      </w:r>
    </w:p>
    <w:p>
      <w:pPr>
        <w:spacing w:after="0" w:line="480" w:lineRule="auto"/>
      </w:pPr>
      <w:r>
        <w:rPr>
          <w:rFonts w:ascii="Arial" w:cs="Arial" w:eastAsia="Arial" w:hAnsi="Arial"/>
          <w:b w:val="false"/>
          <w:bCs w:val="false"/>
          <w:i w:val="false"/>
          <w:iCs w:val="false"/>
          <w:sz w:val="22"/>
          <w:szCs w:val="22"/>
        </w:rPr>
        <w:t xml:space="preserve">Every measure in Table 1 regulates hours. None regulates the pattern of use that this evidence identifies as the risk factor, and a policy that reduces hours without changing compulsive engagement may leave the mechanism untouched. That is a testable proposition and it has not been tested.</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worth naming. Alongside age-banded screen guidance,²³ Sweden has invested in the alternative: subsidized access to sports clubs and gyms for young people, library and cultural programming, and a return to printed textbooks in schools.</w:t>
      </w:r>
    </w:p>
    <w:p>
      <w:pPr>
        <w:spacing w:after="0" w:line="480" w:lineRule="auto"/>
      </w:pPr>
      <w:r>
        <w:rPr>
          <w:rFonts w:ascii="Arial" w:cs="Arial" w:eastAsia="Arial" w:hAnsi="Arial"/>
          <w:b w:val="false"/>
          <w:bCs w:val="false"/>
          <w:i w:val="false"/>
          <w:iCs w:val="false"/>
          <w:sz w:val="22"/>
          <w:szCs w:val="22"/>
        </w:rPr>
        <w:t xml:space="preserve">This matters theoretically, not only politically. If screen time harms mental health, the most plausible mechanism is displacement of sleep, of physical activity, and of in-person contact. If displacement is the mechanism, then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of the restriction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be accompanied, before implementation, by a defined outcome, a defined comparison, and a defined analysis. This is not an unusual demand. It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with differing intensity. This is close to an ideal difference-in-differences setting, the outcome data already exist in the Youth Risk Behavior Surveillance System and in state administrative records, and the window is closing as adoption saturates. This single analysis is achievable now, at modest cost, and would produce the strongest causal evidence available anywhere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Individual jurisdictions lack the events to detect plausible effects; coordinated multi-jurisdiction designs with pooled and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inventory covers national and major subnational measures identifiable in English-language sources and under-represents local ordinances and non-English jurisdictions. Absence of a published evaluation is not proof that none was conducted; government evaluations may exist outside the indexed literature. Several policies are recent, and judging them unevaluated is in part a judgment about elapsed time rather than about intent. Our search was restricted to two bibliographic databases and to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of this article is narrow. It is not that screen time is harmless, nor that policymakers should have waited for perfect evidence, nor that any specific law should be repealed. It is that a field which has correctly insisted on evidence for clinical interventions has exempted population-level restrictions from the same standard, and that the exemption is not defensible at the scale on which these policies now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and then stopped moving it at all. That is not a failure of the policy so much as a failure of the system that produced it: no one had to find out sooner, so no one did. Australia will know more within a year because Australia arranged to know. The difference is entirely procedural, and it is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in this. Recommendations from the AAP, the WHO, and the APA are cited as authority in legislative debate. When those recommendations are issued without accompanying calls for evaluation, and are later withdrawn without ever having been tested, the authority is spent without the science being advanced. We would urge these bodies to attach an evaluation standard to future guidance: to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[CRediT roles to be completed for all authors before submission.]</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11.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12. Vermeulen A, et al. Disconnect to reconnect: how variations between types of smartphone bans influence students' well-being and social connectedness in Dutch secondary education. </w:t>
      </w:r>
      <w:r>
        <w:rPr>
          <w:rFonts w:ascii="Arial" w:cs="Arial" w:eastAsia="Arial" w:hAnsi="Arial"/>
          <w:i/>
          <w:iCs/>
          <w:sz w:val="22"/>
          <w:szCs w:val="22"/>
        </w:rPr>
        <w:t xml:space="preserve">J Youth Adolesc</w:t>
      </w:r>
      <w:r>
        <w:rPr>
          <w:rFonts w:ascii="Arial" w:cs="Arial" w:eastAsia="Arial" w:hAnsi="Arial"/>
          <w:b w:val="false"/>
          <w:bCs w:val="false"/>
          <w:i w:val="false"/>
          <w:iCs w:val="false"/>
          <w:sz w:val="22"/>
          <w:szCs w:val="22"/>
        </w:rPr>
        <w:t xml:space="preserve">. 2026. PMID 41499073.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13. Australia increases penalties for social media companies to enforce under 16s ban.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2026;394. PMID 42398960.</w:t>
      </w:r>
    </w:p>
    <w:p>
      <w:pPr>
        <w:spacing w:after="120" w:line="240" w:lineRule="auto"/>
        <w:ind w:left="720" w:hanging="720"/>
      </w:pPr>
      <w:r>
        <w:rPr>
          <w:rFonts w:ascii="Arial" w:cs="Arial" w:eastAsia="Arial" w:hAnsi="Arial"/>
          <w:b w:val="false"/>
          <w:bCs w:val="false"/>
          <w:i w:val="false"/>
          <w:iCs w:val="false"/>
          <w:sz w:val="22"/>
          <w:szCs w:val="22"/>
        </w:rPr>
        <w:t xml:space="preserve">14. Association between smartphone addiction, suicidal ideation and suicide attempt: a systematic review. </w:t>
      </w:r>
      <w:r>
        <w:rPr>
          <w:rFonts w:ascii="Arial" w:cs="Arial" w:eastAsia="Arial" w:hAnsi="Arial"/>
          <w:i/>
          <w:iCs/>
          <w:sz w:val="22"/>
          <w:szCs w:val="22"/>
        </w:rPr>
        <w:t xml:space="preserve">PeerJ</w:t>
      </w:r>
      <w:r>
        <w:rPr>
          <w:rFonts w:ascii="Arial" w:cs="Arial" w:eastAsia="Arial" w:hAnsi="Arial"/>
          <w:b w:val="false"/>
          <w:bCs w:val="false"/>
          <w:i w:val="false"/>
          <w:iCs w:val="false"/>
          <w:sz w:val="22"/>
          <w:szCs w:val="22"/>
        </w:rPr>
        <w:t xml:space="preserve">. 2026. PMID 42291422. [Verify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15.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16.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17.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18.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19.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20.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21.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22.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23.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24. Xiao Y, Meng Y, Brown TT, Keyes KM, Mann JJ. Addictive screen use trajectories and suicidal behaviors, suicidal ideation, and mental health in US youths. </w:t>
      </w:r>
      <w:r>
        <w:rPr>
          <w:rFonts w:ascii="Arial" w:cs="Arial" w:eastAsia="Arial" w:hAnsi="Arial"/>
          <w:i/>
          <w:iCs/>
          <w:sz w:val="22"/>
          <w:szCs w:val="22"/>
        </w:rPr>
        <w:t xml:space="preserve">JAMA</w:t>
      </w:r>
      <w:r>
        <w:rPr>
          <w:rFonts w:ascii="Arial" w:cs="Arial" w:eastAsia="Arial" w:hAnsi="Arial"/>
          <w:b w:val="false"/>
          <w:bCs w:val="false"/>
          <w:i w:val="false"/>
          <w:iCs w:val="false"/>
          <w:sz w:val="22"/>
          <w:szCs w:val="22"/>
        </w:rPr>
        <w:t xml:space="preserve">. 2025;334(3):219-228. doi:10.1001/jama.2025.7829</w:t>
      </w:r>
    </w:p>
    <w:p>
      <w:pPr>
        <w:spacing w:after="120" w:line="240" w:lineRule="auto"/>
        <w:ind w:left="720" w:hanging="720"/>
      </w:pPr>
      <w:r>
        <w:rPr>
          <w:rFonts w:ascii="Arial" w:cs="Arial" w:eastAsia="Arial" w:hAnsi="Arial"/>
          <w:b w:val="false"/>
          <w:bCs w:val="false"/>
          <w:i w:val="false"/>
          <w:iCs w:val="false"/>
          <w:sz w:val="22"/>
          <w:szCs w:val="22"/>
        </w:rPr>
        <w:t xml:space="preserve">25.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26.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27.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28.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298"/>
        <w:gridCol w:w="1850"/>
        <w:gridCol w:w="2606"/>
        <w:gridCol w:w="1808"/>
        <w:gridCol w:w="1836"/>
        <w:gridCol w:w="2731"/>
        <w:gridCol w:w="1551"/>
      </w:tblGrid>
      <w:tr>
        <w:trPr>
          <w:tblHeader/>
        </w:trPr>
        <w:tc>
          <w:tcPr>
            <w:tcW w:type="dxa" w:w="129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0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0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3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Netherlands</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bans, partial (classroom) vs full (grounds)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Cross-school comparison of ban intensity, 9 partial-ban vs 15 full-ban schools, EPoSS Study 2024-2025</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1,398 (24 schools, mean age 16.2 y, 51.5% female)</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Wellbeing, social connectedness at school, bullying</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significant difference on any wellbeing or bullying outcome between partial and full bans. Full bans were associated with LOWER student-teacher connectedness and, among girls, reduced school belonging.</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29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smartphone policies and digital safeguarding incidents</w:t>
            </w:r>
          </w:p>
        </w:tc>
        <w:tc>
          <w:tcPr>
            <w:tcW w:type="dxa" w:w="260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freedom-of-information requests to 114 schools</w:t>
            </w:r>
          </w:p>
        </w:tc>
        <w:tc>
          <w:tcPr>
            <w:tcW w:type="dxa" w:w="180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114 (schools; &gt;90,000 pupils)</w:t>
            </w:r>
          </w:p>
        </w:tc>
        <w:tc>
          <w:tcPr>
            <w:tcW w:type="dxa" w:w="183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digital safeguarding incidents</w:t>
            </w:r>
          </w:p>
        </w:tc>
        <w:tc>
          <w:tcPr>
            <w:tcW w:type="dxa" w:w="27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60 of 114 schools (52.6%) had a policy, with inconsistent use of the word "ban". Digital incidents were 4.9% of all incidents (4183/85 540). Schools with policies, regardless of restrictiveness, reported MORE digital incidents.</w:t>
            </w:r>
          </w:p>
        </w:tc>
        <w:tc>
          <w:tcPr>
            <w:tcW w:type="dxa" w:w="155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Recommending Without Testing: The Evidence Gap in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2026-07-29T01:19:07.402Z</dcterms:created>
  <dcterms:modified xsi:type="dcterms:W3CDTF">2026-07-29T01:19:07.473Z</dcterms:modified>
</cp:coreProperties>
</file>

<file path=docProps/custom.xml><?xml version="1.0" encoding="utf-8"?>
<Properties xmlns="http://schemas.openxmlformats.org/officeDocument/2006/custom-properties" xmlns:vt="http://schemas.openxmlformats.org/officeDocument/2006/docPropsVTypes"/>
</file>