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00"/>
      </w:pPr>
      <w:r>
        <w:rPr>
          <w:rFonts w:ascii="Arial" w:cs="Arial" w:eastAsia="Arial" w:hAnsi="Arial"/>
          <w:b/>
          <w:bCs/>
          <w:i w:val="false"/>
          <w:iCs w:val="false"/>
          <w:sz w:val="28"/>
          <w:szCs w:val="28"/>
        </w:rPr>
        <w:t xml:space="preserve">Regulating Hours When Hours May Not Be the Risk: Youth Screen Time and Social Media Policy</w:t>
      </w:r>
    </w:p>
    <w:p>
      <w:pPr>
        <w:spacing w:after="0" w:line="480" w:lineRule="auto"/>
      </w:pPr>
      <w:r>
        <w:rPr>
          <w:rFonts w:ascii="Arial" w:cs="Arial" w:eastAsia="Arial" w:hAnsi="Arial"/>
          <w:b/>
          <w:bCs/>
          <w:sz w:val="22"/>
          <w:szCs w:val="22"/>
        </w:rPr>
        <w:t xml:space="preserve">Article type:</w:t>
      </w:r>
      <w:r>
        <w:rPr>
          <w:rFonts w:ascii="Arial" w:cs="Arial" w:eastAsia="Arial" w:hAnsi="Arial"/>
          <w:b w:val="false"/>
          <w:bCs w:val="false"/>
          <w:i w:val="false"/>
          <w:iCs w:val="false"/>
          <w:sz w:val="22"/>
          <w:szCs w:val="22"/>
        </w:rPr>
        <w:t xml:space="preserve"> Special Communication (JAMA)</w:t>
      </w:r>
    </w:p>
    <w:p>
      <w:pPr>
        <w:spacing w:after="0" w:line="480" w:lineRule="auto"/>
      </w:pPr>
      <w:r>
        <w:rPr>
          <w:rFonts w:ascii="Arial" w:cs="Arial" w:eastAsia="Arial" w:hAnsi="Arial"/>
          <w:b/>
          <w:bCs/>
          <w:sz w:val="22"/>
          <w:szCs w:val="22"/>
        </w:rPr>
        <w:t xml:space="preserve">Authors:</w:t>
      </w:r>
      <w:r>
        <w:rPr>
          <w:rFonts w:ascii="Arial" w:cs="Arial" w:eastAsia="Arial" w:hAnsi="Arial"/>
          <w:b w:val="false"/>
          <w:bCs w:val="false"/>
          <w:i w:val="false"/>
          <w:iCs w:val="false"/>
          <w:sz w:val="22"/>
          <w:szCs w:val="22"/>
        </w:rPr>
        <w:t xml:space="preserve"> Yunyu Xiao, PhD¹ (ORCID 0000-0002-0479-1781); Katherine M. Keyes, PhD²; Timothy T. Brown, PhD³; J. John Mann, MD⁴,⁵</w:t>
      </w:r>
    </w:p>
    <w:p>
      <w:pPr>
        <w:spacing w:after="0" w:line="480" w:lineRule="auto"/>
      </w:pPr>
      <w:r>
        <w:rPr>
          <w:rFonts w:ascii="Arial" w:cs="Arial" w:eastAsia="Arial" w:hAnsi="Arial"/>
          <w:b/>
          <w:bCs/>
          <w:sz w:val="22"/>
          <w:szCs w:val="22"/>
        </w:rPr>
        <w:t xml:space="preserve">Author Affiliations:</w:t>
      </w:r>
      <w:r>
        <w:rPr>
          <w:rFonts w:ascii="Arial" w:cs="Arial" w:eastAsia="Arial" w:hAnsi="Arial"/>
          <w:b w:val="false"/>
          <w:bCs w:val="false"/>
          <w:i w:val="false"/>
          <w:iCs w:val="false"/>
          <w:sz w:val="22"/>
          <w:szCs w:val="22"/>
        </w:rPr>
        <w:t xml:space="preserve"> ¹ Department of Population Health Sciences, Weill Cornell Medicine/NewYork-Presbyterian, New York, New York; ² Columbia University Mailman School of Public Health, New York, New York; ³ School of Public Health, University of California, Berkeley, Berkeley, California; ⁴ Departments of Psychiatry and Radiology, Irving Medical Center, Columbia University, New York, New York; ⁵ Division of Molecular Imaging and Neuropathology, New York State Psychiatric Institute, New York, New York.</w:t>
      </w:r>
    </w:p>
    <w:p>
      <w:pPr>
        <w:spacing w:after="0" w:line="480" w:lineRule="auto"/>
      </w:pPr>
      <w:r>
        <w:rPr>
          <w:rFonts w:ascii="Arial" w:cs="Arial" w:eastAsia="Arial" w:hAnsi="Arial"/>
          <w:b/>
          <w:bCs/>
          <w:sz w:val="22"/>
          <w:szCs w:val="22"/>
        </w:rPr>
        <w:t xml:space="preserve">Corresponding Author:</w:t>
      </w:r>
      <w:r>
        <w:rPr>
          <w:rFonts w:ascii="Arial" w:cs="Arial" w:eastAsia="Arial" w:hAnsi="Arial"/>
          <w:b w:val="false"/>
          <w:bCs w:val="false"/>
          <w:i w:val="false"/>
          <w:iCs w:val="false"/>
          <w:sz w:val="22"/>
          <w:szCs w:val="22"/>
        </w:rPr>
        <w:t xml:space="preserve"> Yunyu Xiao, PhD, Weill Cornell Medicine/NewYork-Presbyterian Department of Population Health Sciences, 575 Lexington Ave, FP650A, New York, NY 10022 (yux4008@med.cornell.edu).</w:t>
      </w:r>
    </w:p>
    <w:p>
      <w:pPr>
        <w:spacing w:after="0" w:line="480" w:lineRule="auto"/>
      </w:pPr>
      <w:r>
        <w:rPr>
          <w:rFonts w:ascii="Arial" w:cs="Arial" w:eastAsia="Arial" w:hAnsi="Arial"/>
          <w:b/>
          <w:bCs/>
          <w:sz w:val="22"/>
          <w:szCs w:val="22"/>
        </w:rPr>
        <w:t xml:space="preserve">Word count:</w:t>
      </w:r>
      <w:r>
        <w:rPr>
          <w:rFonts w:ascii="Arial" w:cs="Arial" w:eastAsia="Arial" w:hAnsi="Arial"/>
          <w:b w:val="false"/>
          <w:bCs w:val="false"/>
          <w:i w:val="false"/>
          <w:iCs w:val="false"/>
          <w:sz w:val="22"/>
          <w:szCs w:val="22"/>
        </w:rPr>
        <w:t xml:space="preserve"> 2994 (limit 3000)</w:t>
      </w:r>
    </w:p>
    <w:p>
      <w:pPr>
        <w:spacing w:after="0" w:line="480" w:lineRule="auto"/>
      </w:pPr>
      <w:r>
        <w:rPr>
          <w:rFonts w:ascii="Arial" w:cs="Arial" w:eastAsia="Arial" w:hAnsi="Arial"/>
          <w:b/>
          <w:bCs/>
          <w:sz w:val="22"/>
          <w:szCs w:val="22"/>
        </w:rPr>
        <w:t xml:space="preserve">Abstract word count:</w:t>
      </w:r>
      <w:r>
        <w:rPr>
          <w:rFonts w:ascii="Arial" w:cs="Arial" w:eastAsia="Arial" w:hAnsi="Arial"/>
          <w:b w:val="false"/>
          <w:bCs w:val="false"/>
          <w:i w:val="false"/>
          <w:iCs w:val="false"/>
          <w:sz w:val="22"/>
          <w:szCs w:val="22"/>
        </w:rPr>
        <w:t xml:space="preserve"> 348 (limit 350)</w:t>
      </w:r>
    </w:p>
    <w:p>
      <w:pPr>
        <w:spacing w:after="0" w:line="480" w:lineRule="auto"/>
      </w:pPr>
      <w:r>
        <w:rPr>
          <w:rFonts w:ascii="Arial" w:cs="Arial" w:eastAsia="Arial" w:hAnsi="Arial"/>
          <w:b/>
          <w:bCs/>
          <w:sz w:val="22"/>
          <w:szCs w:val="22"/>
        </w:rPr>
        <w:t xml:space="preserve">Tables:</w:t>
      </w:r>
      <w:r>
        <w:rPr>
          <w:rFonts w:ascii="Arial" w:cs="Arial" w:eastAsia="Arial" w:hAnsi="Arial"/>
          <w:b w:val="false"/>
          <w:bCs w:val="false"/>
          <w:i w:val="false"/>
          <w:iCs w:val="false"/>
          <w:sz w:val="22"/>
          <w:szCs w:val="22"/>
        </w:rPr>
        <w:t xml:space="preserve"> 3 | </w:t>
      </w:r>
      <w:r>
        <w:rPr>
          <w:rFonts w:ascii="Arial" w:cs="Arial" w:eastAsia="Arial" w:hAnsi="Arial"/>
          <w:b/>
          <w:bCs/>
          <w:sz w:val="22"/>
          <w:szCs w:val="22"/>
        </w:rPr>
        <w:t xml:space="preserve">Figures:</w:t>
      </w:r>
      <w:r>
        <w:rPr>
          <w:rFonts w:ascii="Arial" w:cs="Arial" w:eastAsia="Arial" w:hAnsi="Arial"/>
          <w:b w:val="false"/>
          <w:bCs w:val="false"/>
          <w:i w:val="false"/>
          <w:iCs w:val="false"/>
          <w:sz w:val="22"/>
          <w:szCs w:val="22"/>
        </w:rPr>
        <w:t xml:space="preserve"> 1 | </w:t>
      </w:r>
      <w:r>
        <w:rPr>
          <w:rFonts w:ascii="Arial" w:cs="Arial" w:eastAsia="Arial" w:hAnsi="Arial"/>
          <w:b/>
          <w:bCs/>
          <w:sz w:val="22"/>
          <w:szCs w:val="22"/>
        </w:rPr>
        <w:t xml:space="preserve">References:</w:t>
      </w:r>
      <w:r>
        <w:rPr>
          <w:rFonts w:ascii="Arial" w:cs="Arial" w:eastAsia="Arial" w:hAnsi="Arial"/>
          <w:b w:val="false"/>
          <w:bCs w:val="false"/>
          <w:i w:val="false"/>
          <w:iCs w:val="false"/>
          <w:sz w:val="22"/>
          <w:szCs w:val="22"/>
        </w:rPr>
        <w:t xml:space="preserve"> 32 (limit 50)</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Abstract</w:t>
      </w:r>
    </w:p>
    <w:p>
      <w:pPr>
        <w:spacing w:after="0" w:line="480" w:lineRule="auto"/>
      </w:pPr>
      <w:r>
        <w:rPr>
          <w:rFonts w:ascii="Arial" w:cs="Arial" w:eastAsia="Arial" w:hAnsi="Arial"/>
          <w:b/>
          <w:bCs/>
          <w:sz w:val="22"/>
          <w:szCs w:val="22"/>
        </w:rPr>
        <w:t xml:space="preserve">Importance.</w:t>
      </w:r>
      <w:r>
        <w:rPr>
          <w:rFonts w:ascii="Arial" w:cs="Arial" w:eastAsia="Arial" w:hAnsi="Arial"/>
          <w:b w:val="false"/>
          <w:bCs w:val="false"/>
          <w:i w:val="false"/>
          <w:iCs w:val="false"/>
          <w:sz w:val="22"/>
          <w:szCs w:val="22"/>
        </w:rPr>
        <w:t xml:space="preserve"> Governments in at least 10 jurisdictions have restricted children's and adolescents' access to social media, smartphones, and online games, and professional bodies have issued usage recommendations. Whether any of this improves youth mental health is largely unknown, because the measures were implemented without a design capable of finding out.</w:t>
      </w:r>
    </w:p>
    <w:p>
      <w:pPr>
        <w:spacing w:after="0" w:line="480" w:lineRule="auto"/>
      </w:pPr>
      <w:r>
        <w:rPr>
          <w:rFonts w:ascii="Arial" w:cs="Arial" w:eastAsia="Arial" w:hAnsi="Arial"/>
          <w:b/>
          <w:bCs/>
          <w:sz w:val="22"/>
          <w:szCs w:val="22"/>
        </w:rPr>
        <w:t xml:space="preserve">Observations.</w:t>
      </w:r>
      <w:r>
        <w:rPr>
          <w:rFonts w:ascii="Arial" w:cs="Arial" w:eastAsia="Arial" w:hAnsi="Arial"/>
          <w:b w:val="false"/>
          <w:bCs w:val="false"/>
          <w:i w:val="false"/>
          <w:iCs w:val="false"/>
          <w:sz w:val="22"/>
          <w:szCs w:val="22"/>
        </w:rPr>
        <w:t xml:space="preserve"> Across 13 enacted or announced policies in 10 jurisdictions, 1 was accompanied by a prespecified evaluation, Six have never been evaluated, and none rested on experimental evidence that the specific intervention improved mental health in the target population; 11 of 13 rested on correlational evidence alone. Of 14 published evaluations, none reported suicide or self-harm. Evaluated effects have been small, absent, or reversed. South Korea's decade-long gaming curfew cut play time by 108.8 minutes among light gamers and by 0.2 minutes among heavy gamers, who moved more minutes into unrestricted hours than they lost; it was repealed in 2021. Three months after Australia's Social Media Minimum Age Act took effect, more than 85% of adolescents younger than 16 years still used restricted platforms. English schools with restrictive phone policies did not differ from permissive schools in mental wellbeing (adjusted mean difference, −0.48; 95% CI, −2.05 to 1.06). The underlying association is real but modest and strongly design-dependent: systematic reviews of longitudinal studies report heterogeneous and generally small relationships, and studies using objective device measurement and within-person designs find prospective effects near zero.</w:t>
      </w:r>
    </w:p>
    <w:p>
      <w:pPr>
        <w:spacing w:after="0" w:line="480" w:lineRule="auto"/>
      </w:pPr>
      <w:r>
        <w:rPr>
          <w:rFonts w:ascii="Arial" w:cs="Arial" w:eastAsia="Arial" w:hAnsi="Arial"/>
          <w:b/>
          <w:bCs/>
          <w:sz w:val="22"/>
          <w:szCs w:val="22"/>
        </w:rPr>
        <w:t xml:space="preserve">Conclusions and Relevance.</w:t>
      </w:r>
      <w:r>
        <w:rPr>
          <w:rFonts w:ascii="Arial" w:cs="Arial" w:eastAsia="Arial" w:hAnsi="Arial"/>
          <w:b w:val="false"/>
          <w:bCs w:val="false"/>
          <w:i w:val="false"/>
          <w:iCs w:val="false"/>
          <w:sz w:val="22"/>
          <w:szCs w:val="22"/>
        </w:rPr>
        <w:t xml:space="preserve"> The gap is not between concern and evidence of harm. It is between evidence of harm and evidence that the proposed remedies work. Restriction has been treated as self-evidently beneficial and therefore exempt from the evaluation standard applied to any drug or clinical intervention. Policies affecting tens of millions of children warrant the evidentiary standard their scale implies. New restrictions should be enacted with prespecified evaluation, staggered subnational adoption should be exploited as a natural experiment rather than wasted, and the substitution hypothesis, that benefit comes from what replaces screen time rather than from its absence, should be tested directly.</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Introduction</w:t>
      </w:r>
    </w:p>
    <w:p>
      <w:pPr>
        <w:spacing w:after="0" w:line="480" w:lineRule="auto"/>
      </w:pPr>
      <w:r>
        <w:rPr>
          <w:rFonts w:ascii="Arial" w:cs="Arial" w:eastAsia="Arial" w:hAnsi="Arial"/>
          <w:b w:val="false"/>
          <w:bCs w:val="false"/>
          <w:i w:val="false"/>
          <w:iCs w:val="false"/>
          <w:sz w:val="22"/>
          <w:szCs w:val="22"/>
        </w:rPr>
        <w:t xml:space="preserve">In May 2023 the US Surgeon General issued an advisory concluding that social media poses "a profound risk of harm" to youth mental health.¹ Within three years, Australia had barred adolescents younger than 16 years from holding social media accounts, Brazil had restricted smartphones in schools nationally, Denmark and the United Kingdom had announced comparable measures, and more than 30 US states had restricted phones during the school day. The American Academy of Pediatrics, the World Health Organization, and the American Psychological Association each issued guidance on how much screen time children should have.²⁻⁴</w:t>
      </w:r>
    </w:p>
    <w:p>
      <w:pPr>
        <w:spacing w:after="0" w:line="480" w:lineRule="auto"/>
      </w:pPr>
      <w:r>
        <w:rPr>
          <w:rFonts w:ascii="Arial" w:cs="Arial" w:eastAsia="Arial" w:hAnsi="Arial"/>
          <w:b w:val="false"/>
          <w:bCs w:val="false"/>
          <w:i w:val="false"/>
          <w:iCs w:val="false"/>
          <w:sz w:val="22"/>
          <w:szCs w:val="22"/>
        </w:rPr>
        <w:t xml:space="preserve">This is an unusually rapid translation of scientific concern into binding policy. It is also an unusually thin one. The advisory itself is careful: it states that the available evidence is insufficient to determine whether social media is sufficiently safe for children and adolescents.¹ That is a statement about uncertainty. The policy response has treated it as a statement about harm, and has then treated restriction as the self-evident remedy.</w:t>
      </w:r>
    </w:p>
    <w:p>
      <w:pPr>
        <w:spacing w:after="0" w:line="480" w:lineRule="auto"/>
      </w:pPr>
      <w:r>
        <w:rPr>
          <w:rFonts w:ascii="Arial" w:cs="Arial" w:eastAsia="Arial" w:hAnsi="Arial"/>
          <w:b w:val="false"/>
          <w:bCs w:val="false"/>
          <w:i w:val="false"/>
          <w:iCs w:val="false"/>
          <w:sz w:val="22"/>
          <w:szCs w:val="22"/>
        </w:rPr>
        <w:t xml:space="preserve">The AAP retired its hourly-limit framework in January 2026 in favor of contextual assessment.⁵ The retirement is instructive: those limits were widely implemented, widely cited in policy, and withdrawn without ever having been tested as an intervention. They became de facto standards without passing through the stage at which anyone asked whether following them helped.</w:t>
      </w:r>
    </w:p>
    <w:p>
      <w:pPr>
        <w:spacing w:after="0" w:line="480" w:lineRule="auto"/>
      </w:pPr>
      <w:r>
        <w:rPr>
          <w:rFonts w:ascii="Arial" w:cs="Arial" w:eastAsia="Arial" w:hAnsi="Arial"/>
          <w:b w:val="false"/>
          <w:bCs w:val="false"/>
          <w:i w:val="false"/>
          <w:iCs w:val="false"/>
          <w:sz w:val="22"/>
          <w:szCs w:val="22"/>
        </w:rPr>
        <w:t xml:space="preserve">We assessed how much of the current policy landscape rests on evidence that the intervention works, as distinct from evidence that the exposure is associated with harm. These are different claims, and only the second has substantial support.</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Methods</w:t>
      </w:r>
    </w:p>
    <w:p>
      <w:pPr>
        <w:spacing w:after="0" w:line="480" w:lineRule="auto"/>
      </w:pPr>
      <w:r>
        <w:rPr>
          <w:rFonts w:ascii="Arial" w:cs="Arial" w:eastAsia="Arial" w:hAnsi="Arial"/>
          <w:b w:val="false"/>
          <w:bCs w:val="false"/>
          <w:i w:val="false"/>
          <w:iCs w:val="false"/>
          <w:sz w:val="22"/>
          <w:szCs w:val="22"/>
        </w:rPr>
        <w:t xml:space="preserve">We assembled an inventory of enacted or announced policies restricting children's and adolescents' screen, social media, or online gaming access, identified from legislative sources, government publications, and the peer-reviewed literature. For each, we recorded the intervention, the stated rationale, whether an evaluation was prespecified before implementation, whether any evaluation has been published, and the strongest evidence available for that specific intervention in that population at the time of enactment.</w:t>
      </w:r>
    </w:p>
    <w:p>
      <w:pPr>
        <w:spacing w:after="0" w:line="480" w:lineRule="auto"/>
      </w:pPr>
      <w:r>
        <w:rPr>
          <w:rFonts w:ascii="Arial" w:cs="Arial" w:eastAsia="Arial" w:hAnsi="Arial"/>
          <w:b w:val="false"/>
          <w:bCs w:val="false"/>
          <w:i w:val="false"/>
          <w:iCs w:val="false"/>
          <w:sz w:val="22"/>
          <w:szCs w:val="22"/>
        </w:rPr>
        <w:t xml:space="preserve">We conducted a parallel systematic search of PubMed and Europe PMC (2010-2026) in two arms: evaluations of policies and environmental interventions affecting youth screen use, and studies estimating the effect of screen or social media exposure on youth mental health, self-harm, and suicide, restricted to designs capable of supporting causal inference. The two arms retrieved 227,413 records before deduplication: PubMed arm A, 15,276 records; Europe PMC arm A, 127,960 records from 14 of 17 publication years; PubMed arm B, 3,118 records; Europe PMC arm B, 81,059 records. [Provisional: the harvest is still running, and final PRISMA counts will be inserted before submission.] Search strategies, screening decisions, the policy inventory, and the evidence appraisal database are openly available (see Data Availability). The policy-evaluation arm deliberately did not require study-design terms in the query: requiring them would have retrieved only policies that were evaluated, and the proportion evaluated is precisely what we set out to measure. Design was coded at appraisal instead.</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Observations</w:t>
      </w:r>
    </w:p>
    <w:p>
      <w:pPr>
        <w:pStyle w:val="Heading3"/>
        <w:spacing w:after="160" w:before="300"/>
      </w:pPr>
      <w:r>
        <w:rPr>
          <w:rFonts w:ascii="Arial" w:cs="Arial" w:eastAsia="Arial" w:hAnsi="Arial"/>
          <w:b/>
          <w:bCs/>
          <w:i w:val="false"/>
          <w:iCs w:val="false"/>
          <w:sz w:val="24"/>
          <w:szCs w:val="24"/>
        </w:rPr>
        <w:t xml:space="preserve">Most policies were enacted without a plan to evaluate them</w:t>
      </w:r>
    </w:p>
    <w:p>
      <w:pPr>
        <w:spacing w:after="0" w:line="480" w:lineRule="auto"/>
      </w:pPr>
      <w:r>
        <w:rPr>
          <w:rFonts w:ascii="Arial" w:cs="Arial" w:eastAsia="Arial" w:hAnsi="Arial"/>
          <w:b w:val="false"/>
          <w:bCs w:val="false"/>
          <w:i w:val="false"/>
          <w:iCs w:val="false"/>
          <w:sz w:val="22"/>
          <w:szCs w:val="22"/>
        </w:rPr>
        <w:t xml:space="preserve">Table 1 summarizes 13 policies across 10 jurisdictions. One, Australia's, was accompanied by a prespecified evaluation. Six have no published evaluation of any outcome. France's school phone ban has been in force since 2018, with national survey infrastructure available throughout; no causal evaluation of mental health outcomes has been published. Japan's Kagawa Prefecture ordinance, which directs families to limit gaming to 60 minutes on weekdays, has been in force since 2020 and was upheld against constitutional challenge in 2022, without an evaluation of whether it changed behavior.</w:t>
      </w:r>
    </w:p>
    <w:p>
      <w:pPr>
        <w:spacing w:after="0" w:line="480" w:lineRule="auto"/>
      </w:pPr>
      <w:r>
        <w:rPr>
          <w:rFonts w:ascii="Arial" w:cs="Arial" w:eastAsia="Arial" w:hAnsi="Arial"/>
          <w:b w:val="false"/>
          <w:bCs w:val="false"/>
          <w:i w:val="false"/>
          <w:iCs w:val="false"/>
          <w:sz w:val="22"/>
          <w:szCs w:val="22"/>
        </w:rPr>
        <w:t xml:space="preserve">None of the 13 rested on experimental evidence that the specific intervention improved mental health in the target population. Eleven rested on correlational evidence alone.</w:t>
      </w:r>
    </w:p>
    <w:p>
      <w:pPr>
        <w:spacing w:after="0" w:line="480" w:lineRule="auto"/>
      </w:pPr>
      <w:r>
        <w:rPr>
          <w:rFonts w:ascii="Arial" w:cs="Arial" w:eastAsia="Arial" w:hAnsi="Arial"/>
          <w:b w:val="false"/>
          <w:bCs w:val="false"/>
          <w:i w:val="false"/>
          <w:iCs w:val="false"/>
          <w:sz w:val="22"/>
          <w:szCs w:val="22"/>
        </w:rPr>
        <w:t xml:space="preserve">Precaution justifies acting under uncertainty; it does not justify declining to resolve it afterward. A policy implemented without evaluation forecloses learning permanently, because once a law is national and universal, the counterfactual is gone.</w:t>
      </w:r>
    </w:p>
    <w:p>
      <w:pPr>
        <w:pStyle w:val="Heading3"/>
        <w:spacing w:after="160" w:before="300"/>
      </w:pPr>
      <w:r>
        <w:rPr>
          <w:rFonts w:ascii="Arial" w:cs="Arial" w:eastAsia="Arial" w:hAnsi="Arial"/>
          <w:b/>
          <w:bCs/>
          <w:i w:val="false"/>
          <w:iCs w:val="false"/>
          <w:sz w:val="24"/>
          <w:szCs w:val="24"/>
        </w:rPr>
        <w:t xml:space="preserve">Where policies have been evaluated, effects have been small or absent</w:t>
      </w:r>
    </w:p>
    <w:p>
      <w:pPr>
        <w:spacing w:after="0" w:line="480" w:lineRule="auto"/>
      </w:pPr>
      <w:r>
        <w:rPr>
          <w:rFonts w:ascii="Arial" w:cs="Arial" w:eastAsia="Arial" w:hAnsi="Arial"/>
          <w:b w:val="false"/>
          <w:bCs w:val="false"/>
          <w:i w:val="false"/>
          <w:iCs w:val="false"/>
          <w:sz w:val="22"/>
          <w:szCs w:val="22"/>
        </w:rPr>
        <w:t xml:space="preserve">Table 2 summarizes the evaluations that exist.</w:t>
      </w:r>
    </w:p>
    <w:p>
      <w:pPr>
        <w:spacing w:after="0" w:line="480" w:lineRule="auto"/>
      </w:pPr>
      <w:r>
        <w:rPr>
          <w:rFonts w:ascii="Arial" w:cs="Arial" w:eastAsia="Arial" w:hAnsi="Arial"/>
          <w:b/>
          <w:bCs/>
          <w:sz w:val="22"/>
          <w:szCs w:val="22"/>
        </w:rPr>
        <w:t xml:space="preserve">South Korea</w:t>
      </w:r>
      <w:r>
        <w:rPr>
          <w:rFonts w:ascii="Arial" w:cs="Arial" w:eastAsia="Arial" w:hAnsi="Arial"/>
          <w:b w:val="false"/>
          <w:bCs w:val="false"/>
          <w:i w:val="false"/>
          <w:iCs w:val="false"/>
          <w:sz w:val="22"/>
          <w:szCs w:val="22"/>
        </w:rPr>
        <w:t xml:space="preserve"> offers the only completed policy arc. The Youth Protection Revision Act, in force from November 2011, blocked adolescents younger than 16 years from online games between midnight and 6 AM, enforced through national identity verification. A difference-in-differences analysis of the Korea Youth Risk Behavior Web-based Survey (n ≈ 244 000) found that daily internet use fell by 3.6 minutes in the first year (P = .001) and by 3.2 minutes in the second (P = .01), and was statistically indistinguishable from zero by the third and fourth years (−1.1 minutes, P = .38; +2.2 minutes, P = .11).⁶ Internet addiction and sleep duration did not change. The law was repealed in 2021.</w:t>
      </w:r>
    </w:p>
    <w:p>
      <w:pPr>
        <w:spacing w:after="0" w:line="480" w:lineRule="auto"/>
      </w:pPr>
      <w:r>
        <w:rPr>
          <w:rFonts w:ascii="Arial" w:cs="Arial" w:eastAsia="Arial" w:hAnsi="Arial"/>
          <w:b w:val="false"/>
          <w:bCs w:val="false"/>
          <w:i w:val="false"/>
          <w:iCs w:val="false"/>
          <w:sz w:val="22"/>
          <w:szCs w:val="22"/>
        </w:rPr>
        <w:t xml:space="preserve">Game-server logs give a sharper picture than self-report, and a worse one for the policy.⁷ Play time fell by 108.8 minutes among light gamers (P &lt; .01) and by 0.2 minutes among heavy gamers, that is, not at all. Heavy gamers lost 196 minutes across the two curfew hours and gained 273 across the daytime and evening hours, a net increase. Spending did not change. The law did not reduce heavy gaming; it moved it into the afternoon.</w:t>
      </w:r>
    </w:p>
    <w:p>
      <w:pPr>
        <w:spacing w:after="0" w:line="480" w:lineRule="auto"/>
      </w:pPr>
      <w:r>
        <w:rPr>
          <w:rFonts w:ascii="Arial" w:cs="Arial" w:eastAsia="Arial" w:hAnsi="Arial"/>
          <w:b w:val="false"/>
          <w:bCs w:val="false"/>
          <w:i w:val="false"/>
          <w:iCs w:val="false"/>
          <w:sz w:val="22"/>
          <w:szCs w:val="22"/>
        </w:rPr>
        <w:t xml:space="preserve">A decade of enforcement produced an effect that decayed to nothing within three years, reversed in the group the law was written to protect, and never touched the outcomes the law was justified by. This is the most complete evidence available about what this class of intervention achieves, and it exists only because someone evaluated the law after the fact.</w:t>
      </w:r>
    </w:p>
    <w:p>
      <w:pPr>
        <w:spacing w:after="0" w:line="480" w:lineRule="auto"/>
      </w:pPr>
      <w:r>
        <w:rPr>
          <w:rFonts w:ascii="Arial" w:cs="Arial" w:eastAsia="Arial" w:hAnsi="Arial"/>
          <w:b/>
          <w:bCs/>
          <w:sz w:val="22"/>
          <w:szCs w:val="22"/>
        </w:rPr>
        <w:t xml:space="preserve">Australia</w:t>
      </w:r>
      <w:r>
        <w:rPr>
          <w:rFonts w:ascii="Arial" w:cs="Arial" w:eastAsia="Arial" w:hAnsi="Arial"/>
          <w:b w:val="false"/>
          <w:bCs w:val="false"/>
          <w:i w:val="false"/>
          <w:iCs w:val="false"/>
          <w:sz w:val="22"/>
          <w:szCs w:val="22"/>
        </w:rPr>
        <w:t xml:space="preserve">'s Social Media Minimum Age Act took effect in December 2025. A regression discontinuity study of adolescents assessed before and three months after implementation found that more than 85% of participants younger than 16 years still reported using platforms covered by the Act, most through their own accounts, and that 15% to 19% reported using fake accounts to circumvent age assurance.⁸ Mental health outcomes have not yet been reported. The design is a genuine advance, and the reason we know the ban is being circumvented is that Australia, alone among these jurisdictions, arranged to find out.</w:t>
      </w:r>
    </w:p>
    <w:p>
      <w:pPr>
        <w:spacing w:after="0" w:line="480" w:lineRule="auto"/>
      </w:pPr>
      <w:r>
        <w:rPr>
          <w:rFonts w:ascii="Arial" w:cs="Arial" w:eastAsia="Arial" w:hAnsi="Arial"/>
          <w:b/>
          <w:bCs/>
          <w:sz w:val="22"/>
          <w:szCs w:val="22"/>
        </w:rPr>
        <w:t xml:space="preserve">School phone restrictions</w:t>
      </w:r>
      <w:r>
        <w:rPr>
          <w:rFonts w:ascii="Arial" w:cs="Arial" w:eastAsia="Arial" w:hAnsi="Arial"/>
          <w:b w:val="false"/>
          <w:bCs w:val="false"/>
          <w:i w:val="false"/>
          <w:iCs w:val="false"/>
          <w:sz w:val="22"/>
          <w:szCs w:val="22"/>
        </w:rPr>
        <w:t xml:space="preserve"> have the largest evaluation base and the least settled one. The SMART Schools study compared 1227 adolescents aged 12 to 15 years across 30 English secondary schools with restrictive versus permissive policies.⁹ Mental wellbeing did not differ (adjusted mean difference on the Warwick-Edinburgh Mental Well-Being Scale, −0.48; 95% CI, −2.05 to 1.06; P = .62). Restrictive schools had lower phone use during school hours (−0.67 h; 95% CI, −0.92 to −0.43) but no difference in total weekday or weekend use. The intervention displaced use rather than reducing it, and did not move the outcome.</w:t>
      </w:r>
    </w:p>
    <w:p>
      <w:pPr>
        <w:spacing w:after="0" w:line="480" w:lineRule="auto"/>
      </w:pPr>
      <w:r>
        <w:rPr>
          <w:rFonts w:ascii="Arial" w:cs="Arial" w:eastAsia="Arial" w:hAnsi="Arial"/>
          <w:b w:val="false"/>
          <w:bCs w:val="false"/>
          <w:i w:val="false"/>
          <w:iCs w:val="false"/>
          <w:sz w:val="22"/>
          <w:szCs w:val="22"/>
        </w:rPr>
        <w:t xml:space="preserve">A 2026 study is the first to test whether a stricter ban does more. Across 24 Dutch secondary schools, 1398 adolescents in schools with full bans covering the whole grounds were compared with those in schools restricting phones to outside the classroom only.¹⁰ No wellbeing or bullying outcome differed. Full bans were associated with </w:t>
      </w:r>
      <w:r>
        <w:rPr>
          <w:rFonts w:ascii="Arial" w:cs="Arial" w:eastAsia="Arial" w:hAnsi="Arial"/>
          <w:i/>
          <w:iCs/>
          <w:sz w:val="22"/>
          <w:szCs w:val="22"/>
        </w:rPr>
        <w:t xml:space="preserve">lower</w:t>
      </w:r>
      <w:r>
        <w:rPr>
          <w:rFonts w:ascii="Arial" w:cs="Arial" w:eastAsia="Arial" w:hAnsi="Arial"/>
          <w:b w:val="false"/>
          <w:bCs w:val="false"/>
          <w:i w:val="false"/>
          <w:iCs w:val="false"/>
          <w:sz w:val="22"/>
          <w:szCs w:val="22"/>
        </w:rPr>
        <w:t xml:space="preserve"> student-teacher connectedness and, among girls, reduced school belonging. This matters at scale: UNESCO's Global Education Monitoring Report counted 114 education systems with a national ban on mobile phones in schools as of March 2026, 58% of countries worldwide.¹¹ The first test of ban intensity found the stricter version no better on any intended outcome and worse on belonging for the group these policies most often invoke.</w:t>
      </w:r>
    </w:p>
    <w:p>
      <w:pPr>
        <w:spacing w:after="0" w:line="480" w:lineRule="auto"/>
      </w:pPr>
      <w:r>
        <w:rPr>
          <w:rFonts w:ascii="Arial" w:cs="Arial" w:eastAsia="Arial" w:hAnsi="Arial"/>
          <w:b w:val="false"/>
          <w:bCs w:val="false"/>
          <w:i w:val="false"/>
          <w:iCs w:val="false"/>
          <w:sz w:val="22"/>
          <w:szCs w:val="22"/>
        </w:rPr>
        <w:t xml:space="preserve">The evidence most often cited in support of school bans is not about mental health at all. Beland and Murphy estimated that English schools banning phones raised high-stakes exam performance by 0.07 SD, concentrated among previously lowest-achieving students.¹² A replication in Sweden using the same design, a larger sample, and a school response rate near 75% found no effect and could reject gains larger than 0.024 SD, and in its preferred specification larger than 0.01 SD, which excludes the original estimate.¹³ A scoping review of 22 studies across 12 countries found no randomized trials and only five difference-in-differences designs.¹⁴ More than 30 US states are adopting a policy whose most influential supporting estimate concerns test scores and has failed to replicate.</w:t>
      </w:r>
    </w:p>
    <w:p>
      <w:pPr>
        <w:spacing w:after="0" w:line="480" w:lineRule="auto"/>
      </w:pPr>
      <w:r>
        <w:rPr>
          <w:rFonts w:ascii="Arial" w:cs="Arial" w:eastAsia="Arial" w:hAnsi="Arial"/>
          <w:b w:val="false"/>
          <w:bCs w:val="false"/>
          <w:i w:val="false"/>
          <w:iCs w:val="false"/>
          <w:sz w:val="22"/>
          <w:szCs w:val="22"/>
        </w:rPr>
        <w:t xml:space="preserve">Australia has since increased penalties on platforms to enforce the Act, without a mental health outcome yet reported.¹⁵</w:t>
      </w:r>
    </w:p>
    <w:p>
      <w:pPr>
        <w:spacing w:after="0" w:line="480" w:lineRule="auto"/>
      </w:pPr>
      <w:r>
        <w:rPr>
          <w:rFonts w:ascii="Arial" w:cs="Arial" w:eastAsia="Arial" w:hAnsi="Arial"/>
          <w:b w:val="false"/>
          <w:bCs w:val="false"/>
          <w:i w:val="false"/>
          <w:iCs w:val="false"/>
          <w:sz w:val="22"/>
          <w:szCs w:val="22"/>
        </w:rPr>
        <w:t xml:space="preserve">Across all 14 evaluations in Table 2, none reported suicide, suicide attempt, or self-harm. These are the outcomes invoked most often in advocacy for these laws. They are measured in none of the studies of whether the laws work.</w:t>
      </w:r>
    </w:p>
    <w:p>
      <w:pPr>
        <w:pStyle w:val="Heading3"/>
        <w:spacing w:after="160" w:before="300"/>
      </w:pPr>
      <w:r>
        <w:rPr>
          <w:rFonts w:ascii="Arial" w:cs="Arial" w:eastAsia="Arial" w:hAnsi="Arial"/>
          <w:b/>
          <w:bCs/>
          <w:i w:val="false"/>
          <w:iCs w:val="false"/>
          <w:sz w:val="24"/>
          <w:szCs w:val="24"/>
        </w:rPr>
        <w:t xml:space="preserve">The outcome that justifies the policies is the one nobody measures</w:t>
      </w:r>
    </w:p>
    <w:p>
      <w:pPr>
        <w:spacing w:after="0" w:line="480" w:lineRule="auto"/>
      </w:pPr>
      <w:r>
        <w:rPr>
          <w:rFonts w:ascii="Arial" w:cs="Arial" w:eastAsia="Arial" w:hAnsi="Arial"/>
          <w:b w:val="false"/>
          <w:bCs w:val="false"/>
          <w:i w:val="false"/>
          <w:iCs w:val="false"/>
          <w:sz w:val="22"/>
          <w:szCs w:val="22"/>
        </w:rPr>
        <w:t xml:space="preserve">Suicide and self-harm are the outcomes invoked most often in advocacy for these measures. Across all 14 evaluations in Table 2, none reported either, and 6 reported any mental health outcome at all.</w:t>
      </w:r>
    </w:p>
    <w:p>
      <w:pPr>
        <w:spacing w:after="0" w:line="480" w:lineRule="auto"/>
      </w:pPr>
      <w:r>
        <w:rPr>
          <w:rFonts w:ascii="Arial" w:cs="Arial" w:eastAsia="Arial" w:hAnsi="Arial"/>
          <w:b w:val="false"/>
          <w:bCs w:val="false"/>
          <w:i w:val="false"/>
          <w:iCs w:val="false"/>
          <w:sz w:val="22"/>
          <w:szCs w:val="22"/>
        </w:rPr>
        <w:t xml:space="preserve">The gap is not confined to policy evaluation. The designs capable of addressing whether the exposure causes suicide do not agree. An instrumental variable analysis exploiting the quasi-exogenous geographic spread of Twitter across US counties found no significant relationship with suicide rates.¹⁶ A bidirectional Mendelian randomization study found no effect of digital device use on suicide risk, and in the reverse direction found suicide risk predicting longer mobile phone use, a pattern consistent with reverse causation.¹⁷ Against these, instrumental variable studies of broadband and fiber rollout in Italy and Spain report increases in hospital-recorded self-harm and, in Spain, suicide mortality among adolescent girls.¹⁸,¹⁹ Broadband is not social media, and these studies identify the effect of connectivity rather than of any restriction, but they are the strongest evidence that severe outcomes are at stake.</w:t>
      </w:r>
    </w:p>
    <w:p>
      <w:pPr>
        <w:spacing w:after="0" w:line="480" w:lineRule="auto"/>
      </w:pPr>
      <w:r>
        <w:rPr>
          <w:rFonts w:ascii="Arial" w:cs="Arial" w:eastAsia="Arial" w:hAnsi="Arial"/>
          <w:b w:val="false"/>
          <w:bCs w:val="false"/>
          <w:i w:val="false"/>
          <w:iCs w:val="false"/>
          <w:sz w:val="22"/>
          <w:szCs w:val="22"/>
        </w:rPr>
        <w:t xml:space="preserve">Where suicide-specific associations are reported, the exposure is compulsive use rather than duration, and the designs remain weak: a 2026 systematic review of smartphone addiction and suicidality found consistent associations with suicidal ideation (odds ratios 1.14-4.57 in high-risk users) and attempt (1.15-1.87), but all 11 included studies were cross-sectional.²⁰</w:t>
      </w:r>
    </w:p>
    <w:p>
      <w:pPr>
        <w:spacing w:after="0" w:line="480" w:lineRule="auto"/>
      </w:pPr>
      <w:r>
        <w:rPr>
          <w:rFonts w:ascii="Arial" w:cs="Arial" w:eastAsia="Arial" w:hAnsi="Arial"/>
          <w:b w:val="false"/>
          <w:bCs w:val="false"/>
          <w:i w:val="false"/>
          <w:iCs w:val="false"/>
          <w:sz w:val="22"/>
          <w:szCs w:val="22"/>
        </w:rPr>
        <w:t xml:space="preserve">The honest summary is that the causal relationship between screen exposure and suicide is contested among the designs able to test it, and that no evaluation of any enacted restriction has measured it. Policy is being justified by an outcome that is neither established at the exposure level nor assessed at the intervention level.</w:t>
      </w:r>
    </w:p>
    <w:p>
      <w:pPr>
        <w:pStyle w:val="Heading3"/>
        <w:spacing w:after="160" w:before="300"/>
      </w:pPr>
      <w:r>
        <w:rPr>
          <w:rFonts w:ascii="Arial" w:cs="Arial" w:eastAsia="Arial" w:hAnsi="Arial"/>
          <w:b/>
          <w:bCs/>
          <w:i w:val="false"/>
          <w:iCs w:val="false"/>
          <w:sz w:val="24"/>
          <w:szCs w:val="24"/>
        </w:rPr>
        <w:t xml:space="preserve">The evidence beneath the policies is real, and small</w:t>
      </w:r>
    </w:p>
    <w:p>
      <w:pPr>
        <w:spacing w:after="0" w:line="480" w:lineRule="auto"/>
      </w:pPr>
      <w:r>
        <w:rPr>
          <w:rFonts w:ascii="Arial" w:cs="Arial" w:eastAsia="Arial" w:hAnsi="Arial"/>
          <w:b w:val="false"/>
          <w:bCs w:val="false"/>
          <w:i w:val="false"/>
          <w:iCs w:val="false"/>
          <w:sz w:val="22"/>
          <w:szCs w:val="22"/>
        </w:rPr>
        <w:t xml:space="preserve">It would be a misreading to conclude that social media is harmless. That is not what the data show.</w:t>
      </w:r>
    </w:p>
    <w:p>
      <w:pPr>
        <w:spacing w:after="0" w:line="480" w:lineRule="auto"/>
      </w:pPr>
      <w:r>
        <w:rPr>
          <w:rFonts w:ascii="Arial" w:cs="Arial" w:eastAsia="Arial" w:hAnsi="Arial"/>
          <w:b w:val="false"/>
          <w:bCs w:val="false"/>
          <w:i w:val="false"/>
          <w:iCs w:val="false"/>
          <w:sz w:val="22"/>
          <w:szCs w:val="22"/>
        </w:rPr>
        <w:t xml:space="preserve">No single estimate characterizes it, and quoting one would repeat the error this article is about. Systematic reviews of longitudinal studies report heterogeneous and generally modest relationships, with persistent concerns about reverse causation, confounding, and the conflation of duration with content, context, and problematic use.²¹ The designs that measure exposure most precisely are the least impressed: using smartphone logs and within-person models, most prospective effects of screen time, social media time, and device pickups on depression, anxiety, and isolation were very small or nonsignificant, and the largest significant estimate would require an implausible increase in use to produce a minimally important change.²²,²³</w:t>
      </w:r>
    </w:p>
    <w:p>
      <w:pPr>
        <w:spacing w:after="0" w:line="480" w:lineRule="auto"/>
      </w:pPr>
      <w:r>
        <w:rPr>
          <w:rFonts w:ascii="Arial" w:cs="Arial" w:eastAsia="Arial" w:hAnsi="Arial"/>
          <w:b w:val="false"/>
          <w:bCs w:val="false"/>
          <w:i w:val="false"/>
          <w:iCs w:val="false"/>
          <w:sz w:val="22"/>
          <w:szCs w:val="22"/>
        </w:rPr>
        <w:t xml:space="preserve">Individual cohorts do find effects. In an Australian cohort followed from ages 12 to 19 years (n = 1195), more than 2 versus less than 1 hour of daily use predicted high depressive symptoms at the next annual wave, risk difference 6.3 per 100 (95% CI, 2.7-9.9), largest among girls aged 12 to 13 years (10.8; 95% CI, 2.7-18.9).²⁴ We report it as one estimate among a dispersed set rather than as the effect size, because the spread across designs is itself the finding.</w:t>
      </w:r>
    </w:p>
    <w:p>
      <w:pPr>
        <w:spacing w:after="0" w:line="480" w:lineRule="auto"/>
      </w:pPr>
      <w:r>
        <w:rPr>
          <w:rFonts w:ascii="Arial" w:cs="Arial" w:eastAsia="Arial" w:hAnsi="Arial"/>
          <w:b w:val="false"/>
          <w:bCs w:val="false"/>
          <w:i w:val="false"/>
          <w:iCs w:val="false"/>
          <w:sz w:val="22"/>
          <w:szCs w:val="22"/>
        </w:rPr>
        <w:t xml:space="preserve">The experimental evidence is a different matter. Two recent meta-analyses of randomized social media restriction report modest pooled benefits, but their participants are not the population the policies address: one pooled 32 trials of 5,544 participants who were all college students or adults, mean age about 23 years, and the other pooled 35 studies of 7,160 participants with a mean age of 27.3 years.²⁵,²⁶ In the larger review only 2 of 35 studies were at low risk of bias, interventions lasted under two weeks on average, and small-study bias was detected for depressive symptoms. Trials conducted in adults are being cited to justify compulsory restrictions on children.</w:t>
      </w:r>
    </w:p>
    <w:p>
      <w:pPr>
        <w:spacing w:after="0" w:line="480" w:lineRule="auto"/>
      </w:pPr>
      <w:r>
        <w:rPr>
          <w:rFonts w:ascii="Arial" w:cs="Arial" w:eastAsia="Arial" w:hAnsi="Arial"/>
          <w:b w:val="false"/>
          <w:bCs w:val="false"/>
          <w:i w:val="false"/>
          <w:iCs w:val="false"/>
          <w:sz w:val="22"/>
          <w:szCs w:val="22"/>
        </w:rPr>
        <w:t xml:space="preserve">These are real, prospective, adjusted associations, and the age gradient is exactly what a developmental account would predict. They are also small in absolute terms, observational, and about an exposure contrast (2 hours versus 1 hour) that no enacted policy actually delivers. Australia did not move adolescents from 2 hours to 1 hour. On the available evidence it did not move them at all.</w:t>
      </w:r>
    </w:p>
    <w:p>
      <w:pPr>
        <w:spacing w:after="0" w:line="480" w:lineRule="auto"/>
      </w:pPr>
      <w:r>
        <w:rPr>
          <w:rFonts w:ascii="Arial" w:cs="Arial" w:eastAsia="Arial" w:hAnsi="Arial"/>
          <w:b w:val="false"/>
          <w:bCs w:val="false"/>
          <w:i w:val="false"/>
          <w:iCs w:val="false"/>
          <w:sz w:val="22"/>
          <w:szCs w:val="22"/>
        </w:rPr>
        <w:t xml:space="preserve">A further problem sits underneath all of this: the exposure the policies regulate may not be the exposure that carries the risk. In the Adolescent Brain Cognitive Development Study, 4285 youths followed from a mean age of 10.0 years through four annual waves showed three distinct trajectories of addictive social media and mobile phone use and two of addictive video game use. Increasing addictive use of social media carried a risk ratio of 2.14 (95% CI, 1.61-2.85) for suicidal behaviors, and high-peaking addictive use a risk ratio of 2.39 (95% CI, 1.66-3.43), relative to low addictive use. </w:t>
      </w:r>
      <w:r>
        <w:rPr>
          <w:rFonts w:ascii="Arial" w:cs="Arial" w:eastAsia="Arial" w:hAnsi="Arial"/>
          <w:b/>
          <w:bCs/>
          <w:sz w:val="22"/>
          <w:szCs w:val="22"/>
        </w:rPr>
        <w:t xml:space="preserve">Total screen time at baseline was not associated with any outcome.</w:t>
      </w:r>
      <w:r>
        <w:rPr>
          <w:rFonts w:ascii="Arial" w:cs="Arial" w:eastAsia="Arial" w:hAnsi="Arial"/>
          <w:b w:val="false"/>
          <w:bCs w:val="false"/>
          <w:i w:val="false"/>
          <w:iCs w:val="false"/>
          <w:sz w:val="22"/>
          <w:szCs w:val="22"/>
        </w:rPr>
        <w:t xml:space="preserve">²⁷ Nearly one third of participants entered an increasing addictive use trajectory beginning at age 11 years.</w:t>
      </w:r>
    </w:p>
    <w:p>
      <w:pPr>
        <w:spacing w:after="0" w:line="480" w:lineRule="auto"/>
      </w:pPr>
      <w:r>
        <w:rPr>
          <w:rFonts w:ascii="Arial" w:cs="Arial" w:eastAsia="Arial" w:hAnsi="Arial"/>
          <w:b w:val="false"/>
          <w:bCs w:val="false"/>
          <w:i w:val="false"/>
          <w:iCs w:val="false"/>
          <w:sz w:val="22"/>
          <w:szCs w:val="22"/>
        </w:rPr>
        <w:t xml:space="preserve">Every measure in Table 1 regulates hours. None regulates the pattern of use that this evidence identifies as the risk factor, and a policy that reduces hours without changing compulsive engagement may leave the mechanism untouched. That is a testable proposition and it has not been tested.</w:t>
      </w:r>
    </w:p>
    <w:p>
      <w:pPr>
        <w:spacing w:after="0" w:line="480" w:lineRule="auto"/>
      </w:pPr>
      <w:r>
        <w:rPr>
          <w:rFonts w:ascii="Arial" w:cs="Arial" w:eastAsia="Arial" w:hAnsi="Arial"/>
          <w:b w:val="false"/>
          <w:bCs w:val="false"/>
          <w:i w:val="false"/>
          <w:iCs w:val="false"/>
          <w:sz w:val="22"/>
          <w:szCs w:val="22"/>
        </w:rPr>
        <w:t xml:space="preserve">This is the crux, and Figure 1 sets it out. The inferential chain running from "heavy use is associated with more depressive symptoms" to "prohibiting accounts will reduce depressive symptoms" has three untested links: that the policy reduces use, that reduced use causes improved mental health, and that the reduction achieved is large enough to matter. The Korean and Australian evaluations bear on the first link and are not encouraging. The second requires experimental evidence that remains sparse in adolescents. The third has, to our knowledge, never been formally addressed. The exposure contrast that generates the observed association is measured in hours per day; the largest change any evaluated policy has produced is measured in minutes.</w:t>
      </w:r>
    </w:p>
    <w:p>
      <w:pPr>
        <w:pStyle w:val="Heading3"/>
        <w:spacing w:after="160" w:before="300"/>
      </w:pPr>
      <w:r>
        <w:rPr>
          <w:rFonts w:ascii="Arial" w:cs="Arial" w:eastAsia="Arial" w:hAnsi="Arial"/>
          <w:b/>
          <w:bCs/>
          <w:i w:val="false"/>
          <w:iCs w:val="false"/>
          <w:sz w:val="24"/>
          <w:szCs w:val="24"/>
        </w:rPr>
        <w:t xml:space="preserve">One jurisdiction is testing a mechanism rather than a prohibition</w:t>
      </w:r>
    </w:p>
    <w:p>
      <w:pPr>
        <w:spacing w:after="0" w:line="480" w:lineRule="auto"/>
      </w:pPr>
      <w:r>
        <w:rPr>
          <w:rFonts w:ascii="Arial" w:cs="Arial" w:eastAsia="Arial" w:hAnsi="Arial"/>
          <w:b w:val="false"/>
          <w:bCs w:val="false"/>
          <w:i w:val="false"/>
          <w:iCs w:val="false"/>
          <w:sz w:val="22"/>
          <w:szCs w:val="22"/>
        </w:rPr>
        <w:t xml:space="preserve">Sweden is the exception. Alongside age-banded screen guidance,²⁸ it has invested in the alternative: subsidized access to sports clubs and gyms, library and cultural programming, and a return to printed textbooks.</w:t>
      </w:r>
    </w:p>
    <w:p>
      <w:pPr>
        <w:spacing w:after="0" w:line="480" w:lineRule="auto"/>
      </w:pPr>
      <w:r>
        <w:rPr>
          <w:rFonts w:ascii="Arial" w:cs="Arial" w:eastAsia="Arial" w:hAnsi="Arial"/>
          <w:b w:val="false"/>
          <w:bCs w:val="false"/>
          <w:i w:val="false"/>
          <w:iCs w:val="false"/>
          <w:sz w:val="22"/>
          <w:szCs w:val="22"/>
        </w:rPr>
        <w:t xml:space="preserve">This matters theoretically. If screen time harms mental health, the most plausible mechanism is displacement of sleep, physical activity, and in-person contact. If so, the benefit of any restriction depends on what fills the vacated time, and a restriction that vacates time into boredom should do nothing. Every other policy in Table 1 tests prohibition; Sweden's is the only one that tests substitution, and whether the offline investment modifies the effect has not been evaluated.</w:t>
      </w:r>
    </w:p>
    <w:p>
      <w:pPr>
        <w:spacing w:after="0" w:line="480" w:lineRule="auto"/>
      </w:pPr>
      <w:r>
        <w:rPr>
          <w:rFonts w:ascii="Arial" w:cs="Arial" w:eastAsia="Arial" w:hAnsi="Arial"/>
          <w:b w:val="false"/>
          <w:bCs w:val="false"/>
          <w:i w:val="false"/>
          <w:iCs w:val="false"/>
          <w:sz w:val="22"/>
          <w:szCs w:val="22"/>
        </w:rPr>
        <w:t xml:space="preserve">That is, in our view, the single most valuable unanswered question in this literature.</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What evidence is needed</w:t>
      </w:r>
    </w:p>
    <w:p>
      <w:pPr>
        <w:spacing w:after="0" w:line="480" w:lineRule="auto"/>
      </w:pPr>
      <w:r>
        <w:rPr>
          <w:rFonts w:ascii="Arial" w:cs="Arial" w:eastAsia="Arial" w:hAnsi="Arial"/>
          <w:b w:val="false"/>
          <w:bCs w:val="false"/>
          <w:i w:val="false"/>
          <w:iCs w:val="false"/>
          <w:sz w:val="22"/>
          <w:szCs w:val="22"/>
        </w:rPr>
        <w:t xml:space="preserve">Table 3 sets out a research agenda matched to the decisions actually facing policymakers. Four priorities follow.</w:t>
      </w:r>
    </w:p>
    <w:p>
      <w:pPr>
        <w:spacing w:after="0" w:line="480" w:lineRule="auto"/>
      </w:pPr>
      <w:r>
        <w:rPr>
          <w:rFonts w:ascii="Arial" w:cs="Arial" w:eastAsia="Arial" w:hAnsi="Arial"/>
          <w:b/>
          <w:bCs/>
          <w:sz w:val="22"/>
          <w:szCs w:val="22"/>
        </w:rPr>
        <w:t xml:space="preserve">Prespecify evaluation as a condition of enactment.</w:t>
      </w:r>
      <w:r>
        <w:rPr>
          <w:rFonts w:ascii="Arial" w:cs="Arial" w:eastAsia="Arial" w:hAnsi="Arial"/>
          <w:b w:val="false"/>
          <w:bCs w:val="false"/>
          <w:i w:val="false"/>
          <w:iCs w:val="false"/>
          <w:sz w:val="22"/>
          <w:szCs w:val="22"/>
        </w:rPr>
        <w:t xml:space="preserve"> Every new restriction should carry, before implementation, a defined outcome, comparison, and analysis. That is the standard applied to any drug affecting a fraction of the children these laws affect.</w:t>
      </w:r>
    </w:p>
    <w:p>
      <w:pPr>
        <w:spacing w:after="0" w:line="480" w:lineRule="auto"/>
      </w:pPr>
      <w:r>
        <w:rPr>
          <w:rFonts w:ascii="Arial" w:cs="Arial" w:eastAsia="Arial" w:hAnsi="Arial"/>
          <w:b/>
          <w:bCs/>
          <w:sz w:val="22"/>
          <w:szCs w:val="22"/>
        </w:rPr>
        <w:t xml:space="preserve">Exploit staggered adoption before it disappears.</w:t>
      </w:r>
      <w:r>
        <w:rPr>
          <w:rFonts w:ascii="Arial" w:cs="Arial" w:eastAsia="Arial" w:hAnsi="Arial"/>
          <w:b w:val="false"/>
          <w:bCs w:val="false"/>
          <w:i w:val="false"/>
          <w:iCs w:val="false"/>
          <w:sz w:val="22"/>
          <w:szCs w:val="22"/>
        </w:rPr>
        <w:t xml:space="preserve"> More than 30 US states have adopted school phone restrictions at different times and intensities. This is close to an ideal difference-in-differences setting, the outcome data already exist in the Youth Risk Behavior Surveillance System and state administrative records, and the window is closing as adoption saturates. The analysis is achievable now, at modest cost, and would be the strongest causal evidence available on school restrictions.</w:t>
      </w:r>
    </w:p>
    <w:p>
      <w:pPr>
        <w:spacing w:after="0" w:line="480" w:lineRule="auto"/>
      </w:pPr>
      <w:r>
        <w:rPr>
          <w:rFonts w:ascii="Arial" w:cs="Arial" w:eastAsia="Arial" w:hAnsi="Arial"/>
          <w:b/>
          <w:bCs/>
          <w:sz w:val="22"/>
          <w:szCs w:val="22"/>
        </w:rPr>
        <w:t xml:space="preserve">Test substitution directly.</w:t>
      </w:r>
      <w:r>
        <w:rPr>
          <w:rFonts w:ascii="Arial" w:cs="Arial" w:eastAsia="Arial" w:hAnsi="Arial"/>
          <w:b w:val="false"/>
          <w:bCs w:val="false"/>
          <w:i w:val="false"/>
          <w:iCs w:val="false"/>
          <w:sz w:val="22"/>
          <w:szCs w:val="22"/>
        </w:rPr>
        <w:t xml:space="preserve"> A cluster-randomized trial comparing restriction alone, restriction plus funded offline activity, and usual practice would answer the mechanism question. Sweden's policy supplies the intervention design. The trial has not been run.</w:t>
      </w:r>
    </w:p>
    <w:p>
      <w:pPr>
        <w:spacing w:after="0" w:line="480" w:lineRule="auto"/>
      </w:pPr>
      <w:r>
        <w:rPr>
          <w:rFonts w:ascii="Arial" w:cs="Arial" w:eastAsia="Arial" w:hAnsi="Arial"/>
          <w:b/>
          <w:bCs/>
          <w:sz w:val="22"/>
          <w:szCs w:val="22"/>
        </w:rPr>
        <w:t xml:space="preserve">Power studies for the outcomes that justify the policies.</w:t>
      </w:r>
      <w:r>
        <w:rPr>
          <w:rFonts w:ascii="Arial" w:cs="Arial" w:eastAsia="Arial" w:hAnsi="Arial"/>
          <w:b w:val="false"/>
          <w:bCs w:val="false"/>
          <w:i w:val="false"/>
          <w:iCs w:val="false"/>
          <w:sz w:val="22"/>
          <w:szCs w:val="22"/>
        </w:rPr>
        <w:t xml:space="preserve"> Suicide and self-harm are invoked in advocacy and, as Table 2 shows, measured in no published evaluation. No single jurisdiction has the events to detect plausible effects; coordinated multi-jurisdiction designs with harmonized outcome ascertainment are required. Absent that, we will continue to justify policy by one outcome and evaluate it by another.</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Limitations</w:t>
      </w:r>
    </w:p>
    <w:p>
      <w:pPr>
        <w:spacing w:after="0" w:line="480" w:lineRule="auto"/>
      </w:pPr>
      <w:r>
        <w:rPr>
          <w:rFonts w:ascii="Arial" w:cs="Arial" w:eastAsia="Arial" w:hAnsi="Arial"/>
          <w:b w:val="false"/>
          <w:bCs w:val="false"/>
          <w:i w:val="false"/>
          <w:iCs w:val="false"/>
          <w:sz w:val="22"/>
          <w:szCs w:val="22"/>
        </w:rPr>
        <w:t xml:space="preserve">Our inventory covers national and major subnational measures identifiable in English-language sources and under-represents local ordinances and non-English jurisdictions. Absence of a published evaluation is not proof that none was conducted; government evaluations may exist outside the indexed literature. Several policies are recent, so judging them unevaluated is partly a judgment about elapsed time. Our search covered two bibliographic databases and populations younger than 25 years.</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Conclusions</w:t>
      </w:r>
    </w:p>
    <w:p>
      <w:pPr>
        <w:spacing w:after="0" w:line="480" w:lineRule="auto"/>
      </w:pPr>
      <w:r>
        <w:rPr>
          <w:rFonts w:ascii="Arial" w:cs="Arial" w:eastAsia="Arial" w:hAnsi="Arial"/>
          <w:b w:val="false"/>
          <w:bCs w:val="false"/>
          <w:i w:val="false"/>
          <w:iCs w:val="false"/>
          <w:sz w:val="22"/>
          <w:szCs w:val="22"/>
        </w:rPr>
        <w:t xml:space="preserve">The claim here is narrow. Not that screen time is harmless, nor that policymakers should have waited for perfect evidence, nor that any law should be repealed. It is that a field which has correctly insisted on evidence for clinical interventions has exempted population-level restrictions from the same standard, and that the exemption is not defensible at the scale on which these policies operate.</w:t>
      </w:r>
    </w:p>
    <w:p>
      <w:pPr>
        <w:spacing w:after="0" w:line="480" w:lineRule="auto"/>
      </w:pPr>
      <w:r>
        <w:rPr>
          <w:rFonts w:ascii="Arial" w:cs="Arial" w:eastAsia="Arial" w:hAnsi="Arial"/>
          <w:b w:val="false"/>
          <w:bCs w:val="false"/>
          <w:i w:val="false"/>
          <w:iCs w:val="false"/>
          <w:sz w:val="22"/>
          <w:szCs w:val="22"/>
        </w:rPr>
        <w:t xml:space="preserve">South Korea spent a decade enforcing a law that moved adolescent internet use by three minutes a day, then stopped moving it at all. That is less a failure of the policy than of the system that produced it: no one had to find out sooner, so no one did. Australia will know more within a year because Australia arranged to know. The difference is procedural, and available to every jurisdiction here for a rounding error on the cost of implementation.</w:t>
      </w:r>
    </w:p>
    <w:p>
      <w:pPr>
        <w:spacing w:after="0" w:line="480" w:lineRule="auto"/>
      </w:pPr>
      <w:r>
        <w:rPr>
          <w:rFonts w:ascii="Arial" w:cs="Arial" w:eastAsia="Arial" w:hAnsi="Arial"/>
          <w:b w:val="false"/>
          <w:bCs w:val="false"/>
          <w:i w:val="false"/>
          <w:iCs w:val="false"/>
          <w:sz w:val="22"/>
          <w:szCs w:val="22"/>
        </w:rPr>
        <w:t xml:space="preserve">Professional organizations occupy a particular position. Recommendations from the AAP, the WHO, and the APA are cited as authority in legislative debate. When they are issued without accompanying calls for evaluation, and later withdrawn without having been tested, the authority is spent without the science being advanced. These bodies should attach an evaluation standard to future guidance: say not only what children should do, but how we will find out whether it helped.</w:t>
      </w:r>
    </w:p>
    <w:p>
      <w:pPr>
        <w:spacing w:after="0" w:line="480" w:lineRule="auto"/>
      </w:pPr>
      <w:r>
        <w:rPr>
          <w:rFonts w:ascii="Arial" w:cs="Arial" w:eastAsia="Arial" w:hAnsi="Arial"/>
          <w:b w:val="false"/>
          <w:bCs w:val="false"/>
          <w:i w:val="false"/>
          <w:iCs w:val="false"/>
          <w:sz w:val="22"/>
          <w:szCs w:val="22"/>
        </w:rPr>
        <w:t xml:space="preserve">The children affected by these laws number in the tens of millions. They deserve policies that have been tested, and failing that, policies designed so that we will eventually know.</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Article Information</w:t>
      </w:r>
    </w:p>
    <w:p>
      <w:pPr>
        <w:spacing w:after="0" w:line="480" w:lineRule="auto"/>
      </w:pPr>
      <w:r>
        <w:rPr>
          <w:rFonts w:ascii="Arial" w:cs="Arial" w:eastAsia="Arial" w:hAnsi="Arial"/>
          <w:b/>
          <w:bCs/>
          <w:sz w:val="22"/>
          <w:szCs w:val="22"/>
        </w:rPr>
        <w:t xml:space="preserve">Author Contributions.</w:t>
      </w:r>
      <w:r>
        <w:rPr>
          <w:rFonts w:ascii="Arial" w:cs="Arial" w:eastAsia="Arial" w:hAnsi="Arial"/>
          <w:b w:val="false"/>
          <w:bCs w:val="false"/>
          <w:i w:val="false"/>
          <w:iCs w:val="false"/>
          <w:sz w:val="22"/>
          <w:szCs w:val="22"/>
        </w:rPr>
        <w:t xml:space="preserve"> Dr Xiao had full access to all of the data in the study and takes responsibility for the integrity of the data and the accuracy of the data analysis. [CRediT roles to be completed for all authors before submission.]</w:t>
      </w:r>
    </w:p>
    <w:p>
      <w:pPr>
        <w:spacing w:after="0" w:line="480" w:lineRule="auto"/>
      </w:pPr>
      <w:r>
        <w:rPr>
          <w:rFonts w:ascii="Arial" w:cs="Arial" w:eastAsia="Arial" w:hAnsi="Arial"/>
          <w:b/>
          <w:bCs/>
          <w:sz w:val="22"/>
          <w:szCs w:val="22"/>
        </w:rPr>
        <w:t xml:space="preserve">Conflict of Interest Disclosures.</w:t>
      </w:r>
      <w:r>
        <w:rPr>
          <w:rFonts w:ascii="Arial" w:cs="Arial" w:eastAsia="Arial" w:hAnsi="Arial"/>
          <w:b w:val="false"/>
          <w:bCs w:val="false"/>
          <w:i w:val="false"/>
          <w:iCs w:val="false"/>
          <w:sz w:val="22"/>
          <w:szCs w:val="22"/>
        </w:rPr>
        <w:t xml:space="preserve"> [To be completed.]</w:t>
      </w:r>
    </w:p>
    <w:p>
      <w:pPr>
        <w:spacing w:after="0" w:line="480" w:lineRule="auto"/>
      </w:pPr>
      <w:r>
        <w:rPr>
          <w:rFonts w:ascii="Arial" w:cs="Arial" w:eastAsia="Arial" w:hAnsi="Arial"/>
          <w:b/>
          <w:bCs/>
          <w:sz w:val="22"/>
          <w:szCs w:val="22"/>
        </w:rPr>
        <w:t xml:space="preserve">Funding/Support.</w:t>
      </w:r>
      <w:r>
        <w:rPr>
          <w:rFonts w:ascii="Arial" w:cs="Arial" w:eastAsia="Arial" w:hAnsi="Arial"/>
          <w:b w:val="false"/>
          <w:bCs w:val="false"/>
          <w:i w:val="false"/>
          <w:iCs w:val="false"/>
          <w:sz w:val="22"/>
          <w:szCs w:val="22"/>
        </w:rPr>
        <w:t xml:space="preserve"> [To be completed.]</w:t>
      </w:r>
    </w:p>
    <w:p>
      <w:pPr>
        <w:spacing w:after="0" w:line="480" w:lineRule="auto"/>
      </w:pPr>
      <w:r>
        <w:rPr>
          <w:rFonts w:ascii="Arial" w:cs="Arial" w:eastAsia="Arial" w:hAnsi="Arial"/>
          <w:b/>
          <w:bCs/>
          <w:sz w:val="22"/>
          <w:szCs w:val="22"/>
        </w:rPr>
        <w:t xml:space="preserve">Role of the Funder/Sponsor.</w:t>
      </w:r>
      <w:r>
        <w:rPr>
          <w:rFonts w:ascii="Arial" w:cs="Arial" w:eastAsia="Arial" w:hAnsi="Arial"/>
          <w:b w:val="false"/>
          <w:bCs w:val="false"/>
          <w:i w:val="false"/>
          <w:iCs w:val="false"/>
          <w:sz w:val="22"/>
          <w:szCs w:val="22"/>
        </w:rPr>
        <w:t xml:space="preserve"> [To be completed.]</w:t>
      </w:r>
    </w:p>
    <w:p>
      <w:pPr>
        <w:spacing w:after="0" w:line="480" w:lineRule="auto"/>
      </w:pPr>
      <w:r>
        <w:rPr>
          <w:rFonts w:ascii="Arial" w:cs="Arial" w:eastAsia="Arial" w:hAnsi="Arial"/>
          <w:b/>
          <w:bCs/>
          <w:sz w:val="22"/>
          <w:szCs w:val="22"/>
        </w:rPr>
        <w:t xml:space="preserve">Data Availability.</w:t>
      </w:r>
      <w:r>
        <w:rPr>
          <w:rFonts w:ascii="Arial" w:cs="Arial" w:eastAsia="Arial" w:hAnsi="Arial"/>
          <w:b w:val="false"/>
          <w:bCs w:val="false"/>
          <w:i w:val="false"/>
          <w:iCs w:val="false"/>
          <w:sz w:val="22"/>
          <w:szCs w:val="22"/>
        </w:rPr>
        <w:t xml:space="preserve"> The policy inventory, the exact search strings executed, screening decisions, the evidence appraisal database, and the code that generates every table, figure, and count reported in this article are openly available at https://github.com/yunyu118/screen-time-evidence-policy.</w:t>
      </w:r>
    </w:p>
    <w:p>
      <w:pPr>
        <w:pBdr>
          <w:bottom w:val="single" w:color="BBBBBB" w:sz="6" w:space="6"/>
        </w:pBdr>
        <w:spacing w:after="200" w:before="160"/>
      </w:pPr>
      <w:r>
        <w:rPr>
          <w:rFonts w:ascii="Arial" w:cs="Arial" w:eastAsia="Arial" w:hAnsi="Arial"/>
          <w:sz w:val="22"/>
          <w:szCs w:val="22"/>
        </w:rPr>
        <w:t xml:space="preserve"/>
      </w:r>
    </w:p>
    <w:p>
      <w:pPr>
        <w:pStyle w:val="Heading2"/>
        <w:spacing w:after="160" w:before="300"/>
      </w:pPr>
      <w:r>
        <w:rPr>
          <w:rFonts w:ascii="Arial" w:cs="Arial" w:eastAsia="Arial" w:hAnsi="Arial"/>
          <w:b/>
          <w:bCs/>
          <w:i w:val="false"/>
          <w:iCs w:val="false"/>
          <w:sz w:val="26"/>
          <w:szCs w:val="26"/>
        </w:rPr>
        <w:t xml:space="preserve">References</w:t>
      </w:r>
    </w:p>
    <w:p>
      <w:pPr>
        <w:spacing w:after="120" w:line="240" w:lineRule="auto"/>
        <w:ind w:left="720" w:hanging="720"/>
      </w:pPr>
      <w:r>
        <w:rPr>
          <w:rFonts w:ascii="Arial" w:cs="Arial" w:eastAsia="Arial" w:hAnsi="Arial"/>
          <w:b w:val="false"/>
          <w:bCs w:val="false"/>
          <w:i w:val="false"/>
          <w:iCs w:val="false"/>
          <w:sz w:val="22"/>
          <w:szCs w:val="22"/>
        </w:rPr>
        <w:t xml:space="preserve">1. Office of the Surgeon General. </w:t>
      </w:r>
      <w:r>
        <w:rPr>
          <w:rFonts w:ascii="Arial" w:cs="Arial" w:eastAsia="Arial" w:hAnsi="Arial"/>
          <w:i/>
          <w:iCs/>
          <w:sz w:val="22"/>
          <w:szCs w:val="22"/>
        </w:rPr>
        <w:t xml:space="preserve">Social Media and Youth Mental Health: The U.S. Surgeon General's Advisory</w:t>
      </w:r>
      <w:r>
        <w:rPr>
          <w:rFonts w:ascii="Arial" w:cs="Arial" w:eastAsia="Arial" w:hAnsi="Arial"/>
          <w:b w:val="false"/>
          <w:bCs w:val="false"/>
          <w:i w:val="false"/>
          <w:iCs w:val="false"/>
          <w:sz w:val="22"/>
          <w:szCs w:val="22"/>
        </w:rPr>
        <w:t xml:space="preserve">. US Department of Health and Human Services; 2023.</w:t>
      </w:r>
    </w:p>
    <w:p>
      <w:pPr>
        <w:spacing w:after="120" w:line="240" w:lineRule="auto"/>
        <w:ind w:left="720" w:hanging="720"/>
      </w:pPr>
      <w:r>
        <w:rPr>
          <w:rFonts w:ascii="Arial" w:cs="Arial" w:eastAsia="Arial" w:hAnsi="Arial"/>
          <w:b w:val="false"/>
          <w:bCs w:val="false"/>
          <w:i w:val="false"/>
          <w:iCs w:val="false"/>
          <w:sz w:val="22"/>
          <w:szCs w:val="22"/>
        </w:rPr>
        <w:t xml:space="preserve">2. Council on Communications and Media, American Academy of Pediatrics. Media use in childhood and adolescence. </w:t>
      </w:r>
      <w:r>
        <w:rPr>
          <w:rFonts w:ascii="Arial" w:cs="Arial" w:eastAsia="Arial" w:hAnsi="Arial"/>
          <w:i/>
          <w:iCs/>
          <w:sz w:val="22"/>
          <w:szCs w:val="22"/>
        </w:rPr>
        <w:t xml:space="preserve">Pediatrics</w:t>
      </w:r>
      <w:r>
        <w:rPr>
          <w:rFonts w:ascii="Arial" w:cs="Arial" w:eastAsia="Arial" w:hAnsi="Arial"/>
          <w:b w:val="false"/>
          <w:bCs w:val="false"/>
          <w:i w:val="false"/>
          <w:iCs w:val="false"/>
          <w:sz w:val="22"/>
          <w:szCs w:val="22"/>
        </w:rPr>
        <w:t xml:space="preserve">. 2026. [Update in press; verify citation before submission.]</w:t>
      </w:r>
    </w:p>
    <w:p>
      <w:pPr>
        <w:spacing w:after="120" w:line="240" w:lineRule="auto"/>
        <w:ind w:left="720" w:hanging="720"/>
      </w:pPr>
      <w:r>
        <w:rPr>
          <w:rFonts w:ascii="Arial" w:cs="Arial" w:eastAsia="Arial" w:hAnsi="Arial"/>
          <w:b w:val="false"/>
          <w:bCs w:val="false"/>
          <w:i w:val="false"/>
          <w:iCs w:val="false"/>
          <w:sz w:val="22"/>
          <w:szCs w:val="22"/>
        </w:rPr>
        <w:t xml:space="preserve">3. World Health Organization. </w:t>
      </w:r>
      <w:r>
        <w:rPr>
          <w:rFonts w:ascii="Arial" w:cs="Arial" w:eastAsia="Arial" w:hAnsi="Arial"/>
          <w:i/>
          <w:iCs/>
          <w:sz w:val="22"/>
          <w:szCs w:val="22"/>
        </w:rPr>
        <w:t xml:space="preserve">Guidelines on Physical Activity, Sedentary Behaviour and Sleep for Children Under 5 Years of Age</w:t>
      </w:r>
      <w:r>
        <w:rPr>
          <w:rFonts w:ascii="Arial" w:cs="Arial" w:eastAsia="Arial" w:hAnsi="Arial"/>
          <w:b w:val="false"/>
          <w:bCs w:val="false"/>
          <w:i w:val="false"/>
          <w:iCs w:val="false"/>
          <w:sz w:val="22"/>
          <w:szCs w:val="22"/>
        </w:rPr>
        <w:t xml:space="preserve">. World Health Organization; 2019.</w:t>
      </w:r>
    </w:p>
    <w:p>
      <w:pPr>
        <w:spacing w:after="120" w:line="240" w:lineRule="auto"/>
        <w:ind w:left="720" w:hanging="720"/>
      </w:pPr>
      <w:r>
        <w:rPr>
          <w:rFonts w:ascii="Arial" w:cs="Arial" w:eastAsia="Arial" w:hAnsi="Arial"/>
          <w:b w:val="false"/>
          <w:bCs w:val="false"/>
          <w:i w:val="false"/>
          <w:iCs w:val="false"/>
          <w:sz w:val="22"/>
          <w:szCs w:val="22"/>
        </w:rPr>
        <w:t xml:space="preserve">4. American Psychological Association. </w:t>
      </w:r>
      <w:r>
        <w:rPr>
          <w:rFonts w:ascii="Arial" w:cs="Arial" w:eastAsia="Arial" w:hAnsi="Arial"/>
          <w:i/>
          <w:iCs/>
          <w:sz w:val="22"/>
          <w:szCs w:val="22"/>
        </w:rPr>
        <w:t xml:space="preserve">Health Advisory on Social Media Use in Adolescence</w:t>
      </w:r>
      <w:r>
        <w:rPr>
          <w:rFonts w:ascii="Arial" w:cs="Arial" w:eastAsia="Arial" w:hAnsi="Arial"/>
          <w:b w:val="false"/>
          <w:bCs w:val="false"/>
          <w:i w:val="false"/>
          <w:iCs w:val="false"/>
          <w:sz w:val="22"/>
          <w:szCs w:val="22"/>
        </w:rPr>
        <w:t xml:space="preserve">. American Psychological Association; 2023.</w:t>
      </w:r>
    </w:p>
    <w:p>
      <w:pPr>
        <w:spacing w:after="120" w:line="240" w:lineRule="auto"/>
        <w:ind w:left="720" w:hanging="720"/>
      </w:pPr>
      <w:r>
        <w:rPr>
          <w:rFonts w:ascii="Arial" w:cs="Arial" w:eastAsia="Arial" w:hAnsi="Arial"/>
          <w:b w:val="false"/>
          <w:bCs w:val="false"/>
          <w:i w:val="false"/>
          <w:iCs w:val="false"/>
          <w:sz w:val="22"/>
          <w:szCs w:val="22"/>
        </w:rPr>
        <w:t xml:space="preserve">5. Hales GE. Screen time guidelines for kids and adolescents have shifted as research paints a more nuanced picture. </w:t>
      </w:r>
      <w:r>
        <w:rPr>
          <w:rFonts w:ascii="Arial" w:cs="Arial" w:eastAsia="Arial" w:hAnsi="Arial"/>
          <w:i/>
          <w:iCs/>
          <w:sz w:val="22"/>
          <w:szCs w:val="22"/>
        </w:rPr>
        <w:t xml:space="preserve">The Conversation</w:t>
      </w:r>
      <w:r>
        <w:rPr>
          <w:rFonts w:ascii="Arial" w:cs="Arial" w:eastAsia="Arial" w:hAnsi="Arial"/>
          <w:b w:val="false"/>
          <w:bCs w:val="false"/>
          <w:i w:val="false"/>
          <w:iCs w:val="false"/>
          <w:sz w:val="22"/>
          <w:szCs w:val="22"/>
        </w:rPr>
        <w:t xml:space="preserve">. July 25, 2026.</w:t>
      </w:r>
    </w:p>
    <w:p>
      <w:pPr>
        <w:spacing w:after="120" w:line="240" w:lineRule="auto"/>
        <w:ind w:left="720" w:hanging="720"/>
      </w:pPr>
      <w:r>
        <w:rPr>
          <w:rFonts w:ascii="Arial" w:cs="Arial" w:eastAsia="Arial" w:hAnsi="Arial"/>
          <w:b w:val="false"/>
          <w:bCs w:val="false"/>
          <w:i w:val="false"/>
          <w:iCs w:val="false"/>
          <w:sz w:val="22"/>
          <w:szCs w:val="22"/>
        </w:rPr>
        <w:t xml:space="preserve">6. Choi J, Cho H-C, Lee S, Kim J, Park E-C. Effect of the online game shutdown policy on internet use, internet addiction, and sleeping hours in Korean adolescents. </w:t>
      </w:r>
      <w:r>
        <w:rPr>
          <w:rFonts w:ascii="Arial" w:cs="Arial" w:eastAsia="Arial" w:hAnsi="Arial"/>
          <w:i/>
          <w:iCs/>
          <w:sz w:val="22"/>
          <w:szCs w:val="22"/>
        </w:rPr>
        <w:t xml:space="preserve">J Adolesc Health</w:t>
      </w:r>
      <w:r>
        <w:rPr>
          <w:rFonts w:ascii="Arial" w:cs="Arial" w:eastAsia="Arial" w:hAnsi="Arial"/>
          <w:b w:val="false"/>
          <w:bCs w:val="false"/>
          <w:i w:val="false"/>
          <w:iCs w:val="false"/>
          <w:sz w:val="22"/>
          <w:szCs w:val="22"/>
        </w:rPr>
        <w:t xml:space="preserve">. 2018;62(5):548-555. doi:10.1016/j.jadohealth.2017.11.291</w:t>
      </w:r>
    </w:p>
    <w:p>
      <w:pPr>
        <w:spacing w:after="120" w:line="240" w:lineRule="auto"/>
        <w:ind w:left="720" w:hanging="720"/>
      </w:pPr>
      <w:r>
        <w:rPr>
          <w:rFonts w:ascii="Arial" w:cs="Arial" w:eastAsia="Arial" w:hAnsi="Arial"/>
          <w:b w:val="false"/>
          <w:bCs w:val="false"/>
          <w:i w:val="false"/>
          <w:iCs w:val="false"/>
          <w:sz w:val="22"/>
          <w:szCs w:val="22"/>
        </w:rPr>
        <w:t xml:space="preserve">7. Jo W, Sunder S, Choi J, Trivedi M. Protecting consumers from themselves: assessing consequences of usage restriction laws on online game usage and spending. </w:t>
      </w:r>
      <w:r>
        <w:rPr>
          <w:rFonts w:ascii="Arial" w:cs="Arial" w:eastAsia="Arial" w:hAnsi="Arial"/>
          <w:i/>
          <w:iCs/>
          <w:sz w:val="22"/>
          <w:szCs w:val="22"/>
        </w:rPr>
        <w:t xml:space="preserve">Mark Sci</w:t>
      </w:r>
      <w:r>
        <w:rPr>
          <w:rFonts w:ascii="Arial" w:cs="Arial" w:eastAsia="Arial" w:hAnsi="Arial"/>
          <w:b w:val="false"/>
          <w:bCs w:val="false"/>
          <w:i w:val="false"/>
          <w:iCs w:val="false"/>
          <w:sz w:val="22"/>
          <w:szCs w:val="22"/>
        </w:rPr>
        <w:t xml:space="preserve">. 2020;39(1):117-133. doi:10.1287/mksc.2019.1174</w:t>
      </w:r>
    </w:p>
    <w:p>
      <w:pPr>
        <w:spacing w:after="120" w:line="240" w:lineRule="auto"/>
        <w:ind w:left="720" w:hanging="720"/>
      </w:pPr>
      <w:r>
        <w:rPr>
          <w:rFonts w:ascii="Arial" w:cs="Arial" w:eastAsia="Arial" w:hAnsi="Arial"/>
          <w:b w:val="false"/>
          <w:bCs w:val="false"/>
          <w:i w:val="false"/>
          <w:iCs w:val="false"/>
          <w:sz w:val="22"/>
          <w:szCs w:val="22"/>
        </w:rPr>
        <w:t xml:space="preserve">8. Barnes C, Hall AE, Mantach S, et al. Assessing early effects of Australia's Social Media Minimum Age Act on adolescents' social media use: observational study. </w:t>
      </w:r>
      <w:r>
        <w:rPr>
          <w:rFonts w:ascii="Arial" w:cs="Arial" w:eastAsia="Arial" w:hAnsi="Arial"/>
          <w:i/>
          <w:iCs/>
          <w:sz w:val="22"/>
          <w:szCs w:val="22"/>
        </w:rPr>
        <w:t xml:space="preserve">BMJ</w:t>
      </w:r>
      <w:r>
        <w:rPr>
          <w:rFonts w:ascii="Arial" w:cs="Arial" w:eastAsia="Arial" w:hAnsi="Arial"/>
          <w:b w:val="false"/>
          <w:bCs w:val="false"/>
          <w:i w:val="false"/>
          <w:iCs w:val="false"/>
          <w:sz w:val="22"/>
          <w:szCs w:val="22"/>
        </w:rPr>
        <w:t xml:space="preserve">. 2026;393. doi:10.1136/bmj-2026-363695</w:t>
      </w:r>
    </w:p>
    <w:p>
      <w:pPr>
        <w:spacing w:after="120" w:line="240" w:lineRule="auto"/>
        <w:ind w:left="720" w:hanging="720"/>
      </w:pPr>
      <w:r>
        <w:rPr>
          <w:rFonts w:ascii="Arial" w:cs="Arial" w:eastAsia="Arial" w:hAnsi="Arial"/>
          <w:b w:val="false"/>
          <w:bCs w:val="false"/>
          <w:i w:val="false"/>
          <w:iCs w:val="false"/>
          <w:sz w:val="22"/>
          <w:szCs w:val="22"/>
        </w:rPr>
        <w:t xml:space="preserve">9. Goodyear VA, et al. School phone policies and their association with mental wellbeing, phone use, and social media use (SMART Schools): a cross-sectional observational study. </w:t>
      </w:r>
      <w:r>
        <w:rPr>
          <w:rFonts w:ascii="Arial" w:cs="Arial" w:eastAsia="Arial" w:hAnsi="Arial"/>
          <w:i/>
          <w:iCs/>
          <w:sz w:val="22"/>
          <w:szCs w:val="22"/>
        </w:rPr>
        <w:t xml:space="preserve">Lancet Reg Health Eur</w:t>
      </w:r>
      <w:r>
        <w:rPr>
          <w:rFonts w:ascii="Arial" w:cs="Arial" w:eastAsia="Arial" w:hAnsi="Arial"/>
          <w:b w:val="false"/>
          <w:bCs w:val="false"/>
          <w:i w:val="false"/>
          <w:iCs w:val="false"/>
          <w:sz w:val="22"/>
          <w:szCs w:val="22"/>
        </w:rPr>
        <w:t xml:space="preserve">. 2025. PMID 40213498. [Verify full author list before submission.]</w:t>
      </w:r>
    </w:p>
    <w:p>
      <w:pPr>
        <w:spacing w:after="120" w:line="240" w:lineRule="auto"/>
        <w:ind w:left="720" w:hanging="720"/>
      </w:pPr>
      <w:r>
        <w:rPr>
          <w:rFonts w:ascii="Arial" w:cs="Arial" w:eastAsia="Arial" w:hAnsi="Arial"/>
          <w:b w:val="false"/>
          <w:bCs w:val="false"/>
          <w:i w:val="false"/>
          <w:iCs w:val="false"/>
          <w:sz w:val="22"/>
          <w:szCs w:val="22"/>
        </w:rPr>
        <w:t xml:space="preserve">10. Vermeulen A, et al. Disconnect to reconnect: how variations between types of smartphone bans influence students' well-being and social connectedness in Dutch secondary education. </w:t>
      </w:r>
      <w:r>
        <w:rPr>
          <w:rFonts w:ascii="Arial" w:cs="Arial" w:eastAsia="Arial" w:hAnsi="Arial"/>
          <w:i/>
          <w:iCs/>
          <w:sz w:val="22"/>
          <w:szCs w:val="22"/>
        </w:rPr>
        <w:t xml:space="preserve">J Youth Adolesc</w:t>
      </w:r>
      <w:r>
        <w:rPr>
          <w:rFonts w:ascii="Arial" w:cs="Arial" w:eastAsia="Arial" w:hAnsi="Arial"/>
          <w:b w:val="false"/>
          <w:bCs w:val="false"/>
          <w:i w:val="false"/>
          <w:iCs w:val="false"/>
          <w:sz w:val="22"/>
          <w:szCs w:val="22"/>
        </w:rPr>
        <w:t xml:space="preserve">. 2026. PMID 41499073. [Verify author list before submission.]</w:t>
      </w:r>
    </w:p>
    <w:p>
      <w:pPr>
        <w:spacing w:after="120" w:line="240" w:lineRule="auto"/>
        <w:ind w:left="720" w:hanging="720"/>
      </w:pPr>
      <w:r>
        <w:rPr>
          <w:rFonts w:ascii="Arial" w:cs="Arial" w:eastAsia="Arial" w:hAnsi="Arial"/>
          <w:b w:val="false"/>
          <w:bCs w:val="false"/>
          <w:i w:val="false"/>
          <w:iCs w:val="false"/>
          <w:sz w:val="22"/>
          <w:szCs w:val="22"/>
        </w:rPr>
        <w:t xml:space="preserve">11. UNESCO Global Education Monitoring Report. Phone bans in schools are spreading worldwide as the policy debate rages on. UNESCO; March 2026. Accessed July 27, 2026. https://www.unesco.org/gem-report/en/articles/phone-bans-schools-are-spreading-worldwide-policy-debate-rages</w:t>
      </w:r>
    </w:p>
    <w:p>
      <w:pPr>
        <w:spacing w:after="120" w:line="240" w:lineRule="auto"/>
        <w:ind w:left="720" w:hanging="720"/>
      </w:pPr>
      <w:r>
        <w:rPr>
          <w:rFonts w:ascii="Arial" w:cs="Arial" w:eastAsia="Arial" w:hAnsi="Arial"/>
          <w:b w:val="false"/>
          <w:bCs w:val="false"/>
          <w:i w:val="false"/>
          <w:iCs w:val="false"/>
          <w:sz w:val="22"/>
          <w:szCs w:val="22"/>
        </w:rPr>
        <w:t xml:space="preserve">12. Beland L-P, Murphy R. Ill communication: technology, distraction and student performance. </w:t>
      </w:r>
      <w:r>
        <w:rPr>
          <w:rFonts w:ascii="Arial" w:cs="Arial" w:eastAsia="Arial" w:hAnsi="Arial"/>
          <w:i/>
          <w:iCs/>
          <w:sz w:val="22"/>
          <w:szCs w:val="22"/>
        </w:rPr>
        <w:t xml:space="preserve">Labour Econ</w:t>
      </w:r>
      <w:r>
        <w:rPr>
          <w:rFonts w:ascii="Arial" w:cs="Arial" w:eastAsia="Arial" w:hAnsi="Arial"/>
          <w:b w:val="false"/>
          <w:bCs w:val="false"/>
          <w:i w:val="false"/>
          <w:iCs w:val="false"/>
          <w:sz w:val="22"/>
          <w:szCs w:val="22"/>
        </w:rPr>
        <w:t xml:space="preserve">. 2016;41:61-76. doi:10.1016/j.labeco.2016.04.004</w:t>
      </w:r>
    </w:p>
    <w:p>
      <w:pPr>
        <w:spacing w:after="120" w:line="240" w:lineRule="auto"/>
        <w:ind w:left="720" w:hanging="720"/>
      </w:pPr>
      <w:r>
        <w:rPr>
          <w:rFonts w:ascii="Arial" w:cs="Arial" w:eastAsia="Arial" w:hAnsi="Arial"/>
          <w:b w:val="false"/>
          <w:bCs w:val="false"/>
          <w:i w:val="false"/>
          <w:iCs w:val="false"/>
          <w:sz w:val="22"/>
          <w:szCs w:val="22"/>
        </w:rPr>
        <w:t xml:space="preserve">13. Kessel D, Hardardottir HL, Tyrefors B. The impact of banning mobile phones in Swedish secondary schools. </w:t>
      </w:r>
      <w:r>
        <w:rPr>
          <w:rFonts w:ascii="Arial" w:cs="Arial" w:eastAsia="Arial" w:hAnsi="Arial"/>
          <w:i/>
          <w:iCs/>
          <w:sz w:val="22"/>
          <w:szCs w:val="22"/>
        </w:rPr>
        <w:t xml:space="preserve">Econ Educ Rev</w:t>
      </w:r>
      <w:r>
        <w:rPr>
          <w:rFonts w:ascii="Arial" w:cs="Arial" w:eastAsia="Arial" w:hAnsi="Arial"/>
          <w:b w:val="false"/>
          <w:bCs w:val="false"/>
          <w:i w:val="false"/>
          <w:iCs w:val="false"/>
          <w:sz w:val="22"/>
          <w:szCs w:val="22"/>
        </w:rPr>
        <w:t xml:space="preserve">. 2020;77:102009. doi:10.1016/j.econedurev.2020.102009</w:t>
      </w:r>
    </w:p>
    <w:p>
      <w:pPr>
        <w:spacing w:after="120" w:line="240" w:lineRule="auto"/>
        <w:ind w:left="720" w:hanging="720"/>
      </w:pPr>
      <w:r>
        <w:rPr>
          <w:rFonts w:ascii="Arial" w:cs="Arial" w:eastAsia="Arial" w:hAnsi="Arial"/>
          <w:b w:val="false"/>
          <w:bCs w:val="false"/>
          <w:i w:val="false"/>
          <w:iCs w:val="false"/>
          <w:sz w:val="22"/>
          <w:szCs w:val="22"/>
        </w:rPr>
        <w:t xml:space="preserve">14. Campbell MA, Edwards EJ, Pennell D, et al. Evidence for and against banning mobile phones in schools: a scoping review. </w:t>
      </w:r>
      <w:r>
        <w:rPr>
          <w:rFonts w:ascii="Arial" w:cs="Arial" w:eastAsia="Arial" w:hAnsi="Arial"/>
          <w:i/>
          <w:iCs/>
          <w:sz w:val="22"/>
          <w:szCs w:val="22"/>
        </w:rPr>
        <w:t xml:space="preserve">J Psychol Couns Sch</w:t>
      </w:r>
      <w:r>
        <w:rPr>
          <w:rFonts w:ascii="Arial" w:cs="Arial" w:eastAsia="Arial" w:hAnsi="Arial"/>
          <w:b w:val="false"/>
          <w:bCs w:val="false"/>
          <w:i w:val="false"/>
          <w:iCs w:val="false"/>
          <w:sz w:val="22"/>
          <w:szCs w:val="22"/>
        </w:rPr>
        <w:t xml:space="preserve">. 2024;34:242-265. doi:10.1177/20556365241270394</w:t>
      </w:r>
    </w:p>
    <w:p>
      <w:pPr>
        <w:spacing w:after="120" w:line="240" w:lineRule="auto"/>
        <w:ind w:left="720" w:hanging="720"/>
      </w:pPr>
      <w:r>
        <w:rPr>
          <w:rFonts w:ascii="Arial" w:cs="Arial" w:eastAsia="Arial" w:hAnsi="Arial"/>
          <w:b w:val="false"/>
          <w:bCs w:val="false"/>
          <w:i w:val="false"/>
          <w:iCs w:val="false"/>
          <w:sz w:val="22"/>
          <w:szCs w:val="22"/>
        </w:rPr>
        <w:t xml:space="preserve">15. Australia increases penalties for social media companies to enforce under 16s ban. </w:t>
      </w:r>
      <w:r>
        <w:rPr>
          <w:rFonts w:ascii="Arial" w:cs="Arial" w:eastAsia="Arial" w:hAnsi="Arial"/>
          <w:i/>
          <w:iCs/>
          <w:sz w:val="22"/>
          <w:szCs w:val="22"/>
        </w:rPr>
        <w:t xml:space="preserve">BMJ</w:t>
      </w:r>
      <w:r>
        <w:rPr>
          <w:rFonts w:ascii="Arial" w:cs="Arial" w:eastAsia="Arial" w:hAnsi="Arial"/>
          <w:b w:val="false"/>
          <w:bCs w:val="false"/>
          <w:i w:val="false"/>
          <w:iCs w:val="false"/>
          <w:sz w:val="22"/>
          <w:szCs w:val="22"/>
        </w:rPr>
        <w:t xml:space="preserve">. 2026;394. PMID 42398960.</w:t>
      </w:r>
    </w:p>
    <w:p>
      <w:pPr>
        <w:spacing w:after="120" w:line="240" w:lineRule="auto"/>
        <w:ind w:left="720" w:hanging="720"/>
      </w:pPr>
      <w:r>
        <w:rPr>
          <w:rFonts w:ascii="Arial" w:cs="Arial" w:eastAsia="Arial" w:hAnsi="Arial"/>
          <w:b w:val="false"/>
          <w:bCs w:val="false"/>
          <w:i w:val="false"/>
          <w:iCs w:val="false"/>
          <w:sz w:val="22"/>
          <w:szCs w:val="22"/>
        </w:rPr>
        <w:t xml:space="preserve">16. Du A, Renault T. Social media and suicide: empirical evidence from the quasi-exogenous geographical adoption of Twitter. </w:t>
      </w:r>
      <w:r>
        <w:rPr>
          <w:rFonts w:ascii="Arial" w:cs="Arial" w:eastAsia="Arial" w:hAnsi="Arial"/>
          <w:i/>
          <w:iCs/>
          <w:sz w:val="22"/>
          <w:szCs w:val="22"/>
        </w:rPr>
        <w:t xml:space="preserve">Ann N Y Acad Sci</w:t>
      </w:r>
      <w:r>
        <w:rPr>
          <w:rFonts w:ascii="Arial" w:cs="Arial" w:eastAsia="Arial" w:hAnsi="Arial"/>
          <w:b w:val="false"/>
          <w:bCs w:val="false"/>
          <w:i w:val="false"/>
          <w:iCs w:val="false"/>
          <w:sz w:val="22"/>
          <w:szCs w:val="22"/>
        </w:rPr>
        <w:t xml:space="preserve">. 2025;1552:140-147. doi:10.1111/nyas.70016</w:t>
      </w:r>
    </w:p>
    <w:p>
      <w:pPr>
        <w:spacing w:after="120" w:line="240" w:lineRule="auto"/>
        <w:ind w:left="720" w:hanging="720"/>
      </w:pPr>
      <w:r>
        <w:rPr>
          <w:rFonts w:ascii="Arial" w:cs="Arial" w:eastAsia="Arial" w:hAnsi="Arial"/>
          <w:b w:val="false"/>
          <w:bCs w:val="false"/>
          <w:i w:val="false"/>
          <w:iCs w:val="false"/>
          <w:sz w:val="22"/>
          <w:szCs w:val="22"/>
        </w:rPr>
        <w:t xml:space="preserve">17. Luo J, Chen Y, Tao Y, et al. Causal associations between digital device use and suicide risk: a bidirectional Mendelian randomization study. </w:t>
      </w:r>
      <w:r>
        <w:rPr>
          <w:rFonts w:ascii="Arial" w:cs="Arial" w:eastAsia="Arial" w:hAnsi="Arial"/>
          <w:i/>
          <w:iCs/>
          <w:sz w:val="22"/>
          <w:szCs w:val="22"/>
        </w:rPr>
        <w:t xml:space="preserve">J Affect Disord</w:t>
      </w:r>
      <w:r>
        <w:rPr>
          <w:rFonts w:ascii="Arial" w:cs="Arial" w:eastAsia="Arial" w:hAnsi="Arial"/>
          <w:b w:val="false"/>
          <w:bCs w:val="false"/>
          <w:i w:val="false"/>
          <w:iCs w:val="false"/>
          <w:sz w:val="22"/>
          <w:szCs w:val="22"/>
        </w:rPr>
        <w:t xml:space="preserve">. 2024. doi:10.1016/j.jad.2024.01.126</w:t>
      </w:r>
    </w:p>
    <w:p>
      <w:pPr>
        <w:spacing w:after="120" w:line="240" w:lineRule="auto"/>
        <w:ind w:left="720" w:hanging="720"/>
      </w:pPr>
      <w:r>
        <w:rPr>
          <w:rFonts w:ascii="Arial" w:cs="Arial" w:eastAsia="Arial" w:hAnsi="Arial"/>
          <w:b w:val="false"/>
          <w:bCs w:val="false"/>
          <w:i w:val="false"/>
          <w:iCs w:val="false"/>
          <w:sz w:val="22"/>
          <w:szCs w:val="22"/>
        </w:rPr>
        <w:t xml:space="preserve">18. Donati D, Durante R, Sobbrio F, Zejcirovic D. Lost in the net? Broadband internet and youth mental health. </w:t>
      </w:r>
      <w:r>
        <w:rPr>
          <w:rFonts w:ascii="Arial" w:cs="Arial" w:eastAsia="Arial" w:hAnsi="Arial"/>
          <w:i/>
          <w:iCs/>
          <w:sz w:val="22"/>
          <w:szCs w:val="22"/>
        </w:rPr>
        <w:t xml:space="preserve">J Health Econ</w:t>
      </w:r>
      <w:r>
        <w:rPr>
          <w:rFonts w:ascii="Arial" w:cs="Arial" w:eastAsia="Arial" w:hAnsi="Arial"/>
          <w:b w:val="false"/>
          <w:bCs w:val="false"/>
          <w:i w:val="false"/>
          <w:iCs w:val="false"/>
          <w:sz w:val="22"/>
          <w:szCs w:val="22"/>
        </w:rPr>
        <w:t xml:space="preserve">. 2025;103:103017.</w:t>
      </w:r>
    </w:p>
    <w:p>
      <w:pPr>
        <w:spacing w:after="120" w:line="240" w:lineRule="auto"/>
        <w:ind w:left="720" w:hanging="720"/>
      </w:pPr>
      <w:r>
        <w:rPr>
          <w:rFonts w:ascii="Arial" w:cs="Arial" w:eastAsia="Arial" w:hAnsi="Arial"/>
          <w:b w:val="false"/>
          <w:bCs w:val="false"/>
          <w:i w:val="false"/>
          <w:iCs w:val="false"/>
          <w:sz w:val="22"/>
          <w:szCs w:val="22"/>
        </w:rPr>
        <w:t xml:space="preserve">19. Arenas-Arroyo E, Fernandez-Kranz D, Nollenberger N. High speed internet and the widening gender gap in adolescent mental health: evidence from Spanish hospital records. </w:t>
      </w:r>
      <w:r>
        <w:rPr>
          <w:rFonts w:ascii="Arial" w:cs="Arial" w:eastAsia="Arial" w:hAnsi="Arial"/>
          <w:i/>
          <w:iCs/>
          <w:sz w:val="22"/>
          <w:szCs w:val="22"/>
        </w:rPr>
        <w:t xml:space="preserve">J Health Econ</w:t>
      </w:r>
      <w:r>
        <w:rPr>
          <w:rFonts w:ascii="Arial" w:cs="Arial" w:eastAsia="Arial" w:hAnsi="Arial"/>
          <w:b w:val="false"/>
          <w:bCs w:val="false"/>
          <w:i w:val="false"/>
          <w:iCs w:val="false"/>
          <w:sz w:val="22"/>
          <w:szCs w:val="22"/>
        </w:rPr>
        <w:t xml:space="preserve">. 2025;102:103014. doi:10.1016/j.jhealeco.2025.103014</w:t>
      </w:r>
    </w:p>
    <w:p>
      <w:pPr>
        <w:spacing w:after="120" w:line="240" w:lineRule="auto"/>
        <w:ind w:left="720" w:hanging="720"/>
      </w:pPr>
      <w:r>
        <w:rPr>
          <w:rFonts w:ascii="Arial" w:cs="Arial" w:eastAsia="Arial" w:hAnsi="Arial"/>
          <w:b w:val="false"/>
          <w:bCs w:val="false"/>
          <w:i w:val="false"/>
          <w:iCs w:val="false"/>
          <w:sz w:val="22"/>
          <w:szCs w:val="22"/>
        </w:rPr>
        <w:t xml:space="preserve">20. Association between smartphone addiction, suicidal ideation and suicide attempt: a systematic review. </w:t>
      </w:r>
      <w:r>
        <w:rPr>
          <w:rFonts w:ascii="Arial" w:cs="Arial" w:eastAsia="Arial" w:hAnsi="Arial"/>
          <w:i/>
          <w:iCs/>
          <w:sz w:val="22"/>
          <w:szCs w:val="22"/>
        </w:rPr>
        <w:t xml:space="preserve">PeerJ</w:t>
      </w:r>
      <w:r>
        <w:rPr>
          <w:rFonts w:ascii="Arial" w:cs="Arial" w:eastAsia="Arial" w:hAnsi="Arial"/>
          <w:b w:val="false"/>
          <w:bCs w:val="false"/>
          <w:i w:val="false"/>
          <w:iCs w:val="false"/>
          <w:sz w:val="22"/>
          <w:szCs w:val="22"/>
        </w:rPr>
        <w:t xml:space="preserve">. 2026. PMID 42291422. [Verify author list before submission.]</w:t>
      </w:r>
    </w:p>
    <w:p>
      <w:pPr>
        <w:spacing w:after="120" w:line="240" w:lineRule="auto"/>
        <w:ind w:left="720" w:hanging="720"/>
      </w:pPr>
      <w:r>
        <w:rPr>
          <w:rFonts w:ascii="Arial" w:cs="Arial" w:eastAsia="Arial" w:hAnsi="Arial"/>
          <w:b w:val="false"/>
          <w:bCs w:val="false"/>
          <w:i w:val="false"/>
          <w:iCs w:val="false"/>
          <w:sz w:val="22"/>
          <w:szCs w:val="22"/>
        </w:rPr>
        <w:t xml:space="preserve">21. Tang S, Werner-Seidler A, Torok M, Mackinnon AJ, Christensen H. The relationship between screen time and mental health in young people: a systematic review of longitudinal studies. </w:t>
      </w:r>
      <w:r>
        <w:rPr>
          <w:rFonts w:ascii="Arial" w:cs="Arial" w:eastAsia="Arial" w:hAnsi="Arial"/>
          <w:i/>
          <w:iCs/>
          <w:sz w:val="22"/>
          <w:szCs w:val="22"/>
        </w:rPr>
        <w:t xml:space="preserve">Clin Psychol Rev</w:t>
      </w:r>
      <w:r>
        <w:rPr>
          <w:rFonts w:ascii="Arial" w:cs="Arial" w:eastAsia="Arial" w:hAnsi="Arial"/>
          <w:b w:val="false"/>
          <w:bCs w:val="false"/>
          <w:i w:val="false"/>
          <w:iCs w:val="false"/>
          <w:sz w:val="22"/>
          <w:szCs w:val="22"/>
        </w:rPr>
        <w:t xml:space="preserve">. 2021;86:102021. doi:10.1016/j.cpr.2021.102021</w:t>
      </w:r>
    </w:p>
    <w:p>
      <w:pPr>
        <w:spacing w:after="120" w:line="240" w:lineRule="auto"/>
        <w:ind w:left="720" w:hanging="720"/>
      </w:pPr>
      <w:r>
        <w:rPr>
          <w:rFonts w:ascii="Arial" w:cs="Arial" w:eastAsia="Arial" w:hAnsi="Arial"/>
          <w:b w:val="false"/>
          <w:bCs w:val="false"/>
          <w:i w:val="false"/>
          <w:iCs w:val="false"/>
          <w:sz w:val="22"/>
          <w:szCs w:val="22"/>
        </w:rPr>
        <w:t xml:space="preserve">22. Sewall CJR, Goldstein TR, Wright AGC, Rosen D. Does objectively measured social media or smartphone use predict depression, anxiety, or social isolation among young adults? </w:t>
      </w:r>
      <w:r>
        <w:rPr>
          <w:rFonts w:ascii="Arial" w:cs="Arial" w:eastAsia="Arial" w:hAnsi="Arial"/>
          <w:i/>
          <w:iCs/>
          <w:sz w:val="22"/>
          <w:szCs w:val="22"/>
        </w:rPr>
        <w:t xml:space="preserve">Clin Psychol Sci</w:t>
      </w:r>
      <w:r>
        <w:rPr>
          <w:rFonts w:ascii="Arial" w:cs="Arial" w:eastAsia="Arial" w:hAnsi="Arial"/>
          <w:b w:val="false"/>
          <w:bCs w:val="false"/>
          <w:i w:val="false"/>
          <w:iCs w:val="false"/>
          <w:sz w:val="22"/>
          <w:szCs w:val="22"/>
        </w:rPr>
        <w:t xml:space="preserve">. 2022;10(5):997-1014. doi:10.1177/21677026221078309</w:t>
      </w:r>
    </w:p>
    <w:p>
      <w:pPr>
        <w:spacing w:after="120" w:line="240" w:lineRule="auto"/>
        <w:ind w:left="720" w:hanging="720"/>
      </w:pPr>
      <w:r>
        <w:rPr>
          <w:rFonts w:ascii="Arial" w:cs="Arial" w:eastAsia="Arial" w:hAnsi="Arial"/>
          <w:b w:val="false"/>
          <w:bCs w:val="false"/>
          <w:i w:val="false"/>
          <w:iCs w:val="false"/>
          <w:sz w:val="22"/>
          <w:szCs w:val="22"/>
        </w:rPr>
        <w:t xml:space="preserve">23. Jensen M, George MJ, Russell MA, Odgers CL. Young adolescents' digital technology use and mental health symptoms: little evidence of longitudinal or daily linkages. </w:t>
      </w:r>
      <w:r>
        <w:rPr>
          <w:rFonts w:ascii="Arial" w:cs="Arial" w:eastAsia="Arial" w:hAnsi="Arial"/>
          <w:i/>
          <w:iCs/>
          <w:sz w:val="22"/>
          <w:szCs w:val="22"/>
        </w:rPr>
        <w:t xml:space="preserve">Clin Psychol Sci</w:t>
      </w:r>
      <w:r>
        <w:rPr>
          <w:rFonts w:ascii="Arial" w:cs="Arial" w:eastAsia="Arial" w:hAnsi="Arial"/>
          <w:b w:val="false"/>
          <w:bCs w:val="false"/>
          <w:i w:val="false"/>
          <w:iCs w:val="false"/>
          <w:sz w:val="22"/>
          <w:szCs w:val="22"/>
        </w:rPr>
        <w:t xml:space="preserve">. 2019;7(6):1416-1433. doi:10.1177/2167702619859336</w:t>
      </w:r>
    </w:p>
    <w:p>
      <w:pPr>
        <w:spacing w:after="120" w:line="240" w:lineRule="auto"/>
        <w:ind w:left="720" w:hanging="720"/>
      </w:pPr>
      <w:r>
        <w:rPr>
          <w:rFonts w:ascii="Arial" w:cs="Arial" w:eastAsia="Arial" w:hAnsi="Arial"/>
          <w:b w:val="false"/>
          <w:bCs w:val="false"/>
          <w:i w:val="false"/>
          <w:iCs w:val="false"/>
          <w:sz w:val="22"/>
          <w:szCs w:val="22"/>
        </w:rPr>
        <w:t xml:space="preserve">24. Social media use and adolescent mental health: findings from a population-based cohort study in Australia. </w:t>
      </w:r>
      <w:r>
        <w:rPr>
          <w:rFonts w:ascii="Arial" w:cs="Arial" w:eastAsia="Arial" w:hAnsi="Arial"/>
          <w:i/>
          <w:iCs/>
          <w:sz w:val="22"/>
          <w:szCs w:val="22"/>
        </w:rPr>
        <w:t xml:space="preserve">Med J Aust</w:t>
      </w:r>
      <w:r>
        <w:rPr>
          <w:rFonts w:ascii="Arial" w:cs="Arial" w:eastAsia="Arial" w:hAnsi="Arial"/>
          <w:b w:val="false"/>
          <w:bCs w:val="false"/>
          <w:i w:val="false"/>
          <w:iCs w:val="false"/>
          <w:sz w:val="22"/>
          <w:szCs w:val="22"/>
        </w:rPr>
        <w:t xml:space="preserve">. 2026. PMID 42274377. [Verify author list and exact title before submission.]</w:t>
      </w:r>
    </w:p>
    <w:p>
      <w:pPr>
        <w:spacing w:after="120" w:line="240" w:lineRule="auto"/>
        <w:ind w:left="720" w:hanging="720"/>
      </w:pPr>
      <w:r>
        <w:rPr>
          <w:rFonts w:ascii="Arial" w:cs="Arial" w:eastAsia="Arial" w:hAnsi="Arial"/>
          <w:b w:val="false"/>
          <w:bCs w:val="false"/>
          <w:i w:val="false"/>
          <w:iCs w:val="false"/>
          <w:sz w:val="22"/>
          <w:szCs w:val="22"/>
        </w:rPr>
        <w:t xml:space="preserve">25. Burnell K, Meter DJ, Andrade FC, Slocum A, George MJ. The effects of social media restriction: meta-analytic evidence from randomized controlled trials. </w:t>
      </w:r>
      <w:r>
        <w:rPr>
          <w:rFonts w:ascii="Arial" w:cs="Arial" w:eastAsia="Arial" w:hAnsi="Arial"/>
          <w:i/>
          <w:iCs/>
          <w:sz w:val="22"/>
          <w:szCs w:val="22"/>
        </w:rPr>
        <w:t xml:space="preserve">SSM Ment Health</w:t>
      </w:r>
      <w:r>
        <w:rPr>
          <w:rFonts w:ascii="Arial" w:cs="Arial" w:eastAsia="Arial" w:hAnsi="Arial"/>
          <w:b w:val="false"/>
          <w:bCs w:val="false"/>
          <w:i w:val="false"/>
          <w:iCs w:val="false"/>
          <w:sz w:val="22"/>
          <w:szCs w:val="22"/>
        </w:rPr>
        <w:t xml:space="preserve">. 2025. doi:10.1016/j.ssmmh.2025.100459</w:t>
      </w:r>
    </w:p>
    <w:p>
      <w:pPr>
        <w:spacing w:after="120" w:line="240" w:lineRule="auto"/>
        <w:ind w:left="720" w:hanging="720"/>
      </w:pPr>
      <w:r>
        <w:rPr>
          <w:rFonts w:ascii="Arial" w:cs="Arial" w:eastAsia="Arial" w:hAnsi="Arial"/>
          <w:b w:val="false"/>
          <w:bCs w:val="false"/>
          <w:i w:val="false"/>
          <w:iCs w:val="false"/>
          <w:sz w:val="22"/>
          <w:szCs w:val="22"/>
        </w:rPr>
        <w:t xml:space="preserve">26. Lopes M, Branje K, David A, et al. Effect of social media constraints on mental health: a systematic review and meta-analysis of experiments. </w:t>
      </w:r>
      <w:r>
        <w:rPr>
          <w:rFonts w:ascii="Arial" w:cs="Arial" w:eastAsia="Arial" w:hAnsi="Arial"/>
          <w:i/>
          <w:iCs/>
          <w:sz w:val="22"/>
          <w:szCs w:val="22"/>
        </w:rPr>
        <w:t xml:space="preserve">medRxiv</w:t>
      </w:r>
      <w:r>
        <w:rPr>
          <w:rFonts w:ascii="Arial" w:cs="Arial" w:eastAsia="Arial" w:hAnsi="Arial"/>
          <w:b w:val="false"/>
          <w:bCs w:val="false"/>
          <w:i w:val="false"/>
          <w:iCs w:val="false"/>
          <w:sz w:val="22"/>
          <w:szCs w:val="22"/>
        </w:rPr>
        <w:t xml:space="preserve">. 2026. doi:10.64898/2026.06.01.26354614 [Preprint; confirm publication status before submission.]</w:t>
      </w:r>
    </w:p>
    <w:p>
      <w:pPr>
        <w:spacing w:after="120" w:line="240" w:lineRule="auto"/>
        <w:ind w:left="720" w:hanging="720"/>
      </w:pPr>
      <w:r>
        <w:rPr>
          <w:rFonts w:ascii="Arial" w:cs="Arial" w:eastAsia="Arial" w:hAnsi="Arial"/>
          <w:b w:val="false"/>
          <w:bCs w:val="false"/>
          <w:i w:val="false"/>
          <w:iCs w:val="false"/>
          <w:sz w:val="22"/>
          <w:szCs w:val="22"/>
        </w:rPr>
        <w:t xml:space="preserve">27. Xiao Y, Meng Y, Brown TT, Keyes KM, Mann JJ. Addictive screen use trajectories and suicidal behaviors, suicidal ideation, and mental health in US youths. </w:t>
      </w:r>
      <w:r>
        <w:rPr>
          <w:rFonts w:ascii="Arial" w:cs="Arial" w:eastAsia="Arial" w:hAnsi="Arial"/>
          <w:i/>
          <w:iCs/>
          <w:sz w:val="22"/>
          <w:szCs w:val="22"/>
        </w:rPr>
        <w:t xml:space="preserve">JAMA</w:t>
      </w:r>
      <w:r>
        <w:rPr>
          <w:rFonts w:ascii="Arial" w:cs="Arial" w:eastAsia="Arial" w:hAnsi="Arial"/>
          <w:b w:val="false"/>
          <w:bCs w:val="false"/>
          <w:i w:val="false"/>
          <w:iCs w:val="false"/>
          <w:sz w:val="22"/>
          <w:szCs w:val="22"/>
        </w:rPr>
        <w:t xml:space="preserve">. 2025;334(3):219-228. doi:10.1001/jama.2025.7829</w:t>
      </w:r>
    </w:p>
    <w:p>
      <w:pPr>
        <w:spacing w:after="120" w:line="240" w:lineRule="auto"/>
        <w:ind w:left="720" w:hanging="720"/>
      </w:pPr>
      <w:r>
        <w:rPr>
          <w:rFonts w:ascii="Arial" w:cs="Arial" w:eastAsia="Arial" w:hAnsi="Arial"/>
          <w:b w:val="false"/>
          <w:bCs w:val="false"/>
          <w:i w:val="false"/>
          <w:iCs w:val="false"/>
          <w:sz w:val="22"/>
          <w:szCs w:val="22"/>
        </w:rPr>
        <w:t xml:space="preserve">28. Folkhälsomyndigheten. </w:t>
      </w:r>
      <w:r>
        <w:rPr>
          <w:rFonts w:ascii="Arial" w:cs="Arial" w:eastAsia="Arial" w:hAnsi="Arial"/>
          <w:i/>
          <w:iCs/>
          <w:sz w:val="22"/>
          <w:szCs w:val="22"/>
        </w:rPr>
        <w:t xml:space="preserve">Recommendations on Screen Time for Children and Young People</w:t>
      </w:r>
      <w:r>
        <w:rPr>
          <w:rFonts w:ascii="Arial" w:cs="Arial" w:eastAsia="Arial" w:hAnsi="Arial"/>
          <w:b w:val="false"/>
          <w:bCs w:val="false"/>
          <w:i w:val="false"/>
          <w:iCs w:val="false"/>
          <w:sz w:val="22"/>
          <w:szCs w:val="22"/>
        </w:rPr>
        <w:t xml:space="preserve">. Public Health Agency of Sweden; 2024.</w:t>
      </w:r>
    </w:p>
    <w:p>
      <w:pPr>
        <w:spacing w:after="120" w:line="240" w:lineRule="auto"/>
        <w:ind w:left="720" w:hanging="720"/>
      </w:pPr>
      <w:r>
        <w:rPr>
          <w:rFonts w:ascii="Arial" w:cs="Arial" w:eastAsia="Arial" w:hAnsi="Arial"/>
          <w:b w:val="false"/>
          <w:bCs w:val="false"/>
          <w:i w:val="false"/>
          <w:iCs w:val="false"/>
          <w:sz w:val="22"/>
          <w:szCs w:val="22"/>
        </w:rPr>
        <w:t xml:space="preserve">29. Lee C, Kim H, Hong A. Ex-post evaluation of illegalizing juvenile online game after midnight: a case of shutdown policy in South Korea. </w:t>
      </w:r>
      <w:r>
        <w:rPr>
          <w:rFonts w:ascii="Arial" w:cs="Arial" w:eastAsia="Arial" w:hAnsi="Arial"/>
          <w:i/>
          <w:iCs/>
          <w:sz w:val="22"/>
          <w:szCs w:val="22"/>
        </w:rPr>
        <w:t xml:space="preserve">Telemat Inform</w:t>
      </w:r>
      <w:r>
        <w:rPr>
          <w:rFonts w:ascii="Arial" w:cs="Arial" w:eastAsia="Arial" w:hAnsi="Arial"/>
          <w:b w:val="false"/>
          <w:bCs w:val="false"/>
          <w:i w:val="false"/>
          <w:iCs w:val="false"/>
          <w:sz w:val="22"/>
          <w:szCs w:val="22"/>
        </w:rPr>
        <w:t xml:space="preserve">. 2017;34(8):1597-1606. doi:10.1016/j.tele.2017.07.006</w:t>
      </w:r>
    </w:p>
    <w:p>
      <w:pPr>
        <w:spacing w:after="120" w:line="240" w:lineRule="auto"/>
        <w:ind w:left="720" w:hanging="720"/>
      </w:pPr>
      <w:r>
        <w:rPr>
          <w:rFonts w:ascii="Arial" w:cs="Arial" w:eastAsia="Arial" w:hAnsi="Arial"/>
          <w:b w:val="false"/>
          <w:bCs w:val="false"/>
          <w:i w:val="false"/>
          <w:iCs w:val="false"/>
          <w:sz w:val="22"/>
          <w:szCs w:val="22"/>
        </w:rPr>
        <w:t xml:space="preserve">30. Zhou X, Liao M, Gorowska M, Chen X, Li Y. Compliance and alternative behaviors of heavy gamers in adolescents to Chinese online gaming restriction policy. </w:t>
      </w:r>
      <w:r>
        <w:rPr>
          <w:rFonts w:ascii="Arial" w:cs="Arial" w:eastAsia="Arial" w:hAnsi="Arial"/>
          <w:i/>
          <w:iCs/>
          <w:sz w:val="22"/>
          <w:szCs w:val="22"/>
        </w:rPr>
        <w:t xml:space="preserve">J Behav Addict</w:t>
      </w:r>
      <w:r>
        <w:rPr>
          <w:rFonts w:ascii="Arial" w:cs="Arial" w:eastAsia="Arial" w:hAnsi="Arial"/>
          <w:b w:val="false"/>
          <w:bCs w:val="false"/>
          <w:i w:val="false"/>
          <w:iCs w:val="false"/>
          <w:sz w:val="22"/>
          <w:szCs w:val="22"/>
        </w:rPr>
        <w:t xml:space="preserve">. 2024;13:687-692. doi:10.1556/2006.2024.00021</w:t>
      </w:r>
    </w:p>
    <w:p>
      <w:pPr>
        <w:spacing w:after="120" w:line="240" w:lineRule="auto"/>
        <w:ind w:left="720" w:hanging="720"/>
      </w:pPr>
      <w:r>
        <w:rPr>
          <w:rFonts w:ascii="Arial" w:cs="Arial" w:eastAsia="Arial" w:hAnsi="Arial"/>
          <w:b w:val="false"/>
          <w:bCs w:val="false"/>
          <w:i w:val="false"/>
          <w:iCs w:val="false"/>
          <w:sz w:val="22"/>
          <w:szCs w:val="22"/>
        </w:rPr>
        <w:t xml:space="preserve">31. King D, Radunz M, Galanis CR, Quinney B, Wade TD. Phones off while school's on: evaluating problematic phone use and the social, wellbeing, and academic effects of banning phones in schools. </w:t>
      </w:r>
      <w:r>
        <w:rPr>
          <w:rFonts w:ascii="Arial" w:cs="Arial" w:eastAsia="Arial" w:hAnsi="Arial"/>
          <w:i/>
          <w:iCs/>
          <w:sz w:val="22"/>
          <w:szCs w:val="22"/>
        </w:rPr>
        <w:t xml:space="preserve">J Behav Addict</w:t>
      </w:r>
      <w:r>
        <w:rPr>
          <w:rFonts w:ascii="Arial" w:cs="Arial" w:eastAsia="Arial" w:hAnsi="Arial"/>
          <w:b w:val="false"/>
          <w:bCs w:val="false"/>
          <w:i w:val="false"/>
          <w:iCs w:val="false"/>
          <w:sz w:val="22"/>
          <w:szCs w:val="22"/>
        </w:rPr>
        <w:t xml:space="preserve">. 2024;13:913-922. doi:10.1556/2006.2024.00058</w:t>
      </w:r>
    </w:p>
    <w:p>
      <w:pPr>
        <w:spacing w:after="120" w:line="240" w:lineRule="auto"/>
        <w:ind w:left="720" w:hanging="720"/>
      </w:pPr>
      <w:r>
        <w:rPr>
          <w:rFonts w:ascii="Arial" w:cs="Arial" w:eastAsia="Arial" w:hAnsi="Arial"/>
          <w:b w:val="false"/>
          <w:bCs w:val="false"/>
          <w:i w:val="false"/>
          <w:iCs w:val="false"/>
          <w:sz w:val="22"/>
          <w:szCs w:val="22"/>
        </w:rPr>
        <w:t xml:space="preserve">32. Problematic smartphone use and mental health trajectories during Brazil's first-year school-hour restrictions. </w:t>
      </w:r>
      <w:r>
        <w:rPr>
          <w:rFonts w:ascii="Arial" w:cs="Arial" w:eastAsia="Arial" w:hAnsi="Arial"/>
          <w:i/>
          <w:iCs/>
          <w:sz w:val="22"/>
          <w:szCs w:val="22"/>
        </w:rPr>
        <w:t xml:space="preserve">J Am Acad Child Adolesc Psychiatry</w:t>
      </w:r>
      <w:r>
        <w:rPr>
          <w:rFonts w:ascii="Arial" w:cs="Arial" w:eastAsia="Arial" w:hAnsi="Arial"/>
          <w:b w:val="false"/>
          <w:bCs w:val="false"/>
          <w:i w:val="false"/>
          <w:iCs w:val="false"/>
          <w:sz w:val="22"/>
          <w:szCs w:val="22"/>
        </w:rPr>
        <w:t xml:space="preserve">. 2026. PMID 42302991. [Verify author list and exact title before submission.]</w:t>
      </w:r>
    </w:p>
    <w:p>
      <w:pPr>
        <w:spacing w:after="120" w:line="240" w:lineRule="auto"/>
      </w:pPr>
      <w:r>
        <w:rPr>
          <w:rFonts w:ascii="Arial" w:cs="Arial" w:eastAsia="Arial" w:hAnsi="Arial"/>
          <w:i/>
          <w:iCs/>
          <w:sz w:val="20"/>
          <w:szCs w:val="20"/>
        </w:rPr>
        <w:t xml:space="preserve">[References 24-50 to be added before submission: primary legislative sources for each policy in Table 1 (Australia Online Safety Amendment Act 2024; Kagawa Prefecture Ordinance 2020 and the 2022 Takamatsu District Court judgment; Toyoake City ordinance 2025; Korea Youth Protection Revision Act 2011 and the 2021 repeal; China NPPA notice 2021; Brazil Law 15.100/2025; France Loi n° 2018-698; UK Online Safety Act 2023; Denmark 2025 announcement; Sweden Folkhälsomyndigheten 2024 and the 2025 offline-activity measures), specification-curve analyses of social media and adolescent wellbeing, experimental social media reduction trials, and the displacement-hypothesis literature.]</w:t>
      </w:r>
    </w:p>
    <w:p>
      <w:pPr>
        <w:pBdr>
          <w:bottom w:val="single" w:color="BBBBBB" w:sz="6" w:space="6"/>
        </w:pBdr>
        <w:spacing w:after="200" w:before="160"/>
      </w:pPr>
      <w:r>
        <w:rPr>
          <w:rFonts w:ascii="Arial" w:cs="Arial" w:eastAsia="Arial" w:hAnsi="Arial"/>
          <w:sz w:val="22"/>
          <w:szCs w:val="22"/>
        </w:rPr>
        <w:t xml:space="preserv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2"/>
        <w:spacing w:after="160" w:before="300"/>
      </w:pPr>
      <w:r>
        <w:rPr>
          <w:rFonts w:ascii="Arial" w:cs="Arial" w:eastAsia="Arial" w:hAnsi="Arial"/>
          <w:b/>
          <w:bCs/>
          <w:i w:val="false"/>
          <w:iCs w:val="false"/>
          <w:sz w:val="26"/>
          <w:szCs w:val="26"/>
        </w:rPr>
        <w:t xml:space="preserve">Tables</w:t>
      </w:r>
    </w:p>
    <w:p>
      <w:pPr>
        <w:spacing w:after="120" w:line="240" w:lineRule="auto"/>
      </w:pPr>
      <w:r>
        <w:rPr>
          <w:rFonts w:ascii="Arial" w:cs="Arial" w:eastAsia="Arial" w:hAnsi="Arial"/>
          <w:b/>
          <w:bCs/>
          <w:sz w:val="22"/>
          <w:szCs w:val="22"/>
        </w:rPr>
        <w:t xml:space="preserve">Table 1.</w:t>
      </w:r>
      <w:r>
        <w:rPr>
          <w:rFonts w:ascii="Arial" w:cs="Arial" w:eastAsia="Arial" w:hAnsi="Arial"/>
          <w:b w:val="false"/>
          <w:bCs w:val="false"/>
          <w:i w:val="false"/>
          <w:iCs w:val="false"/>
          <w:sz w:val="22"/>
          <w:szCs w:val="22"/>
        </w:rPr>
        <w:t xml:space="preserve"> Enacted and announced policies restricting young people's screen, social media, or online gaming access, by evaluation status and evidence available at enactment (N = 13 policies, 10 jurisdictions).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17"/>
        <w:gridCol w:w="2776"/>
        <w:gridCol w:w="1733"/>
        <w:gridCol w:w="1644"/>
        <w:gridCol w:w="1703"/>
        <w:gridCol w:w="1789"/>
        <w:gridCol w:w="2218"/>
      </w:tblGrid>
      <w:tr>
        <w:trPr>
          <w:tblHeader/>
        </w:trPr>
        <w:tc>
          <w:tcPr>
            <w:tcW w:type="dxa" w:w="1817"/>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Jurisdiction</w:t>
            </w:r>
          </w:p>
        </w:tc>
        <w:tc>
          <w:tcPr>
            <w:tcW w:type="dxa" w:w="2776"/>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Policy</w:t>
            </w:r>
          </w:p>
        </w:tc>
        <w:tc>
          <w:tcPr>
            <w:tcW w:type="dxa" w:w="1733"/>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Type</w:t>
            </w:r>
          </w:p>
        </w:tc>
        <w:tc>
          <w:tcPr>
            <w:tcW w:type="dxa" w:w="1644"/>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In force</w:t>
            </w:r>
          </w:p>
        </w:tc>
        <w:tc>
          <w:tcPr>
            <w:tcW w:type="dxa" w:w="1703"/>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Evaluation prespecified</w:t>
            </w:r>
          </w:p>
        </w:tc>
        <w:tc>
          <w:tcPr>
            <w:tcW w:type="dxa" w:w="1789"/>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Evaluation published</w:t>
            </w:r>
          </w:p>
        </w:tc>
        <w:tc>
          <w:tcPr>
            <w:tcW w:type="dxa" w:w="2218"/>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Evidence for this intervention at enactment</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Australia</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Online Safety Amendment (Social Media Minimum Age) Act 2024</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Minimum age</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2025-12-10</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Yes</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Early evaluation published</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only</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Japan (Kagawa Prefecture)</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Ordinance on Countermeasures for Internet and Game Addiction</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Daily time limit</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2020-04-01</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None published</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only</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Japan (Toyoake City, Aichi)</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Ordinance on appropriate use of smartphones</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Daily time limit</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2025-10</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None published</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only</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South Korea</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Youth Protection Revision Act ("Shutdown Law" / "Cinderella Law")</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Time-of-day curfew</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2011-11-20 to 2021-08</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Evaluated after the fact</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only</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Sweden</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Public Health Agency (Folkhälsomyndigheten) screen time recommendations</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Guidance</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2024-09</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None published</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only</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Sweden</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Complementary investment in offline youth activity</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Offline substitution</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2025</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None published</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Theory plus correlational</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China</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NPPA online gaming restrictions for minors</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Time-of-day curfew</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2021-09-01</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Partial, behaviour only</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only</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Brazil</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Law restricting smartphone use in schools</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School-hours restriction</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2025-02</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Early evaluation published</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only</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United States</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Surgeon General's Advisory on Social Media and Youth Mental Health</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Advisory</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2023-05</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Not applicable (advisory)</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only</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United States (state level)</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State school cellphone restrictions</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School-hours restriction</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2023-2026</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Largely none published</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only</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United Kingdom</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Online Safety Act 2023, children's safety duties</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Platform safety duty</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2025-07</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None published</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plus case evidence</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France</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Loi n° 2018-698, mobile phone ban in schools</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School-hours restriction</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2018-08</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None published</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only</w:t>
            </w:r>
          </w:p>
        </w:tc>
      </w:tr>
      <w:tr>
        <w:trPr>
          <w:tblHeader w:val="false"/>
        </w:trPr>
        <w:tc>
          <w:tcPr>
            <w:tcW w:type="dxa" w:w="181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Denmark</w:t>
            </w:r>
          </w:p>
        </w:tc>
        <w:tc>
          <w:tcPr>
            <w:tcW w:type="dxa" w:w="277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Proposed social media minimum age</w:t>
            </w:r>
          </w:p>
        </w:tc>
        <w:tc>
          <w:tcPr>
            <w:tcW w:type="dxa" w:w="173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Minimum age</w:t>
            </w:r>
          </w:p>
        </w:tc>
        <w:tc>
          <w:tcPr>
            <w:tcW w:type="dxa" w:w="164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2025-11</w:t>
            </w:r>
          </w:p>
        </w:tc>
        <w:tc>
          <w:tcPr>
            <w:tcW w:type="dxa" w:w="170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Unknown</w:t>
            </w:r>
          </w:p>
        </w:tc>
        <w:tc>
          <w:tcPr>
            <w:tcW w:type="dxa" w:w="1789"/>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Not yet in force</w:t>
            </w:r>
          </w:p>
        </w:tc>
        <w:tc>
          <w:tcPr>
            <w:tcW w:type="dxa" w:w="221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Correlational only</w:t>
            </w:r>
          </w:p>
        </w:tc>
      </w:tr>
    </w:tbl>
    <w:p>
      <w:pPr>
        <w:spacing w:after="200"/>
      </w:pPr>
    </w:p>
    <w:p>
      <w:pPr>
        <w:spacing w:after="120" w:line="240" w:lineRule="auto"/>
      </w:pPr>
      <w:r>
        <w:rPr>
          <w:rFonts w:ascii="Arial" w:cs="Arial" w:eastAsia="Arial" w:hAnsi="Arial"/>
          <w:b w:val="false"/>
          <w:bCs w:val="false"/>
          <w:i w:val="false"/>
          <w:iCs w:val="false"/>
          <w:sz w:val="20"/>
          <w:szCs w:val="20"/>
        </w:rPr>
        <w:t xml:space="preserve">Abbreviation: Evidence at enactment refers to the strongest evidence available for this specific intervention, in this population, at the time the measure took effect. Correlational evidence that exposure is associated with poorer mental health is not evidence that restricting exposure improves it.</w:t>
      </w:r>
    </w:p>
    <w:p>
      <w:r>
        <w:br w:type="page"/>
      </w:r>
    </w:p>
    <w:p>
      <w:pPr>
        <w:spacing w:after="120" w:line="240" w:lineRule="auto"/>
      </w:pPr>
      <w:r>
        <w:rPr>
          <w:rFonts w:ascii="Arial" w:cs="Arial" w:eastAsia="Arial" w:hAnsi="Arial"/>
          <w:b/>
          <w:bCs/>
          <w:sz w:val="22"/>
          <w:szCs w:val="22"/>
        </w:rPr>
        <w:t xml:space="preserve">Table 2.</w:t>
      </w:r>
      <w:r>
        <w:rPr>
          <w:rFonts w:ascii="Arial" w:cs="Arial" w:eastAsia="Arial" w:hAnsi="Arial"/>
          <w:b w:val="false"/>
          <w:bCs w:val="false"/>
          <w:i w:val="false"/>
          <w:iCs w:val="false"/>
          <w:sz w:val="22"/>
          <w:szCs w:val="22"/>
        </w:rPr>
        <w:t xml:space="preserve"> Published evaluations of youth screen and social media policies: design, sample, outcomes assessed, and effect estimates.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98"/>
        <w:gridCol w:w="1850"/>
        <w:gridCol w:w="2606"/>
        <w:gridCol w:w="1808"/>
        <w:gridCol w:w="1836"/>
        <w:gridCol w:w="2731"/>
        <w:gridCol w:w="1551"/>
      </w:tblGrid>
      <w:tr>
        <w:trPr>
          <w:tblHeader/>
        </w:trPr>
        <w:tc>
          <w:tcPr>
            <w:tcW w:type="dxa" w:w="1298"/>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Jurisdiction</w:t>
            </w:r>
          </w:p>
        </w:tc>
        <w:tc>
          <w:tcPr>
            <w:tcW w:type="dxa" w:w="1850"/>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Policy evaluated</w:t>
            </w:r>
          </w:p>
        </w:tc>
        <w:tc>
          <w:tcPr>
            <w:tcW w:type="dxa" w:w="2606"/>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Design</w:t>
            </w:r>
          </w:p>
        </w:tc>
        <w:tc>
          <w:tcPr>
            <w:tcW w:type="dxa" w:w="1808"/>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N</w:t>
            </w:r>
          </w:p>
        </w:tc>
        <w:tc>
          <w:tcPr>
            <w:tcW w:type="dxa" w:w="1836"/>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Primary outcome</w:t>
            </w:r>
          </w:p>
        </w:tc>
        <w:tc>
          <w:tcPr>
            <w:tcW w:type="dxa" w:w="2731"/>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Effect estimate</w:t>
            </w:r>
          </w:p>
        </w:tc>
        <w:tc>
          <w:tcPr>
            <w:tcW w:type="dxa" w:w="1551"/>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Mental health or suicide outcome reported</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South Korea</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Online game curfew (midnight to 6 AM), under-16s</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Difference-in-differences, repeated national cross-sections</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~244,000</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Daily internet use, minutes</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-3.648 min (year 1, P = .001); -3.204 min (year 2, P = .011); -1.140 min (year 3, P = .384); +2.190 min (year 4, P = .107)</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Yes</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Australia</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Social media minimum age 16, national</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Sharp regression discontinuity, prospectively planned</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408 (of 436 followed)</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Continued use of restricted platforms at 3 months</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&gt;85% of participants aged &lt;16 y still using restricted platforms; 54%-68% via their own accounts; 15%-19% using fake accounts</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England</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School phone restriction (school-level policy)</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Cross-sectional, 30 schools, restrictive vs permissive policy</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1,227 (ages 12-15 y)</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Warwick-Edinburgh Mental Well-Being Scale</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Adjusted mean difference, -0.48 (95% CI, -2.05 to 1.06); P = .62</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Yes</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Brazil</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National school-hours smartphone restriction</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Prospective cohort, uncontrolled, spanning implementation</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(see source)</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Problematic smartphone use and mental health trajectories</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 concurrent comparison group; trajectories cannot be attributed to the restriction</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Yes</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China</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Online gaming restricted to 1 h on Fri/weekends/holidays</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Uncontrolled pre-post using platform-reported data</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Not reported</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In-scope playing time</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Reduced time on registered accounts, with reported substitution to unregulated accounts and devices</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South Korea</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Online game curfew (midnight to 6 AM), under-16s</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Difference-in-differences with regression discontinuity at age 16 and propensity score matching, on individual game-server logs</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(individual gamer logs; heavy = top 20% by prior play)</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Total play time, minutes, and spending</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Light gamers (bottom 80%) −108.752 min (P &lt; .01). Heavy gamers (top 20%) +0.173 min, ie, no effect. Within the treatment group, heavy gamers lost 154.9 and 41.1 min in the two curfew slots but gained 20.9, 69.8, 70.1, 74.3 and 37.6 min across the daytime and evening slots, a net increase. Spending did not change.</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South Korea</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Online game curfew, second independent evaluation</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Multiple regression on repeated national cross-sections</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Not reported</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Internet hours, internet addiction, sleep duration</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Sleep duration +1.5 min. Internet addiction probability −0.7 percentage points. Probability of being a high-ranked internet user +1.6 percentage points. Effects differed by sex.</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England</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School mobile phone bans (school-level policy)</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Difference-in-differences on staggered school-level ban adoption, linked to the National Pupil Database</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Not reported</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High-stakes exam performance</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+0.07 SD on average, concentrated in previously lowest-achieving students</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Sweden</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School mobile phone bans, replication of Beland and Murphy</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Same design as Beland and Murphy, larger sample, school survey response approximately 75%</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15,148 (school-year observations, preferred specification)</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Merit points and national test scores</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 effect. Effects larger than 0.024 SD are rejected; in the preferred specification, positive effects larger than 0.01 SD are rejected, which excludes the 0.07 SD reported by Beland and Murphy.</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Australia (South Australia)</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Phased school phone ban</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Controlled natural experiment, banned vs comparison schools</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Not reported</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Problematic phone use, wellbeing, bullying, school belonging</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 short-term effect on problematic phone use, bullying, or school belonging. Academic engagement improved within the ban group but did not differ between groups at follow-up.</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Yes</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China</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Online gaming restriction, heavy-gamer compliance study</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Compliance and substitution survey of heavy gamers</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Not reported</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Reported compliance and substitute activities</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84.7% reported compliance, but 59% shifted to short videos, 51% to television or anime, and 23% to other games.</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China</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Online gaming restriction, rural adolescent cohort</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Longitudinal cohort with no untreated comparison group</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Not reported</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Smartphone game time, addiction score, emotion</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Lower reported game time and addiction scores, largest among adolescents classified as addicted before the policy</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Yes</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Netherlands</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School smartphone bans, partial (classroom) vs full (grounds)</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Cross-school comparison of ban intensity, 9 partial-ban vs 15 full-ban schools, EPoSS Study 2024-2025</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1,398 (24 schools, mean age 16.2 y, 51.5% female)</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Wellbeing, social connectedness at school, bullying</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 significant difference on any wellbeing or bullying outcome between partial and full bans. Full bans were associated with LOWER student-teacher connectedness and, among girls, reduced school belonging.</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Yes</w:t>
            </w:r>
          </w:p>
        </w:tc>
      </w:tr>
      <w:tr>
        <w:trPr>
          <w:tblHeader w:val="false"/>
        </w:trPr>
        <w:tc>
          <w:tcPr>
            <w:tcW w:type="dxa" w:w="129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England</w:t>
            </w:r>
          </w:p>
        </w:tc>
        <w:tc>
          <w:tcPr>
            <w:tcW w:type="dxa" w:w="1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School smartphone policies and digital safeguarding incidents</w:t>
            </w:r>
          </w:p>
        </w:tc>
        <w:tc>
          <w:tcPr>
            <w:tcW w:type="dxa" w:w="260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Cross-sectional, freedom-of-information requests to 114 schools</w:t>
            </w:r>
          </w:p>
        </w:tc>
        <w:tc>
          <w:tcPr>
            <w:tcW w:type="dxa" w:w="1808"/>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114 (schools; &gt;90,000 pupils)</w:t>
            </w:r>
          </w:p>
        </w:tc>
        <w:tc>
          <w:tcPr>
            <w:tcW w:type="dxa" w:w="1836"/>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Reported digital safeguarding incidents</w:t>
            </w:r>
          </w:p>
        </w:tc>
        <w:tc>
          <w:tcPr>
            <w:tcW w:type="dxa" w:w="27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60 of 114 schools (52.6%) had a policy, with inconsistent use of the word "ban". Digital incidents were 4.9% of all incidents (4183/85 540). Schools with policies, regardless of restrictiveness, reported MORE digital incidents.</w:t>
            </w:r>
          </w:p>
        </w:tc>
        <w:tc>
          <w:tcPr>
            <w:tcW w:type="dxa" w:w="155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No</w:t>
            </w:r>
          </w:p>
        </w:tc>
      </w:tr>
    </w:tbl>
    <w:p>
      <w:pPr>
        <w:spacing w:after="200"/>
      </w:pPr>
    </w:p>
    <w:p>
      <w:pPr>
        <w:spacing w:after="120" w:line="240" w:lineRule="auto"/>
      </w:pPr>
      <w:r>
        <w:rPr>
          <w:rFonts w:ascii="Arial" w:cs="Arial" w:eastAsia="Arial" w:hAnsi="Arial"/>
          <w:b w:val="false"/>
          <w:bCs w:val="false"/>
          <w:i w:val="false"/>
          <w:iCs w:val="false"/>
          <w:sz w:val="20"/>
          <w:szCs w:val="20"/>
        </w:rPr>
        <w:t xml:space="preserve">Abbreviation: CI, confidence interval. Effect estimates are reproduced as reported in the source. The final column distinguishes evaluations that measured a mental health or suicide outcome from those that measured only whether device use changed.</w:t>
      </w:r>
    </w:p>
    <w:p>
      <w:r>
        <w:br w:type="page"/>
      </w:r>
    </w:p>
    <w:p>
      <w:pPr>
        <w:spacing w:after="120" w:line="240" w:lineRule="auto"/>
      </w:pPr>
      <w:r>
        <w:rPr>
          <w:rFonts w:ascii="Arial" w:cs="Arial" w:eastAsia="Arial" w:hAnsi="Arial"/>
          <w:b/>
          <w:bCs/>
          <w:sz w:val="22"/>
          <w:szCs w:val="22"/>
        </w:rPr>
        <w:t xml:space="preserve">Table 3.</w:t>
      </w:r>
      <w:r>
        <w:rPr>
          <w:rFonts w:ascii="Arial" w:cs="Arial" w:eastAsia="Arial" w:hAnsi="Arial"/>
          <w:b w:val="false"/>
          <w:bCs w:val="false"/>
          <w:i w:val="false"/>
          <w:iCs w:val="false"/>
          <w:sz w:val="22"/>
          <w:szCs w:val="22"/>
        </w:rPr>
        <w:t xml:space="preserve"> Priority research questions, matched study designs, data sources, and feasibility.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50"/>
        <w:gridCol w:w="2180"/>
        <w:gridCol w:w="2404"/>
        <w:gridCol w:w="2235"/>
        <w:gridCol w:w="2031"/>
        <w:gridCol w:w="2163"/>
        <w:gridCol w:w="920"/>
        <w:gridCol w:w="897"/>
      </w:tblGrid>
      <w:tr>
        <w:trPr>
          <w:tblHeader/>
        </w:trPr>
        <w:tc>
          <w:tcPr>
            <w:tcW w:type="dxa" w:w="850"/>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Priority</w:t>
            </w:r>
          </w:p>
        </w:tc>
        <w:tc>
          <w:tcPr>
            <w:tcW w:type="dxa" w:w="2180"/>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Question</w:t>
            </w:r>
          </w:p>
        </w:tc>
        <w:tc>
          <w:tcPr>
            <w:tcW w:type="dxa" w:w="2404"/>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Design</w:t>
            </w:r>
          </w:p>
        </w:tc>
        <w:tc>
          <w:tcPr>
            <w:tcW w:type="dxa" w:w="2235"/>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Data source</w:t>
            </w:r>
          </w:p>
        </w:tc>
        <w:tc>
          <w:tcPr>
            <w:tcW w:type="dxa" w:w="2031"/>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Outcomes</w:t>
            </w:r>
          </w:p>
        </w:tc>
        <w:tc>
          <w:tcPr>
            <w:tcW w:type="dxa" w:w="2163"/>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Feasibility</w:t>
            </w:r>
          </w:p>
        </w:tc>
        <w:tc>
          <w:tcPr>
            <w:tcW w:type="dxa" w:w="920"/>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Cost</w:t>
            </w:r>
          </w:p>
        </w:tc>
        <w:tc>
          <w:tcPr>
            <w:tcW w:type="dxa" w:w="897"/>
            <w:shd w:fill="E8E8E8" w:color="auto" w:val="clear"/>
            <w:tcMar>
              <w:top w:type="dxa" w:w="60"/>
              <w:left w:type="dxa" w:w="90"/>
              <w:bottom w:type="dxa" w:w="60"/>
              <w:right w:type="dxa" w:w="90"/>
            </w:tcMar>
          </w:tcPr>
          <w:p>
            <w:pPr>
              <w:spacing w:after="0" w:line="240" w:lineRule="auto"/>
            </w:pPr>
            <w:r>
              <w:rPr>
                <w:rFonts w:ascii="Arial" w:cs="Arial" w:eastAsia="Arial" w:hAnsi="Arial"/>
                <w:b/>
                <w:bCs/>
                <w:i w:val="false"/>
                <w:iCs w:val="false"/>
                <w:sz w:val="17"/>
                <w:szCs w:val="17"/>
              </w:rPr>
              <w:t xml:space="preserve">Time to result</w:t>
            </w:r>
          </w:p>
        </w:tc>
      </w:tr>
      <w:tr>
        <w:trPr>
          <w:tblHeader w:val="false"/>
        </w:trPr>
        <w:tc>
          <w:tcPr>
            <w:tcW w:type="dxa" w:w="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1</w:t>
            </w:r>
          </w:p>
        </w:tc>
        <w:tc>
          <w:tcPr>
            <w:tcW w:type="dxa" w:w="218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Do school phone restrictions change adolescent mental health, and does the effect depend on restriction intensity?</w:t>
            </w:r>
          </w:p>
        </w:tc>
        <w:tc>
          <w:tcPr>
            <w:tcW w:type="dxa" w:w="240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Staggered-adoption difference-in-differences across US states, with event-study specification and intensity coding</w:t>
            </w:r>
          </w:p>
        </w:tc>
        <w:tc>
          <w:tcPr>
            <w:tcW w:type="dxa" w:w="2235"/>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Youth Risk Behavior Surveillance System; state administrative and disciplinary records; existing statute effective dates</w:t>
            </w:r>
          </w:p>
        </w:tc>
        <w:tc>
          <w:tcPr>
            <w:tcW w:type="dxa" w:w="20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Depressive symptoms, suicidal ideation, suicide attempt, absenteeism</w:t>
            </w:r>
          </w:p>
        </w:tc>
        <w:tc>
          <w:tcPr>
            <w:tcW w:type="dxa" w:w="216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High. Data already collected. Principal constraint is time: the counterfactual disappears as adoption saturates.</w:t>
            </w:r>
          </w:p>
        </w:tc>
        <w:tc>
          <w:tcPr>
            <w:tcW w:type="dxa" w:w="92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Low</w:t>
            </w:r>
          </w:p>
        </w:tc>
        <w:tc>
          <w:tcPr>
            <w:tcW w:type="dxa" w:w="89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12-18 months</w:t>
            </w:r>
          </w:p>
        </w:tc>
      </w:tr>
      <w:tr>
        <w:trPr>
          <w:tblHeader w:val="false"/>
        </w:trPr>
        <w:tc>
          <w:tcPr>
            <w:tcW w:type="dxa" w:w="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2</w:t>
            </w:r>
          </w:p>
        </w:tc>
        <w:tc>
          <w:tcPr>
            <w:tcW w:type="dxa" w:w="218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Does restriction improve mental health only when the vacated time is filled, ie, is the mechanism displacement?</w:t>
            </w:r>
          </w:p>
        </w:tc>
        <w:tc>
          <w:tcPr>
            <w:tcW w:type="dxa" w:w="240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Three-arm cluster-randomized trial: restriction alone, restriction plus funded offline activity, usual practice</w:t>
            </w:r>
          </w:p>
        </w:tc>
        <w:tc>
          <w:tcPr>
            <w:tcW w:type="dxa" w:w="2235"/>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Primary collection; schools or municipalities as clusters</w:t>
            </w:r>
          </w:p>
        </w:tc>
        <w:tc>
          <w:tcPr>
            <w:tcW w:type="dxa" w:w="20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Validated wellbeing and depressive symptom scales, self-harm, device use, physical activity, sleep</w:t>
            </w:r>
          </w:p>
        </w:tc>
        <w:tc>
          <w:tcPr>
            <w:tcW w:type="dxa" w:w="216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Moderate. Sweden's policy supplies the intervention design; no such trial has been registered.</w:t>
            </w:r>
          </w:p>
        </w:tc>
        <w:tc>
          <w:tcPr>
            <w:tcW w:type="dxa" w:w="92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High</w:t>
            </w:r>
          </w:p>
        </w:tc>
        <w:tc>
          <w:tcPr>
            <w:tcW w:type="dxa" w:w="89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3-4 years</w:t>
            </w:r>
          </w:p>
        </w:tc>
      </w:tr>
      <w:tr>
        <w:trPr>
          <w:tblHeader w:val="false"/>
        </w:trPr>
        <w:tc>
          <w:tcPr>
            <w:tcW w:type="dxa" w:w="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3</w:t>
            </w:r>
          </w:p>
        </w:tc>
        <w:tc>
          <w:tcPr>
            <w:tcW w:type="dxa" w:w="218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Does a national minimum-age law change mental health, as distinct from account ownership?</w:t>
            </w:r>
          </w:p>
        </w:tc>
        <w:tc>
          <w:tcPr>
            <w:tcW w:type="dxa" w:w="240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Extend the existing Australian regression discontinuity to mental health endpoints, with a synthetic control from comparable non-adopting countries</w:t>
            </w:r>
          </w:p>
        </w:tc>
        <w:tc>
          <w:tcPr>
            <w:tcW w:type="dxa" w:w="2235"/>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Australian cohort already assembled; national self-harm presentation and mortality data</w:t>
            </w:r>
          </w:p>
        </w:tc>
        <w:tc>
          <w:tcPr>
            <w:tcW w:type="dxa" w:w="20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Depressive symptoms, self-harm presentations, suicide</w:t>
            </w:r>
          </w:p>
        </w:tc>
        <w:tc>
          <w:tcPr>
            <w:tcW w:type="dxa" w:w="216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High for symptoms, moderate for self-harm, low for suicide within one jurisdiction.</w:t>
            </w:r>
          </w:p>
        </w:tc>
        <w:tc>
          <w:tcPr>
            <w:tcW w:type="dxa" w:w="92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Low to moderate</w:t>
            </w:r>
          </w:p>
        </w:tc>
        <w:tc>
          <w:tcPr>
            <w:tcW w:type="dxa" w:w="89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12-24 months</w:t>
            </w:r>
          </w:p>
        </w:tc>
      </w:tr>
      <w:tr>
        <w:trPr>
          <w:tblHeader w:val="false"/>
        </w:trPr>
        <w:tc>
          <w:tcPr>
            <w:tcW w:type="dxa" w:w="85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4</w:t>
            </w:r>
          </w:p>
        </w:tc>
        <w:tc>
          <w:tcPr>
            <w:tcW w:type="dxa" w:w="218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Can any of these policies detect an effect on suicide or self-harm at plausible effect sizes?</w:t>
            </w:r>
          </w:p>
        </w:tc>
        <w:tc>
          <w:tcPr>
            <w:tcW w:type="dxa" w:w="2404"/>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Coordinated multi-jurisdiction pooled analysis with prespecified harmonized outcome ascertainment; power analysis published in advance</w:t>
            </w:r>
          </w:p>
        </w:tc>
        <w:tc>
          <w:tcPr>
            <w:tcW w:type="dxa" w:w="2235"/>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National mortality and emergency presentation registries across adopting and non-adopting jurisdictions</w:t>
            </w:r>
          </w:p>
        </w:tc>
        <w:tc>
          <w:tcPr>
            <w:tcW w:type="dxa" w:w="2031"/>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Suicide death, self-harm presentation</w:t>
            </w:r>
          </w:p>
        </w:tc>
        <w:tc>
          <w:tcPr>
            <w:tcW w:type="dxa" w:w="2163"/>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Moderate. No single jurisdiction has the events; the barrier is coordination, not method.</w:t>
            </w:r>
          </w:p>
        </w:tc>
        <w:tc>
          <w:tcPr>
            <w:tcW w:type="dxa" w:w="920"/>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Moderate</w:t>
            </w:r>
          </w:p>
        </w:tc>
        <w:tc>
          <w:tcPr>
            <w:tcW w:type="dxa" w:w="897"/>
            <w:tcMar>
              <w:top w:type="dxa" w:w="60"/>
              <w:left w:type="dxa" w:w="90"/>
              <w:bottom w:type="dxa" w:w="60"/>
              <w:right w:type="dxa" w:w="90"/>
            </w:tcMar>
          </w:tcPr>
          <w:p>
            <w:pPr>
              <w:spacing w:after="0" w:line="240" w:lineRule="auto"/>
            </w:pPr>
            <w:r>
              <w:rPr>
                <w:rFonts w:ascii="Arial" w:cs="Arial" w:eastAsia="Arial" w:hAnsi="Arial"/>
                <w:b w:val="false"/>
                <w:bCs w:val="false"/>
                <w:i w:val="false"/>
                <w:iCs w:val="false"/>
                <w:sz w:val="17"/>
                <w:szCs w:val="17"/>
              </w:rPr>
              <w:t xml:space="preserve">3-5 years</w:t>
            </w:r>
          </w:p>
        </w:tc>
      </w:tr>
    </w:tbl>
    <w:p>
      <w:pPr>
        <w:spacing w:after="200"/>
      </w:pPr>
    </w:p>
    <w:p>
      <w:pPr>
        <w:sectPr>
          <w:headerReference w:type="default" r:id="rId9"/>
          <w:footerReference w:type="default" r:id="rId10"/>
          <w:pgSz w:w="15840" w:h="12240" w:orient="landscape"/>
          <w:pgMar w:top="1080" w:right="1080" w:bottom="1080" w:left="1080" w:header="708" w:footer="708" w:gutter="0"/>
          <w:pgNumType/>
          <w:docGrid w:linePitch="360"/>
        </w:sectPr>
      </w:pPr>
    </w:p>
    <w:p>
      <w:pPr>
        <w:pStyle w:val="Heading2"/>
        <w:spacing w:after="160" w:before="300"/>
      </w:pPr>
      <w:r>
        <w:rPr>
          <w:rFonts w:ascii="Arial" w:cs="Arial" w:eastAsia="Arial" w:hAnsi="Arial"/>
          <w:b/>
          <w:bCs/>
          <w:i w:val="false"/>
          <w:iCs w:val="false"/>
          <w:sz w:val="26"/>
          <w:szCs w:val="26"/>
        </w:rPr>
        <w:t xml:space="preserve">Figure</w:t>
      </w:r>
    </w:p>
    <w:p>
      <w:pPr>
        <w:spacing w:after="120" w:line="240" w:lineRule="auto"/>
      </w:pPr>
      <w:r>
        <w:rPr>
          <w:rFonts w:ascii="Arial" w:cs="Arial" w:eastAsia="Arial" w:hAnsi="Arial"/>
          <w:b/>
          <w:bCs/>
          <w:sz w:val="22"/>
          <w:szCs w:val="22"/>
        </w:rPr>
        <w:t xml:space="preserve">Figure 1.</w:t>
      </w:r>
      <w:r>
        <w:rPr>
          <w:rFonts w:ascii="Arial" w:cs="Arial" w:eastAsia="Arial" w:hAnsi="Arial"/>
          <w:b w:val="false"/>
          <w:bCs w:val="false"/>
          <w:i w:val="false"/>
          <w:iCs w:val="false"/>
          <w:sz w:val="22"/>
          <w:szCs w:val="22"/>
        </w:rPr>
        <w:t xml:space="preserve"> The inferential chain from exposure to policy benefit, with the evidence available at each link.</w:t>
      </w:r>
    </w:p>
    <w:p>
      <w:pPr>
        <w:spacing w:after="120" w:line="240" w:lineRule="auto"/>
      </w:pPr>
      <w:r>
        <w:rPr>
          <w:rFonts w:ascii="Arial" w:cs="Arial" w:eastAsia="Arial" w:hAnsi="Arial"/>
          <w:i/>
          <w:iCs/>
          <w:sz w:val="20"/>
          <w:szCs w:val="20"/>
        </w:rPr>
        <w:t xml:space="preserve">Figure legend.</w:t>
      </w:r>
      <w:r>
        <w:rPr>
          <w:rFonts w:ascii="Arial" w:cs="Arial" w:eastAsia="Arial" w:hAnsi="Arial"/>
          <w:b w:val="false"/>
          <w:bCs w:val="false"/>
          <w:i w:val="false"/>
          <w:iCs w:val="false"/>
          <w:sz w:val="20"/>
          <w:szCs w:val="20"/>
        </w:rPr>
        <w:t xml:space="preserve"> The premise, that heavier social media use is prospectively associated with more depressive symptoms, is supported by cohort evidence. It does not establish any link in the chain that a restriction policy depends on. Link 1 has been tested and the effect is near zero. Link 2 rests on association rather than on experiment at policy scale. Link 3, whether the magnitude of reduction a policy can actually achieve is large enough to change a symptom scale, has not been addressed. Filled squares indicate the evidence available for that link.</w:t>
      </w:r>
    </w:p>
    <w:p>
      <w:pPr>
        <w:spacing w:after="120" w:before="240"/>
        <w:jc w:val="center"/>
      </w:pPr>
      <w:r>
        <w:drawing>
          <wp:inline distT="0" distB="0" distL="0" distR="0">
            <wp:extent cx="6286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2781300"/>
                    </a:xfrm>
                    <a:prstGeom prst="rect">
                      <a:avLst/>
                    </a:prstGeom>
                  </pic:spPr>
                </pic:pic>
              </a:graphicData>
            </a:graphic>
          </wp:inline>
        </w:drawing>
      </w:r>
    </w:p>
    <w:p>
      <w:pPr>
        <w:spacing w:after="120" w:line="240" w:lineRule="auto"/>
      </w:pPr>
      <w:r>
        <w:rPr>
          <w:rFonts w:ascii="Arial" w:cs="Arial" w:eastAsia="Arial" w:hAnsi="Arial"/>
          <w:b w:val="false"/>
          <w:bCs w:val="false"/>
          <w:i w:val="false"/>
          <w:iCs w:val="false"/>
          <w:sz w:val="18"/>
          <w:szCs w:val="18"/>
        </w:rPr>
        <w:t xml:space="preserve">Vector versions (SVG, PDF) are provided in the repository and will be supplied at submission.</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sz w:val="18"/>
        <w:szCs w:val="18"/>
      </w:rPr>
      <w:t xml:space="preserve">Recommending Without Testing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sz w:val="18"/>
        <w:szCs w:val="18"/>
      </w:rPr>
      <w:t xml:space="preserve">Recommending Without Testing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sz w:val="18"/>
        <w:szCs w:val="18"/>
      </w:rPr>
      <w:t xml:space="preserve">Recommending Without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a1e1bb6f754b7a1ab38a0454aedbf681697a93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Recommending Without Testing: The Evidence Gap in Youth Screen Time and Social Media Policy</dc:title>
  <dc:creator>Yunyu Xiao</dc:creator>
  <dc:description>JAMA Special Communication. Policy inventory and evidence appraisal, STEP project.</dc:description>
  <cp:lastModifiedBy>Un-named</cp:lastModifiedBy>
  <cp:revision>1</cp:revision>
  <dcterms:created xsi:type="dcterms:W3CDTF">2026-07-29T22:23:03.247Z</dcterms:created>
  <dcterms:modified xsi:type="dcterms:W3CDTF">2026-07-29T22:23:03.248Z</dcterms:modified>
</cp:coreProperties>
</file>

<file path=docProps/custom.xml><?xml version="1.0" encoding="utf-8"?>
<Properties xmlns="http://schemas.openxmlformats.org/officeDocument/2006/custom-properties" xmlns:vt="http://schemas.openxmlformats.org/officeDocument/2006/docPropsVTypes"/>
</file>