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160" w:after="80" w:line="240" w:lineRule="auto"/>
      </w:pPr>
    </w:p>
    <w:p>
      <w:pPr>
        <w:keepNext w:val="0"/>
        <w:widowControl/>
        <w:spacing w:before="0" w:after="140" w:line="240" w:lineRule="auto"/>
      </w:pPr>
      <w:r>
        <w:rPr>
          <w:rFonts w:ascii="Calibri" w:hAnsi="Calibri" w:eastAsia="Microsoft YaHei"/>
          <w:b/>
          <w:color w:val="2E74B5"/>
          <w:sz w:val="20"/>
        </w:rPr>
        <w:t>PRODUCT BOUNDARIES</w:t>
      </w:r>
    </w:p>
    <w:p>
      <w:pPr>
        <w:keepNext/>
        <w:widowControl/>
        <w:spacing w:before="0" w:after="80" w:line="240" w:lineRule="auto"/>
      </w:pPr>
      <w:r>
        <w:rPr>
          <w:rFonts w:ascii="Calibri" w:hAnsi="Calibri" w:eastAsia="Microsoft YaHei"/>
          <w:b/>
          <w:color w:val="172B3A"/>
          <w:sz w:val="54"/>
        </w:rPr>
        <w:t>AirNote / 空书｜产品边界文档</w:t>
      </w:r>
    </w:p>
    <w:p>
      <w:pPr>
        <w:keepNext/>
        <w:widowControl/>
        <w:spacing w:before="0" w:after="340" w:line="264" w:lineRule="auto"/>
      </w:pPr>
      <w:r>
        <w:rPr>
          <w:rFonts w:ascii="Calibri" w:hAnsi="Calibri" w:eastAsia="Microsoft YaHei"/>
          <w:color w:val="1F4D78"/>
          <w:sz w:val="27"/>
        </w:rPr>
        <w:t>明确做什么、不做什么、什么能改、什么不能动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版本：v0.3</w:t>
      </w:r>
      <w:r>
        <w:rPr>
          <w:rFonts w:ascii="Calibri" w:hAnsi="Calibri" w:eastAsia="Microsoft YaHei"/>
          <w:color w:val="172B3A"/>
          <w:sz w:val="21"/>
        </w:rPr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负责人：</w:t>
      </w:r>
      <w:r>
        <w:rPr>
          <w:rFonts w:ascii="Calibri" w:hAnsi="Calibri" w:eastAsia="Microsoft YaHei"/>
          <w:color w:val="172B3A"/>
          <w:sz w:val="21"/>
        </w:rPr>
        <w:t>阿云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日期：2026年7月23日</w:t>
      </w:r>
      <w:r>
        <w:rPr>
          <w:rFonts w:ascii="Calibri" w:hAnsi="Calibri" w:eastAsia="Microsoft YaHei"/>
          <w:color w:val="172B3A"/>
          <w:sz w:val="21"/>
        </w:rPr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适用对象：</w:t>
      </w:r>
      <w:r>
        <w:rPr>
          <w:rFonts w:ascii="Calibri" w:hAnsi="Calibri" w:eastAsia="Microsoft YaHei"/>
          <w:color w:val="172B3A"/>
          <w:sz w:val="21"/>
        </w:rPr>
        <w:t>产品、设计、开发、AI编程代理</w:t>
      </w:r>
    </w:p>
    <w:p>
      <w:pPr>
        <w:keepNext w:val="0"/>
        <w:widowControl/>
        <w:spacing w:before="0" w:after="1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7E6"/>
          <w:left w:val="single" w:sz="2" w:color="FFF7E6"/>
          <w:bottom w:val="single" w:sz="2" w:color="FFF7E6"/>
          <w:right w:val="single" w:sz="2" w:color="FFF7E6"/>
          <w:insideH w:val="single" w:sz="2" w:color="FFF7E6"/>
          <w:insideV w:val="single" w:sz="2" w:color="FFF7E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一句话  </w:t>
            </w:r>
            <w:r>
              <w:rPr>
                <w:rFonts w:ascii="Calibri" w:hAnsi="Calibri" w:eastAsia="Microsoft YaHei"/>
                <w:color w:val="172B3A"/>
                <w:sz w:val="21"/>
              </w:rPr>
              <w:t>本文件负责锁定AirNote的产品范围。AI可以在边界内选择实现方式，但不得扩大功能、改变隐私规则、重写核心手势语义或让实验能力阻塞P0。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1. 边界总则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MVP只验证“空中书写→保存撤销→想法卡片→卡片连接”的产品闭环。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P0是发布门槛，P1是可关闭实验，P2只记录方向，不进入本轮开发。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AI只能修改实现，不得擅自修改用户可见行为、提示、隐私与数据不变量。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任何范围扩张都必须先更新本文件，再更新PRD，最后进入开发。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2. 核心产品红线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050"/>
        <w:gridCol w:w="2900"/>
        <w:gridCol w:w="541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红线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不得自动请求摄像头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必须由用户点击“启用摄像头”触发。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不得默认上传视频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本地识别；OCR只上传用户确认的裁剪笔迹图。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不得破坏原始Stroke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OCR、卡片、视觉风格都只能引用或呈现。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不得用危险手势做清空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清空和批量删除必须按钮确认且可撤销。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R-05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不得让P1阻塞P0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OCR、粒子、光迹失败时核心画笔仍可用。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不得取消鼠标降级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摄像头失败、用户疲劳或权限拒绝时仍能使用产品。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不得在前端存放密钥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API密钥只能在服务端环境变量。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R-08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不得擅自引入账号和云同步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这会改变隐私、架构和产品范围。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3. 功能范围</w:t>
      </w:r>
    </w:p>
    <w:p>
      <w:pPr>
        <w:pStyle w:val="Heading2"/>
      </w:pPr>
      <w:r>
        <w:rPr>
          <w:rFonts w:ascii="Calibri" w:hAnsi="Calibri" w:eastAsia="Microsoft YaHei"/>
        </w:rPr>
        <w:t>3.1 P0｜本轮必须做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包含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主动授权、关闭、错误处理、单手追踪、校准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输入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捏合落笔、松开断笔、丢手强制断笔、鼠标模式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绘图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轨迹映射、平滑、抽样、颜色、三档粗细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编辑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撤销、重做、确认清空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分组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当前笔画组、停笔提示、用户确认生成卡片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卡片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创建、移动、改名、删除、关联线处理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连线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锚点拖线、自连接限制、移动时更新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保存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本地自动保存、刷新恢复、PNG与JSON导入导出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反馈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摄像头、悬停、落笔、丢手、保存和错误状态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</w:rPr>
        <w:t>3.2 P1｜核心完成后实验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OCR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选中卡片后手动触发；可编辑候选；失败不改变原内容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视觉风格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Ink默认；Glow和Particle可开关、可降级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张掌暂停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保持0.8秒暂停/恢复；不能用于清空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性能降级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低帧率时先减少粒子，再关闭拖尾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</w:rPr>
        <w:t>3.3 P2｜记录但不做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手势拖动卡片、手势连线和更多复杂手势。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多画布、文件管理、云端历史和跨设备同步。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账号、团队空间、多人实时协作和公开作品社区。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自训练中文空中手写模型和长句输入。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移动端专项适配、PWA离线安装和系统输入法。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WebGL流体、3D空间、XR或外部传感器。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4. 明确不做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不做项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边界说明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系统级输入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网页不控制其他应用的文本输入。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完整白板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不加入便签库、模板市场、多人光标、演示模式等。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自动OCR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不在停笔或生成卡片时自动发送识别请求。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摄像头录制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不录屏、不保存视频、不做人脸识别。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复杂后端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核心功能不得依赖登录、数据库或持续WebSocket。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双手交互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MVP只追踪一只手。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压感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普通摄像头无法稳定提供真实压力，宽度使用预设档位。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AI自动整理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不让AI自动改写、移动、合并或删除用户卡片。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5. 哪些可以改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在不改变用户可见行为的前提下，调整代码结构、组件拆分和状态管理库。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在验收指标不降低的前提下，替换EMA为One Euro Filter或调整内部算法。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根据M0测试调整捏合阈值、连续帧数、最小点距和处理频率。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优化布局、颜色、间距和动画，但必须保留所有状态反馈与可访问名称。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替换本地存储实现，例如从localStorage迁移到IndexedDB，但导入导出合同保持兼容。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为性能添加Web Worker、OffscreenCanvas或缓存，只要不改变数据不变量。</w:t>
      </w:r>
    </w:p>
    <w:p>
      <w:pPr>
        <w:pStyle w:val="Heading1"/>
      </w:pPr>
      <w:r>
        <w:rPr>
          <w:rFonts w:ascii="Calibri" w:hAnsi="Calibri" w:eastAsia="Microsoft YaHei"/>
        </w:rPr>
        <w:t>6. 哪些不能自行改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把捏合改成其他默认落笔手势，或取消松开断笔。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把卡片生成从用户确认改为自动提交。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把P1功能改为默认必开或发布依赖。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让OCR结果自动覆盖卡片标题或原笔迹。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取消鼠标模式、撤销、确认清空或本地恢复。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引入完整白板SDK并改变数据模型、许可证或交互语义。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增加后端、账号、云同步、多人协作或公共分享链接。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上传完整视频、关键点流或未明确告知的数据。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改变JSON结构却不提升schemaVersion和迁移逻辑。</w:t>
      </w:r>
    </w:p>
    <w:p>
      <w:pPr>
        <w:pStyle w:val="Heading1"/>
      </w:pPr>
      <w:r>
        <w:rPr>
          <w:rFonts w:ascii="Calibri" w:hAnsi="Calibri" w:eastAsia="Microsoft YaHei"/>
        </w:rPr>
        <w:t>7. AI改动权限矩阵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600"/>
        <w:gridCol w:w="1900"/>
        <w:gridCol w:w="48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改动类型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权限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条件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代码重构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可直接做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测试通过、用户行为不变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调参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可做并记录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只在预设范围内；保留默认与测试数据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视觉微调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可直接做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不遮挡内容、不降低性能与可访问性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新增依赖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谨慎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说明必要性、体积、许可证和替代方案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改交互规则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必须确认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更新边界与PRD后再实施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新增后端/外部API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必须确认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明确隐私、费用、密钥和失败回退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新增P2功能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禁止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除非用户显式提升优先级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删除P0功能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禁止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即使实现困难也不能静默删减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8. 范围变更流程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提出变更：说明用户问题、期望行为、为什么现有范围不足。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判断层级：属于P0修正、P1实验升级，还是P2新功能。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评估影响：交互、数据、隐私、性能、依赖、测试与发布日期。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产品确认：用户明确同意后，先更新本边界文档。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同步PRD：新增或修改功能ID、失败处理、边界与验收。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最后实施：代码改动必须能追溯到批准后的文档条目。</w:t>
      </w:r>
    </w:p>
    <w:p>
      <w:pPr>
        <w:pStyle w:val="Heading1"/>
      </w:pPr>
      <w:r>
        <w:rPr>
          <w:rFonts w:ascii="Calibri" w:hAnsi="Calibri" w:eastAsia="Microsoft YaHei"/>
        </w:rPr>
        <w:t>9. 每次开发前的边界检查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这项改动是否直接服务P0核心链路？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是否改变了用户手势、卡片生成或保存行为？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是否新增上传、账号、后端、密钥或外部服务？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是否可能覆盖或丢失原始Stroke？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失败时是否仍可使用鼠标和本地核心功能？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是否有对应功能ID、失败提示、边界和验收？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如果属于P2，是否获得用户明确升级优先级？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CEEEE"/>
          <w:left w:val="single" w:sz="2" w:color="FCEEEE"/>
          <w:bottom w:val="single" w:sz="2" w:color="FCEEEE"/>
          <w:right w:val="single" w:sz="2" w:color="FCEEEE"/>
          <w:insideH w:val="single" w:sz="2" w:color="FCEEEE"/>
          <w:insideV w:val="single" w:sz="2" w:color="FCEEE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EEE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默认决策  </w:t>
            </w:r>
            <w:r>
              <w:rPr>
                <w:rFonts w:ascii="Calibri" w:hAnsi="Calibri" w:eastAsia="Microsoft YaHei"/>
                <w:color w:val="172B3A"/>
                <w:sz w:val="21"/>
              </w:rPr>
              <w:t>如果无法判断某项改动是否越界，默认不实施。保留现有行为，记录问题，并向产品负责人请求确认。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r>
        <w:br w:type="page"/>
      </w:r>
    </w:p>
    <w:p>
      <w:pPr>
        <w:pStyle w:val="Heading1"/>
      </w:pPr>
      <w:r>
        <w:t>10. v0.3 批准范围</w:t>
      </w:r>
    </w:p>
    <w:p>
      <w:r>
        <w:t>产品负责人于2026年7月23日批准以下范围。本节覆盖前文冲突条目。</w:t>
      </w:r>
    </w:p>
    <w:p>
      <w:pPr>
        <w:pStyle w:val="Heading2"/>
      </w:pPr>
      <w:r>
        <w:t>10.1 新增或修订的P0</w:t>
      </w:r>
    </w:p>
    <w:p>
      <w:pPr>
        <w:pStyle w:val="ListBullet"/>
      </w:pPr>
      <w:r>
        <w:t>VIEW-01：单工作区画布平移与25%—300%缩放。</w:t>
      </w:r>
    </w:p>
    <w:p>
      <w:pPr>
        <w:pStyle w:val="ListBullet"/>
      </w:pPr>
      <w:r>
        <w:t>ERASE-01：只删除完整自由Stroke，禁止局部改写几何。</w:t>
      </w:r>
    </w:p>
    <w:p>
      <w:pPr>
        <w:pStyle w:val="ListBullet"/>
      </w:pPr>
      <w:r>
        <w:t>CARD-02：删除墨迹卡片时同时删除所属Stroke与关联Edge；确认且可撤销。</w:t>
      </w:r>
    </w:p>
    <w:p>
      <w:pPr>
        <w:pStyle w:val="ListBullet"/>
      </w:pPr>
      <w:r>
        <w:t>TEXT-01：基础文字卡片，仅支持整卡粗体、斜体、下划线和文字颜色。</w:t>
      </w:r>
    </w:p>
    <w:p>
      <w:pPr>
        <w:pStyle w:val="ListBullet"/>
      </w:pPr>
      <w:r>
        <w:t>SAVE-02：同时导出PNG与JPG，并保持项目JSON安全导入导出。</w:t>
      </w:r>
    </w:p>
    <w:p>
      <w:pPr>
        <w:pStyle w:val="ListBullet"/>
      </w:pPr>
      <w:r>
        <w:t>UI-01：当前失效的新手引导先移除，待UI结构完成后另行设计。</w:t>
      </w:r>
    </w:p>
    <w:p>
      <w:pPr>
        <w:pStyle w:val="Heading2"/>
      </w:pPr>
      <w:r>
        <w:t>10.2 本轮明确不做</w:t>
      </w:r>
    </w:p>
    <w:p>
      <w:pPr>
        <w:pStyle w:val="ListBullet"/>
      </w:pPr>
      <w:r>
        <w:t>Gallery、多项目、文件管理、缩略图和项目索引继续保持P2，本轮撤回。</w:t>
      </w:r>
    </w:p>
    <w:p>
      <w:pPr>
        <w:pStyle w:val="ListBullet"/>
      </w:pPr>
      <w:r>
        <w:t>局部像素擦除、Stroke切割、分段富文本、图片卡片和完整白板能力。</w:t>
      </w:r>
    </w:p>
    <w:p>
      <w:pPr>
        <w:pStyle w:val="ListBullet"/>
      </w:pPr>
      <w:r>
        <w:t>账号、后端、云同步、多人协作和任何新增数据上传。</w:t>
      </w:r>
    </w:p>
    <w:p>
      <w:pPr>
        <w:pStyle w:val="Heading2"/>
      </w:pPr>
      <w:r>
        <w:t>10.3 数据与隐私红线补充</w:t>
      </w:r>
    </w:p>
    <w:p>
      <w:pPr>
        <w:pStyle w:val="ListBullet"/>
      </w:pPr>
      <w:r>
        <w:t>用户明确删除卡片或使用整笔橡皮擦时允许删除Stroke，但必须可撤销。</w:t>
      </w:r>
    </w:p>
    <w:p>
      <w:pPr>
        <w:pStyle w:val="ListBullet"/>
      </w:pPr>
      <w:r>
        <w:t>OCR、视觉风格、自动化逻辑仍不得删除或改写Stroke。</w:t>
      </w:r>
    </w:p>
    <w:p>
      <w:pPr>
        <w:pStyle w:val="ListBullet"/>
      </w:pPr>
      <w:r>
        <w:t>项目结构升级必须使用schemaVersion=2并提供v1迁移。</w:t>
      </w:r>
    </w:p>
    <w:p>
      <w:pPr>
        <w:pStyle w:val="ListBullet"/>
      </w:pPr>
      <w:r>
        <w:t>摄像头仍由用户主动启用，默认不录制、不保存、不上传。</w:t>
      </w:r>
    </w:p>
    <w:p>
      <w:pPr>
        <w:pStyle w:val="Heading1"/>
      </w:pPr>
      <w:r>
        <w:t>11. 2026年7月24日批准范围补充</w:t>
      </w:r>
    </w:p>
    <w:p>
      <w:r>
        <w:t>产品负责人已明确授权以下用户可见行为。若与10.1中UI-01“新手引导先移除”或前文“完整白板”描述发生冲突，以本节的有限范围为准。</w:t>
      </w:r>
    </w:p>
    <w:p>
      <w:pPr>
        <w:pStyle w:val="Heading2"/>
      </w:pPr>
      <w:r>
        <w:t>11.1 新增范围与优先级</w:t>
      </w:r>
    </w:p>
    <w:p>
      <w:pPr>
        <w:pStyle w:val="ListBullet"/>
      </w:pPr>
      <w:r>
        <w:t>UI-02（P0）：首次6步新手引导，可跳过、完成并从帮助入口重新打开。</w:t>
      </w:r>
    </w:p>
    <w:p>
      <w:pPr>
        <w:pStyle w:val="ListBullet"/>
      </w:pPr>
      <w:r>
        <w:t>SELECT-01（P0）：矩形框选、自由套索选择卡片与自由Stroke；Shift多选；多卡片整体移动。</w:t>
      </w:r>
    </w:p>
    <w:p>
      <w:pPr>
        <w:pStyle w:val="ListBullet"/>
      </w:pPr>
      <w:r>
        <w:t>THEME-01（P1）：日间/夜间本地界面偏好，失败不得阻塞P0。</w:t>
      </w:r>
    </w:p>
    <w:p>
      <w:pPr>
        <w:pStyle w:val="ListBullet"/>
      </w:pPr>
      <w:r>
        <w:t>继续保留VIEW-01、DRAW-03、TEXT-01、EDGE-01、SAVE-02与STYLE-01的既有批准行为。</w:t>
      </w:r>
    </w:p>
    <w:p>
      <w:pPr>
        <w:pStyle w:val="Heading2"/>
      </w:pPr>
      <w:r>
        <w:t>11.2 实施边界</w:t>
      </w:r>
    </w:p>
    <w:p>
      <w:pPr>
        <w:pStyle w:val="ListBullet"/>
      </w:pPr>
      <w:r>
        <w:t>SELECT-01仅为鼠标编辑能力，不提升“手势拖动卡片”这一P2方向。</w:t>
      </w:r>
    </w:p>
    <w:p>
      <w:pPr>
        <w:pStyle w:val="ListBullet"/>
      </w:pPr>
      <w:r>
        <w:t>上述选择工具不构成引入完整白板SDK、模板库、多画布或协作能力的授权。</w:t>
      </w:r>
    </w:p>
    <w:p>
      <w:pPr>
        <w:pStyle w:val="ListBullet"/>
      </w:pPr>
      <w:r>
        <w:t>Figma代码只能迁移视觉层和已批准交互；必须保留现有Stroke、Card、Edge、历史、schemaVersion=2和MediaPipe模块。</w:t>
      </w:r>
    </w:p>
    <w:p>
      <w:pPr>
        <w:pStyle w:val="ListBullet"/>
      </w:pPr>
      <w:r>
        <w:t>新手引导不得请求摄像头；夜间模式不得改变内容颜色或导出结果；任何新增偏好不得包含视频、关键点、密钥或上传数据。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widowControl/>
            <w:spacing w:before="0" w:after="0" w:line="240" w:lineRule="auto"/>
          </w:pPr>
          <w:r>
            <w:rPr>
              <w:rFonts w:ascii="Calibri" w:hAnsi="Calibri" w:eastAsia="Microsoft YaHei"/>
              <w:color w:val="5F6B76"/>
              <w:sz w:val="17"/>
            </w:rPr>
            <w:t>产品边界 v0.3 · 2026-07-23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color w:val="5F6B76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5F6B76"/>
        <w:sz w:val="17"/>
      </w:rPr>
      <w:t>AIRNOTE / 空书 · PRODUCT BOUNDARIES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AirNote / 空书 产品边界文档</dc:title>
  <dc:subject>MVP范围、优先级、红线与AI改动权限</dc:subject>
  <dc:creator>阿云</dc:creator>
  <cp:keywords>AirNote, 空书, PRD, MediaPipe, 手势交互, AI执行规格</cp:keywords>
  <dc:description>Split document set v0.3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