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6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sz w:val="22"/>
        </w:rPr>
        <w:t>6. 陸、預測模型指標與參考門檻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最後更新：2026-07-21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研究預測成績單、資料契約與發布門檻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docs/forecast-scorecard-p0.md</w:t>
            </w:r>
            <w:r>
              <w:rPr>
                <w:rFonts w:eastAsia="微軟正黑體"/>
                <w:b w:val="0"/>
                <w:sz w:val="18"/>
              </w:rPr>
              <w:t>](docs/forecast-scorecard-p0.md)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第陸章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機率校準研究（Platt／Beta、walk-forward 與升級判定）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docs/forecast-calibration.md</w:t>
            </w:r>
            <w:r>
              <w:rPr>
                <w:rFonts w:eastAsia="微軟正黑體"/>
                <w:b w:val="0"/>
                <w:sz w:val="18"/>
              </w:rPr>
              <w:t>](docs/forecast-calibration.md)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、相關性熱圖 </w:t>
      </w:r>
      <w:r>
        <w:rPr>
          <w:rFonts w:ascii="Consolas" w:hAnsi="Consolas" w:eastAsia="微軟正黑體"/>
          <w:color w:val="B03A2E"/>
          <w:sz w:val="19"/>
        </w:rPr>
        <w:t>CorrelationHeatmap</w:t>
      </w:r>
      <w:r>
        <w:rPr>
          <w:rFonts w:eastAsia="微軟正黑體"/>
          <w:b w:val="0"/>
        </w:rPr>
        <w:t xml:space="preserve">、吉祥物小Q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；正式/排程啟動應由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（該檔已 gitignore）。若未載入，程式會回到預設值並印安全警告。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對外公開（選用）：可將 Cloudflare Quick Tunnel 指向 8000；啟用前必須先更換預設後台密碼與簽章密鑰（每次重啟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API routers（規格見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forecast.py          /forecast/{sym}（研究預測）＋/forecast/scorecard（後台樣本外成績）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全部表與存取（設定/任務/K線/指標/訊號/預測/AI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forecast_scorecard.py 不可變 ledger 去重、point-in-time 基準與發布閘門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forecasting.py         ★內容定址研究預測、拒答門檻與 outcome 解析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forecast_evaluation.py Brier/log loss/ECE/risk-coverage/WIS/block-bootstrap 評估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forecast_replay.py     嚴格 j+h&lt;=t 的歷史 replay CLI（研究證據，不冒充線上預測）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admin/ForecastScorecardPage.jsx 後台模型治理成績單與升級門檻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分析面板（雙引擎+提問；現暫停掛載）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ForecastDecisionCard 1/5/10 日機率、區間、風險、證據與拒答狀態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CorrelationHeatmap（現暫停掛載）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目前啟用清單為 15 幣且包含 </w:t>
      </w:r>
      <w:r>
        <w:rPr>
          <w:rFonts w:ascii="Consolas" w:hAnsi="Consolas" w:eastAsia="微軟正黑體"/>
          <w:color w:val="B03A2E"/>
          <w:sz w:val="19"/>
        </w:rPr>
        <w:t>POLUSDT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MATICUSDT</w:t>
      </w:r>
      <w:r>
        <w:rPr>
          <w:rFonts w:eastAsia="微軟正黑體"/>
          <w:b w:val="0"/>
        </w:rPr>
        <w:t xml:space="preserve"> 相關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outcome→恐懼貪婪→幣種級新聞+情緒彙總→清理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0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0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宏觀環境引擎（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前端面板先隱藏</w:t>
      </w:r>
      <w:r>
        <w:rPr>
          <w:rFonts w:eastAsia="微軟正黑體"/>
          <w:b w:val="0"/>
        </w:rPr>
        <w:t>（價值待議，程式與 API 保留）。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82227" cy="6120000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222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比特幣目前偏空（信心分數 32/100）。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趨勢：均線站上 MA20；長期趨勢跌破 MA200 ($72,599)。　⏎ ・⚡ 動能：RSI 54.0（中性）；MACD 動能減弱。　⏎ ・📊 量能：成交量：正常量能 0.9x。　⏎ ・🎯 位置：布林通道：上半段 71%。　⏎ 　⏎ 💡 偏空但未到極端。不建議急著抄底；等站回 MA20 之上或動能翻正再重新評估。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-1.54%、7 日 +1.99%、30 日 +3.77%　⏎ ・動能：RSI 54.0（中性）；MACD 動能減弱。　⏎ ・量能：成交量：正常量能 0.9x。　⏎ ・近 3 天相關新聞：看多 62 / 看空 47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$46.96，技術面偏空（信心分數 33）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2026-07-24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一、公開首頁與主題分類選幣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項目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穩定行為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公開入口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所有非 /admin 路徑進入公開 App；不再先顯示 MarketOverview，也沒有『市場總覽』導覽入口。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第一個畫面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直接顯示 BTCUSDT（比特幣 BTC）詳細頁；即使幣種 API 尚未回傳，選幣器仍保留 BTCUSDT 作為穩定 fallback。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主題分類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沿用 CATEGORIES：全部、主流幣、公鏈平台、DeFi 基礎、支付轉帳、迷因幣；分類籤直接放在詳細頁選幣區。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切換規則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分類籤只篩選下拉選單；若目前幣不屬於新分類，自動切到該分類第一個可用幣。切回『全部』時保留目前幣。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責任邊界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首頁分類與幣種選擇是 UI 導覽／查詢狀態，不訓練、不校準、不寫入模型參數，也不改變歷史成績。</w:t>
            </w:r>
          </w:p>
        </w:tc>
      </w:tr>
    </w:tbl>
    <w:p>
      <w:pPr>
        <w:spacing w:after="0"/>
      </w:pPr>
    </w:p>
    <w:p>
      <w:pPr>
        <w:pStyle w:val="Heading1"/>
      </w:pPr>
      <w:r>
        <w:t>二、後台模型成績的動態可信度判讀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契約仍可演進，原則不可退讓：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後端 assessment 欄位與前端 fallback 呈現仍可逐步整合，但同一組 fail-closed 規則必須固定：沒有成熟資料就顯示不可驗證；樣本不足只可描述；缺值顯示『—／樣本不足』，不得補 0、補綠燈或沿用舊 snapshot。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層次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動態判讀原則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資料來源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每次查詢從不可變 forecast ledger 的 first-issued snapshot 與已解析 outcome 動態計算；不得用畫面快取或 frozen Word 數字代替目前資料。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資料成熟度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只計 target 已到期、outcome 已封存且 probability／baseline／日期可評分的 records；未成熟與 unresolved 只顯示數量，不進 Accuracy、Brier 等分母。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最低評估證據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 scorecard gate 為每個 model × horizon 至少 1,000 筆、180 個 issue dates；低於門檻為 insufficient_evidence。這和模型自身 120 根日線／30 筆成熟 outcome 的 ready gate 是兩件事。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可信度判定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依 data maturity、provenance、正確 forecast-time baseline、Brier skill 與 paired CI 共同動態判讀；不是固定百分比，也不是單一 Accuracy。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判定階梯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unverifiable → insufficient_evidence／diagnostic_only → not_better_than_baseline → promising_not_confirmed → release_review_eligible；只有全部 hard gates 通過才可進人工發布審查。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篩選後呈現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window、symbol 或非單一 horizon 的切片可以看診斷，但 promotion gate 必須標示 not_applicable；不可把最好看的切片包裝成整體可信度。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自動刷新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前端可週期重抓與顯示 data_as_of／generated_at；重新整理只重算成績，不得在背景修改模型或門檻。</w:t>
            </w:r>
          </w:p>
        </w:tc>
      </w:tr>
    </w:tbl>
    <w:p>
      <w:pPr>
        <w:spacing w:after="0"/>
      </w:pPr>
    </w:p>
    <w:p>
      <w:pPr>
        <w:pStyle w:val="Heading1"/>
      </w:pPr>
      <w:r>
        <w:t>三、評估範圍與證據限制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四、目前指標怎麼樣</w:t>
      </w:r>
    </w:p>
    <w:p>
      <w:pPr>
        <w:pStyle w:val="Heading2"/>
      </w:pPr>
      <w:r>
        <w:t>4.1 指標定義與後台顯示規則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19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指標</w:t>
            </w:r>
          </w:p>
        </w:tc>
        <w:tc>
          <w:tcPr>
            <w:tcW w:type="dxa" w:w="24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回答什麼</w:t>
            </w:r>
          </w:p>
        </w:tc>
        <w:tc>
          <w:tcPr>
            <w:tcW w:type="dxa" w:w="419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正確解讀／null 規則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Accuracy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threshold 0.5 下預測正確的比例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majority baseline 一起看；類別不平衡時不可單獨判斷。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預測 up 中實際 up 的比例 TP/(TP+FP)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沒有 predicted-up 時分母為 0，顯示 null／樣本不足，不得填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Recall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實際 up 中被抓到的比例 TP/(TP+FN)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高 Recall 可能來自幾乎全部預測 up，必須連同 Specificity 與 coverage。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F1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 與 Recall 的 harmonic mean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不含 TN；必須連同 Balanced accuracy、MCC 與固定 threshold 閱讀。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ROC-AUC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正例排序高於負例的機率型 ranking 指標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 近似隨機；只有單一 outcome class 時為 null。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Average Precision（AP）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tie-preserving step-wise precision-recall area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positive prevalence 比；不可用 trapezoid PR-AUC 混稱。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mean((p-y)^2)，同時評估校準與辨別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越低越好；promotion 優先和相同 forecast IDs 的 point-in-time baseline paired 比較。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Skill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1 - Brier_model/Brier_baseline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大於 0 才表示勝過 baseline；仍須 baseline-model loss CI 下界大於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Log loss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-mean(y log p + (1-y) log(1-p))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越低越好，會重罰過度自信的錯誤；必須 paired 比較同一批 outcomes。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ECE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固定 10 個 equal-width bins 的 probability/observed-rate gap 加權平均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越低通常越好，但對分箱敏感；不能在 Brier 或 AUC 惡化時單獨升級。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SHAP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對固定 feature model f(X) 的 attribution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historical statistical baseline 沒有固定 feature schema/model object，故 N/A；它不是準確率。</w:t>
            </w:r>
          </w:p>
        </w:tc>
      </w:tr>
    </w:tbl>
    <w:p>
      <w:pPr>
        <w:spacing w:after="0"/>
      </w:pPr>
    </w:p>
    <w:p>
      <w:pPr>
        <w:pStyle w:val="Heading2"/>
      </w:pPr>
      <w:r>
        <w:t>4.2 固定 replay 的目前數值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五、各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六、預計多少才有參考意義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七、F1、Recall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八、真實控制參數、查詢篩選與校準 challenger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參數名稱必須對得上程式：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下列值是目前程式實際存在的 model/evaluation controls；不代表都已開放後台 UI 即時修改。若未來提供調參介面，必須建立版本化設定與獨立 validation，不能直接覆寫 frozen scorecard 的測試條件。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4649"/>
      </w:tblGrid>
      <w:tr>
        <w:trPr>
          <w:tblHeader w:val="true"/>
        </w:trPr>
        <w:tc>
          <w:tcPr>
            <w:tcW w:type="dxa" w:w="204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控制項</w:t>
            </w:r>
          </w:p>
        </w:tc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目前值</w:t>
            </w:r>
          </w:p>
        </w:tc>
        <w:tc>
          <w:tcPr>
            <w:tcW w:type="dxa" w:w="464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作用與邊界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MIN_READY_CONFIDENCE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40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模型 confidence score 的研究發布門檻（0–100 分），不是 p(up) threshold；低於此值就 abstain。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MIN_OBSERVATIONS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120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產生預測前至少需要的 completed daily bars；屬模型資料準備門檻，不是 scorecard promotion 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MIN_OUTCOMES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30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同 regime 可用成熟 outcomes 的最低數；不足時 fallback／abstain，不得引用未成熟未來結果。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Regime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MA60 + trailing 20d return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以 close 對 MA60 與過去 20 日報酬定義 bull／bear／sideways；改 60 或 20 就是模型版本變更。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Classification threshold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0.5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只用來把 p(up) 轉成 up/non-up 以計算 Accuracy、Precision、Recall、F1；p=0.5 歸 up。不是 ready confidence 40。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Scorecard evidence gate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1,000 observations / 180 issue dates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評估可信度門檻；和模型 120 bars／30 outcomes 分開，不得混為同一參數。</w:t>
            </w:r>
          </w:p>
        </w:tc>
      </w:tr>
    </w:tbl>
    <w:p>
      <w:pPr>
        <w:spacing w:after="0"/>
      </w:pP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402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畫面／API 篩選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實際作用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Promotion 限制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只限制 scorecard 的 target date 查詢窗；不改模型、不重估參數。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window-filtered diagnostic slice；formal promotion gate 為 not_applicable。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horizon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選擇 1／5／10 日既有 forecast group；不是把模型的 horizon 調成新值。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正式審查必須明確選一個 horizon，不能 pooled 後宣稱通過。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只選單一幣種查看診斷；不改跨幣資料或模型係數。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symbol-filtered diagnostic slice；不可取最好幣種代表完整 universe。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model_version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只選既有 immutable model version 的成績。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正式審查必須明確指定一個版本；新參數應建立新版本而非覆寫舊版。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禁止 scorecard feedback loop：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Frozen scorecard 是獨立稽核／test 證據，不能由系統看完成績後自動改 MIN_READY_CONFIDENCE、MA window、classification threshold、calibrator 或任何模型參數再重跑同一份資料。調參只能在 training／validation 或 nested chronological walk-forward 內進行；參數鎖定後才可一次評估 untouched test，並建立新 model_version。</w:t>
            </w:r>
          </w:p>
        </w:tc>
      </w:tr>
    </w:tbl>
    <w:p>
      <w:pPr>
        <w:spacing w:after="0"/>
      </w:pPr>
    </w:p>
    <w:p>
      <w:pPr>
        <w:pStyle w:val="Heading2"/>
      </w:pPr>
      <w:r>
        <w:t>8.1 Identity、Platt 與 Beta 的定位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方法／規則</w:t>
            </w:r>
          </w:p>
        </w:tc>
        <w:tc>
          <w:tcPr>
            <w:tcW w:type="dxa" w:w="317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定義</w:t>
            </w:r>
          </w:p>
        </w:tc>
        <w:tc>
          <w:tcPr>
            <w:tcW w:type="dxa" w:w="351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目前狀態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Identity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g(p)=p；原始機率控制組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目前保留；production_model_changed=false。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Platt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sigmoid(a·logit(p)+b)，a≥0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Beta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sigmoid(α·log(p)-β·log(1-p)+c)，α,β≥0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訓練成熟規則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target_date &lt; current_issue_date；同日 batch 共用同一 fit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避免把當天才成熟的 outcome 洩漏進當天校準器。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隔離規則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每個 model_version × horizon 分開；同組可跨 symbol pooling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不可跨 horizon 混 fit；pooling 假設仍需敏感度分析。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目前決策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六組 gate 均 keep_identity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Platt/Beta 的 Brier／log loss 點估計改善，不足以抵銷 AUC／Recall 惡化與 CI／vintage blockers。</w:t>
            </w:r>
          </w:p>
        </w:tc>
      </w:tr>
    </w:tbl>
    <w:p>
      <w:pPr>
        <w:spacing w:after="0"/>
      </w:pPr>
    </w:p>
    <w:p>
      <w:pPr>
        <w:pStyle w:val="Heading1"/>
      </w:pPr>
      <w:r>
        <w:t>九、發布判定與下一步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十、方法依據與重現資訊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