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docs/archive/匯報.md</w:t>
            </w:r>
            <w:r>
              <w:rPr>
                <w:rFonts w:eastAsia="微軟正黑體"/>
                <w:b w:val="0"/>
                <w:sz w:val="18"/>
              </w:rPr>
              <w:t>](docs/archive/匯報.md)、[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docs/archive/驗證成果表.md</w:t>
            </w:r>
            <w:r>
              <w:rPr>
                <w:rFonts w:eastAsia="微軟正黑體"/>
                <w:b w:val="0"/>
                <w:sz w:val="18"/>
              </w:rPr>
              <w:t>](docs/archive/驗證成果表.md)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規則式市場背景（DXY/VIX/美債/標普/黃金/BTC主導率/總市值 → 對加密順風/逆風）；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，免金鑰、快取 15 分（</w:t>
            </w:r>
            <w:r>
              <w:rPr>
                <w:rFonts w:eastAsia="微軟正黑體"/>
                <w:b/>
                <w:sz w:val="18"/>
              </w:rPr>
              <w:t>前端面板現隱藏保留</w:t>
            </w:r>
            <w:r>
              <w:rPr>
                <w:rFonts w:eastAsia="微軟正黑體"/>
                <w:b w:val="0"/>
                <w:sz w:val="18"/>
              </w:rPr>
              <w:t>，見 §9）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引用。GPT 批次標註為下一階段（待金鑰，任務 #77）。</w:t>
      </w:r>
    </w:p>
    <w:p>
      <w:pPr>
        <w:pStyle w:val="Heading2"/>
      </w:pPr>
      <w:r>
        <w:rPr>
          <w:rFonts w:eastAsia="微軟正黑體"/>
          <w:b w:val="0"/>
        </w:rPr>
        <w:t>9. 訊號現況（誠實聲明）與路線圖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宏觀環境面板（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前台先隱藏</w:t>
      </w:r>
      <w:r>
        <w:rPr>
          <w:rFonts w:eastAsia="微軟正黑體"/>
          <w:b w:val="0"/>
        </w:rPr>
        <w:t>（價值待議，程式與 API 保留）。</w:t>
      </w:r>
    </w:p>
    <w:p>
      <w:pPr>
        <w:pStyle w:val="ListBullet"/>
      </w:pPr>
      <w:r>
        <w:rPr>
          <w:rFonts w:eastAsia="微軟正黑體"/>
          <w:b w:val="0"/>
        </w:rPr>
        <w:t xml:space="preserve">修復路線見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（等確認）→ 之後才評估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>已知待辦重點：#64 服務化（開機自啟）、#70 安全強化、#79 訊號增準（待確認）、#77 GPT 情緒標註（待金鑰）、#71 到價通知、#72 投資組合。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