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3513C">
      <w:pPr>
        <w:jc w:val="center"/>
        <w:rPr>
          <w:rFonts w:hint="eastAsia" w:ascii="微软雅黑" w:hAnsi="微软雅黑" w:eastAsia="微软雅黑" w:cs="微软雅黑"/>
          <w:sz w:val="36"/>
          <w:szCs w:val="36"/>
          <w:lang w:val="en-US" w:eastAsia="zh-CN"/>
        </w:rPr>
      </w:pPr>
      <w:r>
        <w:rPr>
          <w:rFonts w:hint="eastAsia" w:ascii="微软雅黑" w:hAnsi="微软雅黑" w:eastAsia="微软雅黑" w:cs="微软雅黑"/>
          <w:sz w:val="36"/>
          <w:szCs w:val="36"/>
          <w:lang w:val="en-US" w:eastAsia="zh-CN"/>
        </w:rPr>
        <w:t>AI训练</w:t>
      </w:r>
      <w:bookmarkStart w:id="0" w:name="_GoBack"/>
      <w:bookmarkEnd w:id="0"/>
      <w:r>
        <w:rPr>
          <w:rFonts w:hint="eastAsia" w:ascii="微软雅黑" w:hAnsi="微软雅黑" w:eastAsia="微软雅黑" w:cs="微软雅黑"/>
          <w:sz w:val="36"/>
          <w:szCs w:val="36"/>
          <w:lang w:val="en-US" w:eastAsia="zh-CN"/>
        </w:rPr>
        <w:t>视频收集方案</w:t>
      </w:r>
    </w:p>
    <w:p w14:paraId="293DC05B">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黑体" w:hAnsi="黑体" w:eastAsia="黑体" w:cs="黑体"/>
          <w:sz w:val="24"/>
          <w:szCs w:val="24"/>
          <w:lang w:val="en-US" w:eastAsia="zh-CN"/>
        </w:rPr>
      </w:pPr>
    </w:p>
    <w:p w14:paraId="66F8CC81">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视频收集目标</w:t>
      </w:r>
    </w:p>
    <w:tbl>
      <w:tblPr>
        <w:tblStyle w:val="3"/>
        <w:tblW w:w="517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3"/>
        <w:gridCol w:w="670"/>
        <w:gridCol w:w="2419"/>
        <w:gridCol w:w="3482"/>
        <w:gridCol w:w="2360"/>
      </w:tblGrid>
      <w:tr w14:paraId="6897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06" w:type="pct"/>
            <w:vAlign w:val="center"/>
          </w:tcPr>
          <w:p w14:paraId="532BE25A">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序号</w:t>
            </w:r>
          </w:p>
        </w:tc>
        <w:tc>
          <w:tcPr>
            <w:tcW w:w="352" w:type="pct"/>
            <w:vAlign w:val="center"/>
          </w:tcPr>
          <w:p w14:paraId="00D17255">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作业场景</w:t>
            </w:r>
          </w:p>
        </w:tc>
        <w:tc>
          <w:tcPr>
            <w:tcW w:w="1271" w:type="pct"/>
            <w:vAlign w:val="center"/>
          </w:tcPr>
          <w:p w14:paraId="4674CB0B">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定义</w:t>
            </w:r>
          </w:p>
        </w:tc>
        <w:tc>
          <w:tcPr>
            <w:tcW w:w="1829" w:type="pct"/>
            <w:vAlign w:val="center"/>
          </w:tcPr>
          <w:p w14:paraId="4AF0A82E">
            <w:pPr>
              <w:keepNext w:val="0"/>
              <w:keepLines w:val="0"/>
              <w:pageBreakBefore w:val="0"/>
              <w:widowControl w:val="0"/>
              <w:kinsoku/>
              <w:wordWrap/>
              <w:overflowPunct/>
              <w:topLinePunct w:val="0"/>
              <w:autoSpaceDE/>
              <w:autoSpaceDN/>
              <w:bidi w:val="0"/>
              <w:adjustRightInd/>
              <w:snapToGrid/>
              <w:jc w:val="both"/>
              <w:textAlignment w:val="auto"/>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识别内容</w:t>
            </w:r>
          </w:p>
        </w:tc>
        <w:tc>
          <w:tcPr>
            <w:tcW w:w="1240" w:type="pct"/>
            <w:vAlign w:val="center"/>
          </w:tcPr>
          <w:p w14:paraId="7E04E7D5">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视频收集目标</w:t>
            </w:r>
          </w:p>
        </w:tc>
      </w:tr>
      <w:tr w14:paraId="3D9E3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06" w:type="pct"/>
            <w:vAlign w:val="center"/>
          </w:tcPr>
          <w:p w14:paraId="33F04B25">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center"/>
              <w:textAlignment w:val="auto"/>
              <w:rPr>
                <w:rFonts w:hint="default" w:ascii="仿宋" w:hAnsi="仿宋" w:eastAsia="仿宋" w:cs="仿宋"/>
                <w:b w:val="0"/>
                <w:bCs w:val="0"/>
                <w:sz w:val="24"/>
                <w:szCs w:val="24"/>
                <w:vertAlign w:val="baseline"/>
                <w:lang w:val="en-US" w:eastAsia="zh-CN"/>
              </w:rPr>
            </w:pPr>
          </w:p>
        </w:tc>
        <w:tc>
          <w:tcPr>
            <w:tcW w:w="352" w:type="pct"/>
            <w:vMerge w:val="restart"/>
            <w:vAlign w:val="center"/>
          </w:tcPr>
          <w:p w14:paraId="7F2189DF">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rPr>
              <w:t>动火作业</w:t>
            </w:r>
          </w:p>
        </w:tc>
        <w:tc>
          <w:tcPr>
            <w:tcW w:w="1271" w:type="pct"/>
            <w:vMerge w:val="restart"/>
            <w:vAlign w:val="center"/>
          </w:tcPr>
          <w:p w14:paraId="5B59A634">
            <w:pPr>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在直接或间接产生明火的工艺设施以外的禁火区内从事可能产生</w:t>
            </w:r>
            <w:r>
              <w:rPr>
                <w:rFonts w:hint="eastAsia" w:ascii="仿宋" w:hAnsi="仿宋" w:eastAsia="仿宋" w:cs="仿宋"/>
                <w:b w:val="0"/>
                <w:bCs w:val="0"/>
                <w:color w:val="FF0000"/>
                <w:sz w:val="24"/>
                <w:szCs w:val="24"/>
                <w:vertAlign w:val="baseline"/>
                <w:lang w:val="en-US" w:eastAsia="zh-CN"/>
              </w:rPr>
              <w:t>火焰、火花</w:t>
            </w:r>
            <w:r>
              <w:rPr>
                <w:rFonts w:hint="eastAsia" w:ascii="仿宋" w:hAnsi="仿宋" w:eastAsia="仿宋" w:cs="仿宋"/>
                <w:b w:val="0"/>
                <w:bCs w:val="0"/>
                <w:sz w:val="24"/>
                <w:szCs w:val="24"/>
                <w:vertAlign w:val="baseline"/>
                <w:lang w:val="en-US" w:eastAsia="zh-CN"/>
              </w:rPr>
              <w:t>或炽热表面的非常规作业。包括使用</w:t>
            </w:r>
            <w:r>
              <w:rPr>
                <w:rFonts w:hint="eastAsia" w:ascii="仿宋" w:hAnsi="仿宋" w:eastAsia="仿宋" w:cs="仿宋"/>
                <w:b w:val="0"/>
                <w:bCs w:val="0"/>
                <w:color w:val="FF0000"/>
                <w:sz w:val="24"/>
                <w:szCs w:val="24"/>
                <w:vertAlign w:val="baseline"/>
                <w:lang w:val="en-US" w:eastAsia="zh-CN"/>
              </w:rPr>
              <w:t>电焊、气焊(割)、喷灯、电钻、砂轮、喷砂机</w:t>
            </w:r>
            <w:r>
              <w:rPr>
                <w:rFonts w:hint="eastAsia" w:ascii="仿宋" w:hAnsi="仿宋" w:eastAsia="仿宋" w:cs="仿宋"/>
                <w:b w:val="0"/>
                <w:bCs w:val="0"/>
                <w:sz w:val="24"/>
                <w:szCs w:val="24"/>
                <w:vertAlign w:val="baseline"/>
                <w:lang w:val="en-US" w:eastAsia="zh-CN"/>
              </w:rPr>
              <w:t>等进行的作业。</w:t>
            </w:r>
          </w:p>
        </w:tc>
        <w:tc>
          <w:tcPr>
            <w:tcW w:w="1829" w:type="pct"/>
            <w:vMerge w:val="restart"/>
            <w:vAlign w:val="center"/>
          </w:tcPr>
          <w:p w14:paraId="653BEEEB">
            <w:pPr>
              <w:keepNext w:val="0"/>
              <w:keepLines w:val="0"/>
              <w:pageBreakBefore w:val="0"/>
              <w:widowControl w:val="0"/>
              <w:kinsoku/>
              <w:wordWrap/>
              <w:overflowPunct/>
              <w:topLinePunct w:val="0"/>
              <w:autoSpaceDE/>
              <w:autoSpaceDN/>
              <w:bidi w:val="0"/>
              <w:adjustRightInd/>
              <w:snapToGrid/>
              <w:jc w:val="both"/>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电焊火花、砂轮切割、气焊火焰、喷灯、电钻机、喷砂机</w:t>
            </w:r>
          </w:p>
        </w:tc>
        <w:tc>
          <w:tcPr>
            <w:tcW w:w="1240" w:type="pct"/>
            <w:vMerge w:val="restart"/>
            <w:vAlign w:val="center"/>
          </w:tcPr>
          <w:p w14:paraId="640E7DDE">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jc w:val="both"/>
              <w:textAlignment w:val="auto"/>
              <w:rPr>
                <w:rFonts w:hint="eastAsia" w:ascii="仿宋" w:hAnsi="仿宋" w:eastAsia="仿宋" w:cs="仿宋"/>
                <w:b w:val="0"/>
                <w:bCs w:val="0"/>
                <w:sz w:val="24"/>
                <w:szCs w:val="24"/>
                <w:highlight w:val="none"/>
                <w:vertAlign w:val="baseline"/>
                <w:lang w:val="en-US" w:eastAsia="zh-CN"/>
              </w:rPr>
            </w:pPr>
            <w:r>
              <w:rPr>
                <w:rFonts w:hint="eastAsia" w:ascii="仿宋" w:hAnsi="仿宋" w:eastAsia="仿宋" w:cs="仿宋"/>
                <w:b w:val="0"/>
                <w:bCs w:val="0"/>
                <w:sz w:val="24"/>
                <w:szCs w:val="24"/>
                <w:highlight w:val="none"/>
                <w:vertAlign w:val="baseline"/>
                <w:lang w:val="en-US" w:eastAsia="zh-CN"/>
              </w:rPr>
              <w:t>互联网收集各种动火作业图片视频</w:t>
            </w:r>
          </w:p>
          <w:p w14:paraId="7B38826F">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jc w:val="both"/>
              <w:textAlignment w:val="auto"/>
              <w:rPr>
                <w:rFonts w:hint="eastAsia" w:ascii="仿宋" w:hAnsi="仿宋" w:eastAsia="仿宋" w:cs="仿宋"/>
                <w:b w:val="0"/>
                <w:bCs w:val="0"/>
                <w:sz w:val="24"/>
                <w:szCs w:val="24"/>
                <w:highlight w:val="none"/>
                <w:vertAlign w:val="baseline"/>
                <w:lang w:val="en-US" w:eastAsia="zh-CN"/>
              </w:rPr>
            </w:pPr>
            <w:r>
              <w:rPr>
                <w:rFonts w:hint="eastAsia" w:ascii="仿宋" w:hAnsi="仿宋" w:eastAsia="仿宋" w:cs="仿宋"/>
                <w:b w:val="0"/>
                <w:bCs w:val="0"/>
                <w:sz w:val="24"/>
                <w:szCs w:val="24"/>
                <w:highlight w:val="none"/>
                <w:vertAlign w:val="baseline"/>
                <w:lang w:val="en-US" w:eastAsia="zh-CN"/>
              </w:rPr>
              <w:t>现场收集不同角度、不同远近的相关视频，包括固定摄像头以及布控球(不同高度)</w:t>
            </w:r>
          </w:p>
        </w:tc>
      </w:tr>
      <w:tr w14:paraId="53ACD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06" w:type="pct"/>
            <w:vAlign w:val="center"/>
          </w:tcPr>
          <w:p w14:paraId="0F48EA2B">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center"/>
              <w:textAlignment w:val="auto"/>
              <w:rPr>
                <w:rFonts w:hint="default" w:ascii="仿宋" w:hAnsi="仿宋" w:eastAsia="仿宋" w:cs="仿宋"/>
                <w:b w:val="0"/>
                <w:bCs w:val="0"/>
                <w:sz w:val="24"/>
                <w:szCs w:val="24"/>
                <w:vertAlign w:val="baseline"/>
                <w:lang w:val="en-US" w:eastAsia="zh-CN"/>
              </w:rPr>
            </w:pPr>
          </w:p>
        </w:tc>
        <w:tc>
          <w:tcPr>
            <w:tcW w:w="352" w:type="pct"/>
            <w:vMerge w:val="continue"/>
            <w:vAlign w:val="center"/>
          </w:tcPr>
          <w:p w14:paraId="01B2BE84">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bCs w:val="0"/>
                <w:sz w:val="24"/>
                <w:szCs w:val="24"/>
              </w:rPr>
            </w:pPr>
          </w:p>
        </w:tc>
        <w:tc>
          <w:tcPr>
            <w:tcW w:w="1271" w:type="pct"/>
            <w:vMerge w:val="continue"/>
            <w:vAlign w:val="center"/>
          </w:tcPr>
          <w:p w14:paraId="5FA8117C">
            <w:pPr>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b w:val="0"/>
                <w:bCs w:val="0"/>
                <w:sz w:val="24"/>
                <w:szCs w:val="24"/>
                <w:vertAlign w:val="baseline"/>
                <w:lang w:val="en-US" w:eastAsia="zh-CN"/>
              </w:rPr>
            </w:pPr>
          </w:p>
        </w:tc>
        <w:tc>
          <w:tcPr>
            <w:tcW w:w="1829" w:type="pct"/>
            <w:vMerge w:val="continue"/>
            <w:tcBorders/>
            <w:vAlign w:val="center"/>
          </w:tcPr>
          <w:p w14:paraId="5935E07A">
            <w:pPr>
              <w:keepNext w:val="0"/>
              <w:keepLines w:val="0"/>
              <w:pageBreakBefore w:val="0"/>
              <w:widowControl w:val="0"/>
              <w:kinsoku/>
              <w:wordWrap/>
              <w:overflowPunct/>
              <w:topLinePunct w:val="0"/>
              <w:autoSpaceDE/>
              <w:autoSpaceDN/>
              <w:bidi w:val="0"/>
              <w:adjustRightInd/>
              <w:snapToGrid/>
              <w:jc w:val="both"/>
              <w:textAlignment w:val="auto"/>
              <w:rPr>
                <w:rFonts w:hint="default" w:ascii="仿宋" w:hAnsi="仿宋" w:eastAsia="仿宋" w:cs="仿宋"/>
                <w:b w:val="0"/>
                <w:bCs w:val="0"/>
                <w:sz w:val="24"/>
                <w:szCs w:val="24"/>
                <w:vertAlign w:val="baseline"/>
                <w:lang w:val="en-US" w:eastAsia="zh-CN"/>
              </w:rPr>
            </w:pPr>
          </w:p>
        </w:tc>
        <w:tc>
          <w:tcPr>
            <w:tcW w:w="1240" w:type="pct"/>
            <w:vMerge w:val="continue"/>
            <w:tcBorders/>
            <w:vAlign w:val="center"/>
          </w:tcPr>
          <w:p w14:paraId="176069A5">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bCs w:val="0"/>
                <w:sz w:val="24"/>
                <w:szCs w:val="24"/>
                <w:highlight w:val="none"/>
                <w:vertAlign w:val="baseline"/>
                <w:lang w:val="en-US" w:eastAsia="zh-CN"/>
              </w:rPr>
            </w:pPr>
          </w:p>
        </w:tc>
      </w:tr>
      <w:tr w14:paraId="2E65D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06" w:type="pct"/>
            <w:vAlign w:val="center"/>
          </w:tcPr>
          <w:p w14:paraId="035719AE">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center"/>
              <w:textAlignment w:val="auto"/>
              <w:rPr>
                <w:rFonts w:hint="default" w:ascii="仿宋" w:hAnsi="仿宋" w:eastAsia="仿宋" w:cs="仿宋"/>
                <w:b w:val="0"/>
                <w:bCs w:val="0"/>
                <w:sz w:val="24"/>
                <w:szCs w:val="24"/>
                <w:vertAlign w:val="baseline"/>
                <w:lang w:val="en-US" w:eastAsia="zh-CN"/>
              </w:rPr>
            </w:pPr>
          </w:p>
        </w:tc>
        <w:tc>
          <w:tcPr>
            <w:tcW w:w="352" w:type="pct"/>
            <w:vMerge w:val="continue"/>
            <w:vAlign w:val="center"/>
          </w:tcPr>
          <w:p w14:paraId="4F28E4F5">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bCs w:val="0"/>
                <w:sz w:val="24"/>
                <w:szCs w:val="24"/>
              </w:rPr>
            </w:pPr>
          </w:p>
        </w:tc>
        <w:tc>
          <w:tcPr>
            <w:tcW w:w="1271" w:type="pct"/>
            <w:vMerge w:val="continue"/>
            <w:vAlign w:val="center"/>
          </w:tcPr>
          <w:p w14:paraId="068AEA13">
            <w:pPr>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b w:val="0"/>
                <w:bCs w:val="0"/>
                <w:sz w:val="24"/>
                <w:szCs w:val="24"/>
                <w:vertAlign w:val="baseline"/>
                <w:lang w:val="en-US" w:eastAsia="zh-CN"/>
              </w:rPr>
            </w:pPr>
          </w:p>
        </w:tc>
        <w:tc>
          <w:tcPr>
            <w:tcW w:w="1829" w:type="pct"/>
            <w:vMerge w:val="continue"/>
            <w:tcBorders/>
            <w:vAlign w:val="center"/>
          </w:tcPr>
          <w:p w14:paraId="26E44F44">
            <w:pPr>
              <w:keepNext w:val="0"/>
              <w:keepLines w:val="0"/>
              <w:pageBreakBefore w:val="0"/>
              <w:widowControl w:val="0"/>
              <w:kinsoku/>
              <w:wordWrap/>
              <w:overflowPunct/>
              <w:topLinePunct w:val="0"/>
              <w:autoSpaceDE/>
              <w:autoSpaceDN/>
              <w:bidi w:val="0"/>
              <w:adjustRightInd/>
              <w:snapToGrid/>
              <w:jc w:val="both"/>
              <w:textAlignment w:val="auto"/>
              <w:rPr>
                <w:rFonts w:hint="default" w:ascii="仿宋" w:hAnsi="仿宋" w:eastAsia="仿宋" w:cs="仿宋"/>
                <w:b w:val="0"/>
                <w:bCs w:val="0"/>
                <w:sz w:val="24"/>
                <w:szCs w:val="24"/>
                <w:vertAlign w:val="baseline"/>
                <w:lang w:val="en-US" w:eastAsia="zh-CN"/>
              </w:rPr>
            </w:pPr>
          </w:p>
        </w:tc>
        <w:tc>
          <w:tcPr>
            <w:tcW w:w="1240" w:type="pct"/>
            <w:vMerge w:val="continue"/>
            <w:tcBorders/>
            <w:vAlign w:val="center"/>
          </w:tcPr>
          <w:p w14:paraId="13D94DB0">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bCs w:val="0"/>
                <w:sz w:val="24"/>
                <w:szCs w:val="24"/>
                <w:highlight w:val="none"/>
                <w:vertAlign w:val="baseline"/>
                <w:lang w:val="en-US" w:eastAsia="zh-CN"/>
              </w:rPr>
            </w:pPr>
          </w:p>
        </w:tc>
      </w:tr>
      <w:tr w14:paraId="1A69F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06" w:type="pct"/>
            <w:vAlign w:val="center"/>
          </w:tcPr>
          <w:p w14:paraId="51CFC89F">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center"/>
              <w:textAlignment w:val="auto"/>
              <w:rPr>
                <w:rFonts w:hint="default" w:ascii="仿宋" w:hAnsi="仿宋" w:eastAsia="仿宋" w:cs="仿宋"/>
                <w:b w:val="0"/>
                <w:bCs w:val="0"/>
                <w:sz w:val="24"/>
                <w:szCs w:val="24"/>
                <w:vertAlign w:val="baseline"/>
                <w:lang w:val="en-US" w:eastAsia="zh-CN"/>
              </w:rPr>
            </w:pPr>
          </w:p>
        </w:tc>
        <w:tc>
          <w:tcPr>
            <w:tcW w:w="352" w:type="pct"/>
            <w:vMerge w:val="continue"/>
            <w:vAlign w:val="center"/>
          </w:tcPr>
          <w:p w14:paraId="60199E67">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bCs w:val="0"/>
                <w:sz w:val="24"/>
                <w:szCs w:val="24"/>
              </w:rPr>
            </w:pPr>
          </w:p>
        </w:tc>
        <w:tc>
          <w:tcPr>
            <w:tcW w:w="1271" w:type="pct"/>
            <w:vMerge w:val="continue"/>
            <w:vAlign w:val="center"/>
          </w:tcPr>
          <w:p w14:paraId="44F51A45">
            <w:pPr>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b w:val="0"/>
                <w:bCs w:val="0"/>
                <w:sz w:val="24"/>
                <w:szCs w:val="24"/>
                <w:vertAlign w:val="baseline"/>
                <w:lang w:val="en-US" w:eastAsia="zh-CN"/>
              </w:rPr>
            </w:pPr>
          </w:p>
        </w:tc>
        <w:tc>
          <w:tcPr>
            <w:tcW w:w="1829" w:type="pct"/>
            <w:vMerge w:val="continue"/>
            <w:tcBorders/>
            <w:vAlign w:val="center"/>
          </w:tcPr>
          <w:p w14:paraId="386458CB">
            <w:pPr>
              <w:keepNext w:val="0"/>
              <w:keepLines w:val="0"/>
              <w:pageBreakBefore w:val="0"/>
              <w:widowControl w:val="0"/>
              <w:kinsoku/>
              <w:wordWrap/>
              <w:overflowPunct/>
              <w:topLinePunct w:val="0"/>
              <w:autoSpaceDE/>
              <w:autoSpaceDN/>
              <w:bidi w:val="0"/>
              <w:adjustRightInd/>
              <w:snapToGrid/>
              <w:jc w:val="both"/>
              <w:textAlignment w:val="auto"/>
              <w:rPr>
                <w:rFonts w:hint="default" w:ascii="仿宋" w:hAnsi="仿宋" w:eastAsia="仿宋" w:cs="仿宋"/>
                <w:b w:val="0"/>
                <w:bCs w:val="0"/>
                <w:sz w:val="24"/>
                <w:szCs w:val="24"/>
                <w:vertAlign w:val="baseline"/>
                <w:lang w:val="en-US" w:eastAsia="zh-CN"/>
              </w:rPr>
            </w:pPr>
          </w:p>
        </w:tc>
        <w:tc>
          <w:tcPr>
            <w:tcW w:w="1240" w:type="pct"/>
            <w:vMerge w:val="continue"/>
            <w:tcBorders/>
            <w:vAlign w:val="center"/>
          </w:tcPr>
          <w:p w14:paraId="7B9024C4">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bCs w:val="0"/>
                <w:sz w:val="24"/>
                <w:szCs w:val="24"/>
                <w:highlight w:val="none"/>
                <w:vertAlign w:val="baseline"/>
                <w:lang w:val="en-US" w:eastAsia="zh-CN"/>
              </w:rPr>
            </w:pPr>
          </w:p>
        </w:tc>
      </w:tr>
      <w:tr w14:paraId="08B15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06" w:type="pct"/>
            <w:vAlign w:val="center"/>
          </w:tcPr>
          <w:p w14:paraId="71282D69">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center"/>
              <w:textAlignment w:val="auto"/>
              <w:rPr>
                <w:rFonts w:hint="default" w:ascii="仿宋" w:hAnsi="仿宋" w:eastAsia="仿宋" w:cs="仿宋"/>
                <w:b w:val="0"/>
                <w:bCs w:val="0"/>
                <w:sz w:val="24"/>
                <w:szCs w:val="24"/>
                <w:vertAlign w:val="baseline"/>
                <w:lang w:val="en-US" w:eastAsia="zh-CN"/>
              </w:rPr>
            </w:pPr>
          </w:p>
        </w:tc>
        <w:tc>
          <w:tcPr>
            <w:tcW w:w="352" w:type="pct"/>
            <w:vMerge w:val="restart"/>
            <w:vAlign w:val="center"/>
          </w:tcPr>
          <w:p w14:paraId="3401AC8E">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rPr>
              <w:t>高处作业</w:t>
            </w:r>
          </w:p>
        </w:tc>
        <w:tc>
          <w:tcPr>
            <w:tcW w:w="1271" w:type="pct"/>
            <w:vMerge w:val="restart"/>
            <w:vAlign w:val="center"/>
          </w:tcPr>
          <w:p w14:paraId="1000E0A4">
            <w:pPr>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有可能坠落的高处进行的作业。</w:t>
            </w:r>
          </w:p>
        </w:tc>
        <w:tc>
          <w:tcPr>
            <w:tcW w:w="1829" w:type="pct"/>
            <w:vMerge w:val="restart"/>
            <w:vAlign w:val="center"/>
          </w:tcPr>
          <w:p w14:paraId="3A3FA3F8">
            <w:pPr>
              <w:keepNext w:val="0"/>
              <w:keepLines w:val="0"/>
              <w:pageBreakBefore w:val="0"/>
              <w:widowControl w:val="0"/>
              <w:numPr>
                <w:ilvl w:val="0"/>
                <w:numId w:val="3"/>
              </w:numPr>
              <w:kinsoku/>
              <w:wordWrap/>
              <w:overflowPunct/>
              <w:topLinePunct w:val="0"/>
              <w:autoSpaceDE/>
              <w:autoSpaceDN/>
              <w:bidi w:val="0"/>
              <w:adjustRightInd/>
              <w:snapToGrid/>
              <w:ind w:left="425" w:leftChars="0" w:hanging="425" w:firstLineChars="0"/>
              <w:jc w:val="both"/>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在设定的高处区域检测到人员（攀爬）</w:t>
            </w:r>
          </w:p>
          <w:p w14:paraId="4ECAAC52">
            <w:pPr>
              <w:keepNext w:val="0"/>
              <w:keepLines w:val="0"/>
              <w:pageBreakBefore w:val="0"/>
              <w:widowControl w:val="0"/>
              <w:numPr>
                <w:ilvl w:val="0"/>
                <w:numId w:val="3"/>
              </w:numPr>
              <w:kinsoku/>
              <w:wordWrap/>
              <w:overflowPunct/>
              <w:topLinePunct w:val="0"/>
              <w:autoSpaceDE/>
              <w:autoSpaceDN/>
              <w:bidi w:val="0"/>
              <w:adjustRightInd/>
              <w:snapToGrid/>
              <w:ind w:left="425" w:leftChars="0" w:hanging="425" w:firstLineChars="0"/>
              <w:jc w:val="both"/>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系统具备摄像头高处区域设定功能</w:t>
            </w:r>
          </w:p>
          <w:p w14:paraId="448E9F09">
            <w:pPr>
              <w:keepNext w:val="0"/>
              <w:keepLines w:val="0"/>
              <w:pageBreakBefore w:val="0"/>
              <w:widowControl w:val="0"/>
              <w:numPr>
                <w:ilvl w:val="0"/>
                <w:numId w:val="3"/>
              </w:numPr>
              <w:kinsoku/>
              <w:wordWrap/>
              <w:overflowPunct/>
              <w:topLinePunct w:val="0"/>
              <w:autoSpaceDE/>
              <w:autoSpaceDN/>
              <w:bidi w:val="0"/>
              <w:adjustRightInd/>
              <w:snapToGrid/>
              <w:ind w:left="425" w:leftChars="0" w:hanging="425" w:firstLineChars="0"/>
              <w:jc w:val="both"/>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临时脚手架识别、临时脚手架站人</w:t>
            </w:r>
          </w:p>
        </w:tc>
        <w:tc>
          <w:tcPr>
            <w:tcW w:w="1240" w:type="pct"/>
            <w:vMerge w:val="restart"/>
            <w:vAlign w:val="center"/>
          </w:tcPr>
          <w:p w14:paraId="287D2BCA">
            <w:pPr>
              <w:keepNext w:val="0"/>
              <w:keepLines w:val="0"/>
              <w:pageBreakBefore w:val="0"/>
              <w:widowControl w:val="0"/>
              <w:numPr>
                <w:ilvl w:val="0"/>
                <w:numId w:val="4"/>
              </w:numPr>
              <w:kinsoku/>
              <w:wordWrap/>
              <w:overflowPunct/>
              <w:topLinePunct w:val="0"/>
              <w:autoSpaceDE/>
              <w:autoSpaceDN/>
              <w:bidi w:val="0"/>
              <w:adjustRightInd/>
              <w:snapToGrid/>
              <w:ind w:left="425" w:leftChars="0" w:hanging="425" w:firstLineChars="0"/>
              <w:jc w:val="left"/>
              <w:textAlignment w:val="auto"/>
              <w:rPr>
                <w:rFonts w:hint="default" w:ascii="仿宋" w:hAnsi="仿宋" w:eastAsia="仿宋" w:cs="仿宋"/>
                <w:b w:val="0"/>
                <w:bCs w:val="0"/>
                <w:sz w:val="24"/>
                <w:szCs w:val="24"/>
                <w:highlight w:val="none"/>
                <w:vertAlign w:val="baseline"/>
                <w:lang w:val="en-US" w:eastAsia="zh-CN"/>
              </w:rPr>
            </w:pPr>
            <w:r>
              <w:rPr>
                <w:rFonts w:hint="eastAsia" w:ascii="仿宋" w:hAnsi="仿宋" w:eastAsia="仿宋" w:cs="仿宋"/>
                <w:b w:val="0"/>
                <w:bCs w:val="0"/>
                <w:sz w:val="24"/>
                <w:szCs w:val="24"/>
                <w:highlight w:val="none"/>
                <w:vertAlign w:val="baseline"/>
                <w:lang w:val="en-US" w:eastAsia="zh-CN"/>
              </w:rPr>
              <w:t>互联网收集相关图片视频</w:t>
            </w:r>
          </w:p>
          <w:p w14:paraId="31D9CBEC">
            <w:pPr>
              <w:keepNext w:val="0"/>
              <w:keepLines w:val="0"/>
              <w:pageBreakBefore w:val="0"/>
              <w:widowControl w:val="0"/>
              <w:numPr>
                <w:ilvl w:val="0"/>
                <w:numId w:val="4"/>
              </w:numPr>
              <w:kinsoku/>
              <w:wordWrap/>
              <w:overflowPunct/>
              <w:topLinePunct w:val="0"/>
              <w:autoSpaceDE/>
              <w:autoSpaceDN/>
              <w:bidi w:val="0"/>
              <w:adjustRightInd/>
              <w:snapToGrid/>
              <w:ind w:left="425" w:leftChars="0" w:hanging="425" w:firstLineChars="0"/>
              <w:jc w:val="left"/>
              <w:textAlignment w:val="auto"/>
              <w:rPr>
                <w:rFonts w:hint="default" w:ascii="仿宋" w:hAnsi="仿宋" w:eastAsia="仿宋" w:cs="仿宋"/>
                <w:b w:val="0"/>
                <w:bCs w:val="0"/>
                <w:sz w:val="24"/>
                <w:szCs w:val="24"/>
                <w:highlight w:val="none"/>
                <w:vertAlign w:val="baseline"/>
                <w:lang w:val="en-US" w:eastAsia="zh-CN"/>
              </w:rPr>
            </w:pPr>
            <w:r>
              <w:rPr>
                <w:rFonts w:hint="eastAsia" w:ascii="仿宋" w:hAnsi="仿宋" w:eastAsia="仿宋" w:cs="仿宋"/>
                <w:b w:val="0"/>
                <w:bCs w:val="0"/>
                <w:sz w:val="24"/>
                <w:szCs w:val="24"/>
                <w:highlight w:val="none"/>
                <w:vertAlign w:val="baseline"/>
                <w:lang w:val="en-US" w:eastAsia="zh-CN"/>
              </w:rPr>
              <w:t>现场固定摄像头</w:t>
            </w:r>
          </w:p>
          <w:p w14:paraId="6324D465">
            <w:pPr>
              <w:keepNext w:val="0"/>
              <w:keepLines w:val="0"/>
              <w:pageBreakBefore w:val="0"/>
              <w:widowControl w:val="0"/>
              <w:numPr>
                <w:ilvl w:val="0"/>
                <w:numId w:val="4"/>
              </w:numPr>
              <w:kinsoku/>
              <w:wordWrap/>
              <w:overflowPunct/>
              <w:topLinePunct w:val="0"/>
              <w:autoSpaceDE/>
              <w:autoSpaceDN/>
              <w:bidi w:val="0"/>
              <w:adjustRightInd/>
              <w:snapToGrid/>
              <w:ind w:left="425" w:leftChars="0" w:hanging="425" w:firstLineChars="0"/>
              <w:jc w:val="left"/>
              <w:textAlignment w:val="auto"/>
              <w:rPr>
                <w:rFonts w:hint="default" w:ascii="仿宋" w:hAnsi="仿宋" w:eastAsia="仿宋" w:cs="仿宋"/>
                <w:b w:val="0"/>
                <w:bCs w:val="0"/>
                <w:sz w:val="24"/>
                <w:szCs w:val="24"/>
                <w:highlight w:val="none"/>
                <w:vertAlign w:val="baseline"/>
                <w:lang w:val="en-US" w:eastAsia="zh-CN"/>
              </w:rPr>
            </w:pPr>
            <w:r>
              <w:rPr>
                <w:rFonts w:hint="eastAsia" w:ascii="仿宋" w:hAnsi="仿宋" w:eastAsia="仿宋" w:cs="仿宋"/>
                <w:b w:val="0"/>
                <w:bCs w:val="0"/>
                <w:sz w:val="24"/>
                <w:szCs w:val="24"/>
                <w:highlight w:val="none"/>
                <w:vertAlign w:val="baseline"/>
                <w:lang w:val="en-US" w:eastAsia="zh-CN"/>
              </w:rPr>
              <w:t>无人机采集在建工地</w:t>
            </w:r>
          </w:p>
        </w:tc>
      </w:tr>
      <w:tr w14:paraId="36446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06" w:type="pct"/>
            <w:vAlign w:val="center"/>
          </w:tcPr>
          <w:p w14:paraId="7970D60C">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center"/>
              <w:textAlignment w:val="auto"/>
              <w:rPr>
                <w:rFonts w:hint="default" w:ascii="仿宋" w:hAnsi="仿宋" w:eastAsia="仿宋" w:cs="仿宋"/>
                <w:b w:val="0"/>
                <w:bCs w:val="0"/>
                <w:sz w:val="24"/>
                <w:szCs w:val="24"/>
                <w:vertAlign w:val="baseline"/>
                <w:lang w:val="en-US" w:eastAsia="zh-CN"/>
              </w:rPr>
            </w:pPr>
          </w:p>
        </w:tc>
        <w:tc>
          <w:tcPr>
            <w:tcW w:w="352" w:type="pct"/>
            <w:vMerge w:val="continue"/>
            <w:vAlign w:val="center"/>
          </w:tcPr>
          <w:p w14:paraId="229810F6">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bCs w:val="0"/>
                <w:sz w:val="24"/>
                <w:szCs w:val="24"/>
              </w:rPr>
            </w:pPr>
          </w:p>
        </w:tc>
        <w:tc>
          <w:tcPr>
            <w:tcW w:w="1271" w:type="pct"/>
            <w:vMerge w:val="continue"/>
            <w:vAlign w:val="center"/>
          </w:tcPr>
          <w:p w14:paraId="08D99EBB">
            <w:pPr>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b w:val="0"/>
                <w:bCs w:val="0"/>
                <w:sz w:val="24"/>
                <w:szCs w:val="24"/>
                <w:vertAlign w:val="baseline"/>
                <w:lang w:val="en-US" w:eastAsia="zh-CN"/>
              </w:rPr>
            </w:pPr>
          </w:p>
        </w:tc>
        <w:tc>
          <w:tcPr>
            <w:tcW w:w="1829" w:type="pct"/>
            <w:vMerge w:val="continue"/>
            <w:tcBorders/>
            <w:vAlign w:val="center"/>
          </w:tcPr>
          <w:p w14:paraId="3EC11A2C">
            <w:pPr>
              <w:keepNext w:val="0"/>
              <w:keepLines w:val="0"/>
              <w:pageBreakBefore w:val="0"/>
              <w:widowControl w:val="0"/>
              <w:kinsoku/>
              <w:wordWrap/>
              <w:overflowPunct/>
              <w:topLinePunct w:val="0"/>
              <w:autoSpaceDE/>
              <w:autoSpaceDN/>
              <w:bidi w:val="0"/>
              <w:adjustRightInd/>
              <w:snapToGrid/>
              <w:jc w:val="both"/>
              <w:textAlignment w:val="auto"/>
              <w:rPr>
                <w:rFonts w:hint="default" w:ascii="仿宋" w:hAnsi="仿宋" w:eastAsia="仿宋" w:cs="仿宋"/>
                <w:b w:val="0"/>
                <w:bCs w:val="0"/>
                <w:sz w:val="24"/>
                <w:szCs w:val="24"/>
                <w:vertAlign w:val="baseline"/>
                <w:lang w:val="en-US" w:eastAsia="zh-CN"/>
              </w:rPr>
            </w:pPr>
          </w:p>
        </w:tc>
        <w:tc>
          <w:tcPr>
            <w:tcW w:w="1240" w:type="pct"/>
            <w:vMerge w:val="continue"/>
            <w:tcBorders/>
            <w:vAlign w:val="center"/>
          </w:tcPr>
          <w:p w14:paraId="737BE1D9">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val="0"/>
                <w:bCs w:val="0"/>
                <w:sz w:val="24"/>
                <w:szCs w:val="24"/>
                <w:highlight w:val="none"/>
                <w:vertAlign w:val="baseline"/>
                <w:lang w:val="en-US" w:eastAsia="zh-CN"/>
              </w:rPr>
            </w:pPr>
          </w:p>
        </w:tc>
      </w:tr>
      <w:tr w14:paraId="6432B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06" w:type="pct"/>
            <w:vAlign w:val="center"/>
          </w:tcPr>
          <w:p w14:paraId="7589C2A8">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center"/>
              <w:textAlignment w:val="auto"/>
              <w:rPr>
                <w:rFonts w:hint="default" w:ascii="仿宋" w:hAnsi="仿宋" w:eastAsia="仿宋" w:cs="仿宋"/>
                <w:b w:val="0"/>
                <w:bCs w:val="0"/>
                <w:sz w:val="24"/>
                <w:szCs w:val="24"/>
                <w:vertAlign w:val="baseline"/>
                <w:lang w:val="en-US" w:eastAsia="zh-CN"/>
              </w:rPr>
            </w:pPr>
          </w:p>
        </w:tc>
        <w:tc>
          <w:tcPr>
            <w:tcW w:w="352" w:type="pct"/>
            <w:vAlign w:val="center"/>
          </w:tcPr>
          <w:p w14:paraId="0F9769EC">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rPr>
              <w:t>吊装作业</w:t>
            </w:r>
          </w:p>
        </w:tc>
        <w:tc>
          <w:tcPr>
            <w:tcW w:w="1271" w:type="pct"/>
            <w:vAlign w:val="center"/>
          </w:tcPr>
          <w:p w14:paraId="3451B0C8">
            <w:pPr>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利用各种吊装机具将设备、工件、器具、材料等吊起，使其发生位置变化的作业。</w:t>
            </w:r>
          </w:p>
        </w:tc>
        <w:tc>
          <w:tcPr>
            <w:tcW w:w="1829" w:type="pct"/>
            <w:vAlign w:val="center"/>
          </w:tcPr>
          <w:p w14:paraId="0ED698BF">
            <w:pPr>
              <w:keepNext w:val="0"/>
              <w:keepLines w:val="0"/>
              <w:pageBreakBefore w:val="0"/>
              <w:widowControl w:val="0"/>
              <w:kinsoku/>
              <w:wordWrap/>
              <w:overflowPunct/>
              <w:topLinePunct w:val="0"/>
              <w:autoSpaceDE/>
              <w:autoSpaceDN/>
              <w:bidi w:val="0"/>
              <w:adjustRightInd/>
              <w:snapToGrid/>
              <w:jc w:val="both"/>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识别各种吊装设备</w:t>
            </w:r>
          </w:p>
        </w:tc>
        <w:tc>
          <w:tcPr>
            <w:tcW w:w="1240" w:type="pct"/>
            <w:vAlign w:val="center"/>
          </w:tcPr>
          <w:p w14:paraId="31AA2792">
            <w:pPr>
              <w:keepNext w:val="0"/>
              <w:keepLines w:val="0"/>
              <w:pageBreakBefore w:val="0"/>
              <w:widowControl w:val="0"/>
              <w:numPr>
                <w:ilvl w:val="0"/>
                <w:numId w:val="5"/>
              </w:numPr>
              <w:kinsoku/>
              <w:wordWrap/>
              <w:overflowPunct/>
              <w:topLinePunct w:val="0"/>
              <w:autoSpaceDE/>
              <w:autoSpaceDN/>
              <w:bidi w:val="0"/>
              <w:adjustRightInd/>
              <w:snapToGrid/>
              <w:ind w:left="425" w:leftChars="0" w:hanging="425" w:firstLineChars="0"/>
              <w:jc w:val="left"/>
              <w:textAlignment w:val="auto"/>
              <w:rPr>
                <w:rFonts w:hint="default" w:ascii="仿宋" w:hAnsi="仿宋" w:eastAsia="仿宋" w:cs="仿宋"/>
                <w:b w:val="0"/>
                <w:bCs w:val="0"/>
                <w:sz w:val="24"/>
                <w:szCs w:val="24"/>
                <w:highlight w:val="none"/>
                <w:vertAlign w:val="baseline"/>
                <w:lang w:val="en-US" w:eastAsia="zh-CN"/>
              </w:rPr>
            </w:pPr>
            <w:r>
              <w:rPr>
                <w:rFonts w:hint="eastAsia" w:ascii="仿宋" w:hAnsi="仿宋" w:eastAsia="仿宋" w:cs="仿宋"/>
                <w:b w:val="0"/>
                <w:bCs w:val="0"/>
                <w:sz w:val="24"/>
                <w:szCs w:val="24"/>
                <w:highlight w:val="none"/>
                <w:vertAlign w:val="baseline"/>
                <w:lang w:val="en-US" w:eastAsia="zh-CN"/>
              </w:rPr>
              <w:t>互联网采集相关图片/视频</w:t>
            </w:r>
          </w:p>
          <w:p w14:paraId="1728C30F">
            <w:pPr>
              <w:keepNext w:val="0"/>
              <w:keepLines w:val="0"/>
              <w:pageBreakBefore w:val="0"/>
              <w:widowControl w:val="0"/>
              <w:numPr>
                <w:ilvl w:val="0"/>
                <w:numId w:val="5"/>
              </w:numPr>
              <w:kinsoku/>
              <w:wordWrap/>
              <w:overflowPunct/>
              <w:topLinePunct w:val="0"/>
              <w:autoSpaceDE/>
              <w:autoSpaceDN/>
              <w:bidi w:val="0"/>
              <w:adjustRightInd/>
              <w:snapToGrid/>
              <w:ind w:left="425" w:leftChars="0" w:hanging="425" w:firstLineChars="0"/>
              <w:jc w:val="left"/>
              <w:textAlignment w:val="auto"/>
              <w:rPr>
                <w:rFonts w:hint="default" w:ascii="仿宋" w:hAnsi="仿宋" w:eastAsia="仿宋" w:cs="仿宋"/>
                <w:b w:val="0"/>
                <w:bCs w:val="0"/>
                <w:sz w:val="24"/>
                <w:szCs w:val="24"/>
                <w:highlight w:val="none"/>
                <w:vertAlign w:val="baseline"/>
                <w:lang w:val="en-US" w:eastAsia="zh-CN"/>
              </w:rPr>
            </w:pPr>
            <w:r>
              <w:rPr>
                <w:rFonts w:hint="eastAsia" w:ascii="仿宋" w:hAnsi="仿宋" w:eastAsia="仿宋" w:cs="仿宋"/>
                <w:b w:val="0"/>
                <w:bCs w:val="0"/>
                <w:sz w:val="24"/>
                <w:szCs w:val="24"/>
                <w:highlight w:val="none"/>
                <w:vertAlign w:val="baseline"/>
                <w:lang w:val="en-US" w:eastAsia="zh-CN"/>
              </w:rPr>
              <w:t>现场采集吊装设备</w:t>
            </w:r>
          </w:p>
        </w:tc>
      </w:tr>
      <w:tr w14:paraId="55A6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06" w:type="pct"/>
            <w:vAlign w:val="center"/>
          </w:tcPr>
          <w:p w14:paraId="2E12C69D">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center"/>
              <w:textAlignment w:val="auto"/>
              <w:rPr>
                <w:rFonts w:hint="default" w:ascii="仿宋" w:hAnsi="仿宋" w:eastAsia="仿宋" w:cs="仿宋"/>
                <w:b w:val="0"/>
                <w:bCs w:val="0"/>
                <w:sz w:val="24"/>
                <w:szCs w:val="24"/>
                <w:vertAlign w:val="baseline"/>
                <w:lang w:val="en-US" w:eastAsia="zh-CN"/>
              </w:rPr>
            </w:pPr>
          </w:p>
        </w:tc>
        <w:tc>
          <w:tcPr>
            <w:tcW w:w="352" w:type="pct"/>
            <w:vAlign w:val="center"/>
          </w:tcPr>
          <w:p w14:paraId="6F367CEE">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rPr>
              <w:t>动土作业</w:t>
            </w:r>
          </w:p>
        </w:tc>
        <w:tc>
          <w:tcPr>
            <w:tcW w:w="1271" w:type="pct"/>
            <w:vAlign w:val="center"/>
          </w:tcPr>
          <w:p w14:paraId="207EAED2">
            <w:pPr>
              <w:keepNext w:val="0"/>
              <w:keepLines w:val="0"/>
              <w:pageBreakBefore w:val="0"/>
              <w:widowControl w:val="0"/>
              <w:kinsoku/>
              <w:wordWrap/>
              <w:overflowPunct/>
              <w:topLinePunct w:val="0"/>
              <w:autoSpaceDE/>
              <w:autoSpaceDN/>
              <w:bidi w:val="0"/>
              <w:adjustRightInd/>
              <w:snapToGrid/>
              <w:jc w:val="both"/>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使用</w:t>
            </w:r>
            <w:r>
              <w:rPr>
                <w:rFonts w:hint="eastAsia" w:ascii="仿宋" w:hAnsi="仿宋" w:eastAsia="仿宋" w:cs="仿宋"/>
                <w:b w:val="0"/>
                <w:bCs w:val="0"/>
                <w:color w:val="FF0000"/>
                <w:sz w:val="24"/>
                <w:szCs w:val="24"/>
                <w:vertAlign w:val="baseline"/>
                <w:lang w:val="en-US" w:eastAsia="zh-CN"/>
              </w:rPr>
              <w:t>推土机、压路机</w:t>
            </w:r>
            <w:r>
              <w:rPr>
                <w:rFonts w:hint="eastAsia" w:ascii="仿宋" w:hAnsi="仿宋" w:eastAsia="仿宋" w:cs="仿宋"/>
                <w:b w:val="0"/>
                <w:bCs w:val="0"/>
                <w:sz w:val="24"/>
                <w:szCs w:val="24"/>
                <w:vertAlign w:val="baseline"/>
                <w:lang w:val="en-US" w:eastAsia="zh-CN"/>
              </w:rPr>
              <w:t>等施工机械进行填土或平整场地等可能对地下隐蔽设施产生影响的作业。</w:t>
            </w:r>
          </w:p>
        </w:tc>
        <w:tc>
          <w:tcPr>
            <w:tcW w:w="1829" w:type="pct"/>
            <w:vAlign w:val="center"/>
          </w:tcPr>
          <w:p w14:paraId="258630CB">
            <w:pPr>
              <w:keepNext w:val="0"/>
              <w:keepLines w:val="0"/>
              <w:pageBreakBefore w:val="0"/>
              <w:widowControl w:val="0"/>
              <w:numPr>
                <w:ilvl w:val="0"/>
                <w:numId w:val="6"/>
              </w:numPr>
              <w:kinsoku/>
              <w:wordWrap/>
              <w:overflowPunct/>
              <w:topLinePunct w:val="0"/>
              <w:autoSpaceDE/>
              <w:autoSpaceDN/>
              <w:bidi w:val="0"/>
              <w:adjustRightInd/>
              <w:snapToGrid/>
              <w:ind w:left="425" w:leftChars="0" w:hanging="425" w:firstLineChars="0"/>
              <w:jc w:val="both"/>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检测与识别挖掘机、推土机、压路机、打桩机等工程车辆</w:t>
            </w:r>
          </w:p>
          <w:p w14:paraId="46B27D66">
            <w:pPr>
              <w:keepNext w:val="0"/>
              <w:keepLines w:val="0"/>
              <w:pageBreakBefore w:val="0"/>
              <w:widowControl w:val="0"/>
              <w:numPr>
                <w:ilvl w:val="0"/>
                <w:numId w:val="6"/>
              </w:numPr>
              <w:kinsoku/>
              <w:wordWrap/>
              <w:overflowPunct/>
              <w:topLinePunct w:val="0"/>
              <w:autoSpaceDE/>
              <w:autoSpaceDN/>
              <w:bidi w:val="0"/>
              <w:adjustRightInd/>
              <w:snapToGrid/>
              <w:ind w:left="425" w:leftChars="0" w:hanging="425" w:firstLineChars="0"/>
              <w:jc w:val="both"/>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大型运输车辆不报警</w:t>
            </w:r>
          </w:p>
        </w:tc>
        <w:tc>
          <w:tcPr>
            <w:tcW w:w="1240" w:type="pct"/>
            <w:vAlign w:val="center"/>
          </w:tcPr>
          <w:p w14:paraId="1EB54392">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jc w:val="left"/>
              <w:textAlignment w:val="auto"/>
              <w:rPr>
                <w:rFonts w:hint="default" w:ascii="仿宋" w:hAnsi="仿宋" w:eastAsia="仿宋" w:cs="仿宋"/>
                <w:b w:val="0"/>
                <w:bCs w:val="0"/>
                <w:sz w:val="24"/>
                <w:szCs w:val="24"/>
                <w:highlight w:val="none"/>
                <w:vertAlign w:val="baseline"/>
                <w:lang w:val="en-US" w:eastAsia="zh-CN"/>
              </w:rPr>
            </w:pPr>
            <w:r>
              <w:rPr>
                <w:rFonts w:hint="eastAsia" w:ascii="仿宋" w:hAnsi="仿宋" w:eastAsia="仿宋" w:cs="仿宋"/>
                <w:b w:val="0"/>
                <w:bCs w:val="0"/>
                <w:sz w:val="24"/>
                <w:szCs w:val="24"/>
                <w:highlight w:val="none"/>
                <w:vertAlign w:val="baseline"/>
                <w:lang w:val="en-US" w:eastAsia="zh-CN"/>
              </w:rPr>
              <w:t>互联网采集相关图片/视频</w:t>
            </w:r>
          </w:p>
          <w:p w14:paraId="734F4E99">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jc w:val="left"/>
              <w:textAlignment w:val="auto"/>
              <w:rPr>
                <w:rFonts w:hint="default" w:ascii="仿宋" w:hAnsi="仿宋" w:eastAsia="仿宋" w:cs="仿宋"/>
                <w:b w:val="0"/>
                <w:bCs w:val="0"/>
                <w:sz w:val="24"/>
                <w:szCs w:val="24"/>
                <w:highlight w:val="none"/>
                <w:vertAlign w:val="baseline"/>
                <w:lang w:val="en-US" w:eastAsia="zh-CN"/>
              </w:rPr>
            </w:pPr>
            <w:r>
              <w:rPr>
                <w:rFonts w:hint="eastAsia" w:ascii="仿宋" w:hAnsi="仿宋" w:eastAsia="仿宋" w:cs="仿宋"/>
                <w:b w:val="0"/>
                <w:bCs w:val="0"/>
                <w:sz w:val="24"/>
                <w:szCs w:val="24"/>
                <w:highlight w:val="none"/>
                <w:vertAlign w:val="baseline"/>
                <w:lang w:val="en-US" w:eastAsia="zh-CN"/>
              </w:rPr>
              <w:t>现场采集相关视频</w:t>
            </w:r>
          </w:p>
        </w:tc>
      </w:tr>
      <w:tr w14:paraId="32F2E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06" w:type="pct"/>
            <w:vAlign w:val="center"/>
          </w:tcPr>
          <w:p w14:paraId="0ACA84E7">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center"/>
              <w:textAlignment w:val="auto"/>
              <w:rPr>
                <w:rFonts w:hint="default" w:ascii="仿宋" w:hAnsi="仿宋" w:eastAsia="仿宋" w:cs="仿宋"/>
                <w:b w:val="0"/>
                <w:bCs w:val="0"/>
                <w:sz w:val="24"/>
                <w:szCs w:val="24"/>
                <w:vertAlign w:val="baseline"/>
                <w:lang w:val="en-US" w:eastAsia="zh-CN"/>
              </w:rPr>
            </w:pPr>
          </w:p>
        </w:tc>
        <w:tc>
          <w:tcPr>
            <w:tcW w:w="352" w:type="pct"/>
            <w:vAlign w:val="center"/>
          </w:tcPr>
          <w:p w14:paraId="7854DC7D">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rPr>
              <w:t>安全带识别</w:t>
            </w:r>
          </w:p>
        </w:tc>
        <w:tc>
          <w:tcPr>
            <w:tcW w:w="1271" w:type="pct"/>
            <w:vAlign w:val="center"/>
          </w:tcPr>
          <w:p w14:paraId="035C86CA">
            <w:pPr>
              <w:keepNext w:val="0"/>
              <w:keepLines w:val="0"/>
              <w:pageBreakBefore w:val="0"/>
              <w:widowControl w:val="0"/>
              <w:kinsoku/>
              <w:wordWrap/>
              <w:overflowPunct/>
              <w:topLinePunct w:val="0"/>
              <w:autoSpaceDE/>
              <w:autoSpaceDN/>
              <w:bidi w:val="0"/>
              <w:adjustRightInd/>
              <w:snapToGrid/>
              <w:jc w:val="both"/>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高处作业按要求需佩戴安全带，高挂低用。</w:t>
            </w:r>
          </w:p>
        </w:tc>
        <w:tc>
          <w:tcPr>
            <w:tcW w:w="1829" w:type="pct"/>
            <w:vAlign w:val="center"/>
          </w:tcPr>
          <w:p w14:paraId="17245221">
            <w:pPr>
              <w:keepNext w:val="0"/>
              <w:keepLines w:val="0"/>
              <w:pageBreakBefore w:val="0"/>
              <w:widowControl w:val="0"/>
              <w:kinsoku/>
              <w:wordWrap/>
              <w:overflowPunct/>
              <w:topLinePunct w:val="0"/>
              <w:autoSpaceDE/>
              <w:autoSpaceDN/>
              <w:bidi w:val="0"/>
              <w:adjustRightInd/>
              <w:snapToGrid/>
              <w:jc w:val="both"/>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佩戴安全带的高处作业视频</w:t>
            </w:r>
          </w:p>
        </w:tc>
        <w:tc>
          <w:tcPr>
            <w:tcW w:w="1240" w:type="pct"/>
            <w:vAlign w:val="center"/>
          </w:tcPr>
          <w:p w14:paraId="1FA4CB91">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jc w:val="left"/>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highlight w:val="none"/>
                <w:vertAlign w:val="baseline"/>
                <w:lang w:val="en-US" w:eastAsia="zh-CN"/>
              </w:rPr>
              <w:t>互联网采集相关图片/视频</w:t>
            </w:r>
          </w:p>
          <w:p w14:paraId="776D6765">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jc w:val="left"/>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highlight w:val="none"/>
                <w:vertAlign w:val="baseline"/>
                <w:lang w:val="en-US" w:eastAsia="zh-CN"/>
              </w:rPr>
              <w:t>现场采集视频</w:t>
            </w:r>
          </w:p>
        </w:tc>
      </w:tr>
      <w:tr w14:paraId="19DA5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06" w:type="pct"/>
            <w:vAlign w:val="center"/>
          </w:tcPr>
          <w:p w14:paraId="2EE5D221">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center"/>
              <w:textAlignment w:val="auto"/>
              <w:rPr>
                <w:rFonts w:hint="default" w:ascii="仿宋" w:hAnsi="仿宋" w:eastAsia="仿宋" w:cs="仿宋"/>
                <w:b w:val="0"/>
                <w:bCs w:val="0"/>
                <w:sz w:val="24"/>
                <w:szCs w:val="24"/>
                <w:vertAlign w:val="baseline"/>
                <w:lang w:val="en-US" w:eastAsia="zh-CN"/>
              </w:rPr>
            </w:pPr>
          </w:p>
        </w:tc>
        <w:tc>
          <w:tcPr>
            <w:tcW w:w="352" w:type="pct"/>
            <w:vAlign w:val="center"/>
          </w:tcPr>
          <w:p w14:paraId="0E375EA5">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rPr>
              <w:t>监护人脱岗</w:t>
            </w:r>
          </w:p>
        </w:tc>
        <w:tc>
          <w:tcPr>
            <w:tcW w:w="1271" w:type="pct"/>
            <w:vAlign w:val="center"/>
          </w:tcPr>
          <w:p w14:paraId="480686FB">
            <w:pPr>
              <w:keepNext w:val="0"/>
              <w:keepLines w:val="0"/>
              <w:pageBreakBefore w:val="0"/>
              <w:widowControl w:val="0"/>
              <w:kinsoku/>
              <w:wordWrap/>
              <w:overflowPunct/>
              <w:topLinePunct w:val="0"/>
              <w:autoSpaceDE/>
              <w:autoSpaceDN/>
              <w:bidi w:val="0"/>
              <w:adjustRightInd/>
              <w:snapToGrid/>
              <w:jc w:val="both"/>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特殊作业现场必须有一名监护人进行监护作业，监护人不得离开作业区域。</w:t>
            </w:r>
          </w:p>
          <w:p w14:paraId="50E7EDC5">
            <w:pPr>
              <w:keepNext w:val="0"/>
              <w:keepLines w:val="0"/>
              <w:pageBreakBefore w:val="0"/>
              <w:widowControl w:val="0"/>
              <w:kinsoku/>
              <w:wordWrap/>
              <w:overflowPunct/>
              <w:topLinePunct w:val="0"/>
              <w:autoSpaceDE/>
              <w:autoSpaceDN/>
              <w:bidi w:val="0"/>
              <w:adjustRightInd/>
              <w:snapToGrid/>
              <w:jc w:val="both"/>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监护人一般以红袖标、马甲及不同颜色安全帽区分。</w:t>
            </w:r>
          </w:p>
        </w:tc>
        <w:tc>
          <w:tcPr>
            <w:tcW w:w="1829" w:type="pct"/>
            <w:vAlign w:val="center"/>
          </w:tcPr>
          <w:p w14:paraId="7FEA24AE">
            <w:pPr>
              <w:keepNext w:val="0"/>
              <w:keepLines w:val="0"/>
              <w:pageBreakBefore w:val="0"/>
              <w:widowControl w:val="0"/>
              <w:numPr>
                <w:ilvl w:val="0"/>
                <w:numId w:val="9"/>
              </w:numPr>
              <w:kinsoku/>
              <w:wordWrap/>
              <w:overflowPunct/>
              <w:topLinePunct w:val="0"/>
              <w:autoSpaceDE/>
              <w:autoSpaceDN/>
              <w:bidi w:val="0"/>
              <w:adjustRightInd/>
              <w:snapToGrid/>
              <w:ind w:left="425" w:leftChars="0" w:hanging="425" w:firstLineChars="0"/>
              <w:jc w:val="both"/>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以反光背心或马甲为标志</w:t>
            </w:r>
          </w:p>
          <w:p w14:paraId="36E3EB20">
            <w:pPr>
              <w:keepNext w:val="0"/>
              <w:keepLines w:val="0"/>
              <w:pageBreakBefore w:val="0"/>
              <w:widowControl w:val="0"/>
              <w:numPr>
                <w:ilvl w:val="0"/>
                <w:numId w:val="9"/>
              </w:numPr>
              <w:kinsoku/>
              <w:wordWrap/>
              <w:overflowPunct/>
              <w:topLinePunct w:val="0"/>
              <w:autoSpaceDE/>
              <w:autoSpaceDN/>
              <w:bidi w:val="0"/>
              <w:adjustRightInd/>
              <w:snapToGrid/>
              <w:ind w:left="425" w:leftChars="0" w:hanging="425" w:firstLineChars="0"/>
              <w:jc w:val="both"/>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检测现场存在两个及以上人员，禁止单人作业</w:t>
            </w:r>
          </w:p>
          <w:p w14:paraId="3DB195D1">
            <w:pPr>
              <w:keepNext w:val="0"/>
              <w:keepLines w:val="0"/>
              <w:pageBreakBefore w:val="0"/>
              <w:widowControl w:val="0"/>
              <w:numPr>
                <w:ilvl w:val="0"/>
                <w:numId w:val="9"/>
              </w:numPr>
              <w:kinsoku/>
              <w:wordWrap/>
              <w:overflowPunct/>
              <w:topLinePunct w:val="0"/>
              <w:autoSpaceDE/>
              <w:autoSpaceDN/>
              <w:bidi w:val="0"/>
              <w:adjustRightInd/>
              <w:snapToGrid/>
              <w:ind w:left="425" w:leftChars="0" w:hanging="425" w:firstLineChars="0"/>
              <w:jc w:val="both"/>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以上设备或区域与人员共存</w:t>
            </w:r>
          </w:p>
        </w:tc>
        <w:tc>
          <w:tcPr>
            <w:tcW w:w="1240" w:type="pct"/>
            <w:shd w:val="clear" w:color="auto" w:fill="auto"/>
            <w:vAlign w:val="center"/>
          </w:tcPr>
          <w:p w14:paraId="413BE4A1">
            <w:pPr>
              <w:keepNext w:val="0"/>
              <w:keepLines w:val="0"/>
              <w:pageBreakBefore w:val="0"/>
              <w:widowControl w:val="0"/>
              <w:numPr>
                <w:ilvl w:val="0"/>
                <w:numId w:val="10"/>
              </w:numPr>
              <w:kinsoku/>
              <w:wordWrap/>
              <w:overflowPunct/>
              <w:topLinePunct w:val="0"/>
              <w:autoSpaceDE/>
              <w:autoSpaceDN/>
              <w:bidi w:val="0"/>
              <w:adjustRightInd/>
              <w:snapToGrid/>
              <w:ind w:left="425" w:leftChars="0" w:hanging="425" w:firstLineChars="0"/>
              <w:jc w:val="left"/>
              <w:textAlignment w:val="auto"/>
              <w:rPr>
                <w:rFonts w:hint="default" w:ascii="仿宋" w:hAnsi="仿宋" w:eastAsia="仿宋" w:cs="仿宋"/>
                <w:b w:val="0"/>
                <w:bCs w:val="0"/>
                <w:kern w:val="2"/>
                <w:sz w:val="24"/>
                <w:szCs w:val="24"/>
                <w:vertAlign w:val="baseline"/>
                <w:lang w:val="en-US" w:eastAsia="zh-CN" w:bidi="ar-SA"/>
              </w:rPr>
            </w:pPr>
            <w:r>
              <w:rPr>
                <w:rFonts w:hint="eastAsia" w:ascii="仿宋" w:hAnsi="仿宋" w:eastAsia="仿宋" w:cs="仿宋"/>
                <w:b w:val="0"/>
                <w:bCs w:val="0"/>
                <w:sz w:val="24"/>
                <w:szCs w:val="24"/>
                <w:highlight w:val="none"/>
                <w:vertAlign w:val="baseline"/>
                <w:lang w:val="en-US" w:eastAsia="zh-CN"/>
              </w:rPr>
              <w:t>互联网采集相关图片/视频</w:t>
            </w:r>
          </w:p>
          <w:p w14:paraId="7AC6A7D4">
            <w:pPr>
              <w:keepNext w:val="0"/>
              <w:keepLines w:val="0"/>
              <w:pageBreakBefore w:val="0"/>
              <w:widowControl w:val="0"/>
              <w:numPr>
                <w:ilvl w:val="0"/>
                <w:numId w:val="10"/>
              </w:numPr>
              <w:kinsoku/>
              <w:wordWrap/>
              <w:overflowPunct/>
              <w:topLinePunct w:val="0"/>
              <w:autoSpaceDE/>
              <w:autoSpaceDN/>
              <w:bidi w:val="0"/>
              <w:adjustRightInd/>
              <w:snapToGrid/>
              <w:ind w:left="425" w:leftChars="0" w:hanging="425" w:firstLineChars="0"/>
              <w:jc w:val="left"/>
              <w:textAlignment w:val="auto"/>
              <w:rPr>
                <w:rFonts w:hint="default" w:ascii="仿宋" w:hAnsi="仿宋" w:eastAsia="仿宋" w:cs="仿宋"/>
                <w:b w:val="0"/>
                <w:bCs w:val="0"/>
                <w:kern w:val="2"/>
                <w:sz w:val="24"/>
                <w:szCs w:val="24"/>
                <w:vertAlign w:val="baseline"/>
                <w:lang w:val="en-US" w:eastAsia="zh-CN" w:bidi="ar-SA"/>
              </w:rPr>
            </w:pPr>
            <w:r>
              <w:rPr>
                <w:rFonts w:hint="eastAsia" w:ascii="仿宋" w:hAnsi="仿宋" w:eastAsia="仿宋" w:cs="仿宋"/>
                <w:b w:val="0"/>
                <w:bCs w:val="0"/>
                <w:sz w:val="24"/>
                <w:szCs w:val="24"/>
                <w:highlight w:val="none"/>
                <w:vertAlign w:val="baseline"/>
                <w:lang w:val="en-US" w:eastAsia="zh-CN"/>
              </w:rPr>
              <w:t>现场采集反光背心、马甲等视频</w:t>
            </w:r>
          </w:p>
        </w:tc>
      </w:tr>
      <w:tr w14:paraId="0C12D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06" w:type="pct"/>
            <w:vAlign w:val="center"/>
          </w:tcPr>
          <w:p w14:paraId="214657FB">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center"/>
              <w:textAlignment w:val="auto"/>
              <w:rPr>
                <w:rFonts w:hint="default" w:ascii="仿宋" w:hAnsi="仿宋" w:eastAsia="仿宋" w:cs="仿宋"/>
                <w:b w:val="0"/>
                <w:bCs w:val="0"/>
                <w:sz w:val="24"/>
                <w:szCs w:val="24"/>
                <w:vertAlign w:val="baseline"/>
                <w:lang w:val="en-US" w:eastAsia="zh-CN"/>
              </w:rPr>
            </w:pPr>
          </w:p>
        </w:tc>
        <w:tc>
          <w:tcPr>
            <w:tcW w:w="352" w:type="pct"/>
            <w:vAlign w:val="center"/>
          </w:tcPr>
          <w:p w14:paraId="673A1223">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rPr>
              <w:t>烟雾</w:t>
            </w:r>
          </w:p>
        </w:tc>
        <w:tc>
          <w:tcPr>
            <w:tcW w:w="1271" w:type="pct"/>
            <w:vAlign w:val="center"/>
          </w:tcPr>
          <w:p w14:paraId="12513C3E">
            <w:pPr>
              <w:keepNext w:val="0"/>
              <w:keepLines w:val="0"/>
              <w:pageBreakBefore w:val="0"/>
              <w:widowControl w:val="0"/>
              <w:kinsoku/>
              <w:wordWrap/>
              <w:overflowPunct/>
              <w:topLinePunct w:val="0"/>
              <w:autoSpaceDE/>
              <w:autoSpaceDN/>
              <w:bidi w:val="0"/>
              <w:adjustRightInd/>
              <w:snapToGrid/>
              <w:jc w:val="both"/>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w:t>
            </w:r>
          </w:p>
        </w:tc>
        <w:tc>
          <w:tcPr>
            <w:tcW w:w="1829" w:type="pct"/>
            <w:vAlign w:val="center"/>
          </w:tcPr>
          <w:p w14:paraId="6DD991A8">
            <w:pPr>
              <w:keepNext w:val="0"/>
              <w:keepLines w:val="0"/>
              <w:pageBreakBefore w:val="0"/>
              <w:widowControl w:val="0"/>
              <w:numPr>
                <w:ilvl w:val="0"/>
                <w:numId w:val="11"/>
              </w:numPr>
              <w:kinsoku/>
              <w:wordWrap/>
              <w:overflowPunct/>
              <w:topLinePunct w:val="0"/>
              <w:autoSpaceDE/>
              <w:autoSpaceDN/>
              <w:bidi w:val="0"/>
              <w:adjustRightInd/>
              <w:snapToGrid/>
              <w:ind w:left="425" w:leftChars="0" w:hanging="425" w:firstLineChars="0"/>
              <w:jc w:val="both"/>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识别烟雾</w:t>
            </w:r>
          </w:p>
          <w:p w14:paraId="0A1B96DD">
            <w:pPr>
              <w:keepNext w:val="0"/>
              <w:keepLines w:val="0"/>
              <w:pageBreakBefore w:val="0"/>
              <w:widowControl w:val="0"/>
              <w:numPr>
                <w:ilvl w:val="0"/>
                <w:numId w:val="11"/>
              </w:numPr>
              <w:kinsoku/>
              <w:wordWrap/>
              <w:overflowPunct/>
              <w:topLinePunct w:val="0"/>
              <w:autoSpaceDE/>
              <w:autoSpaceDN/>
              <w:bidi w:val="0"/>
              <w:adjustRightInd/>
              <w:snapToGrid/>
              <w:ind w:left="425" w:leftChars="0" w:hanging="425" w:firstLineChars="0"/>
              <w:jc w:val="both"/>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排除烟囱排放气体</w:t>
            </w:r>
          </w:p>
        </w:tc>
        <w:tc>
          <w:tcPr>
            <w:tcW w:w="1240" w:type="pct"/>
            <w:vAlign w:val="center"/>
          </w:tcPr>
          <w:p w14:paraId="3B28CDD4">
            <w:pPr>
              <w:keepNext w:val="0"/>
              <w:keepLines w:val="0"/>
              <w:pageBreakBefore w:val="0"/>
              <w:widowControl w:val="0"/>
              <w:numPr>
                <w:ilvl w:val="0"/>
                <w:numId w:val="12"/>
              </w:numPr>
              <w:kinsoku/>
              <w:wordWrap/>
              <w:overflowPunct/>
              <w:topLinePunct w:val="0"/>
              <w:autoSpaceDE/>
              <w:autoSpaceDN/>
              <w:bidi w:val="0"/>
              <w:adjustRightInd/>
              <w:snapToGrid/>
              <w:ind w:left="425" w:leftChars="0" w:hanging="425" w:firstLineChars="0"/>
              <w:jc w:val="left"/>
              <w:textAlignment w:val="auto"/>
              <w:rPr>
                <w:rFonts w:hint="default" w:ascii="仿宋" w:hAnsi="仿宋" w:eastAsia="仿宋" w:cs="仿宋"/>
                <w:b w:val="0"/>
                <w:bCs w:val="0"/>
                <w:kern w:val="2"/>
                <w:sz w:val="24"/>
                <w:szCs w:val="24"/>
                <w:vertAlign w:val="baseline"/>
                <w:lang w:val="en-US" w:eastAsia="zh-CN" w:bidi="ar-SA"/>
              </w:rPr>
            </w:pPr>
            <w:r>
              <w:rPr>
                <w:rFonts w:hint="eastAsia" w:ascii="仿宋" w:hAnsi="仿宋" w:eastAsia="仿宋" w:cs="仿宋"/>
                <w:b w:val="0"/>
                <w:bCs w:val="0"/>
                <w:kern w:val="2"/>
                <w:sz w:val="24"/>
                <w:szCs w:val="24"/>
                <w:vertAlign w:val="baseline"/>
                <w:lang w:val="en-US" w:eastAsia="zh-CN" w:bidi="ar-SA"/>
              </w:rPr>
              <w:t>现场采集误报和正确报警的视频</w:t>
            </w:r>
          </w:p>
          <w:p w14:paraId="06ED11B5">
            <w:pPr>
              <w:keepNext w:val="0"/>
              <w:keepLines w:val="0"/>
              <w:pageBreakBefore w:val="0"/>
              <w:widowControl w:val="0"/>
              <w:kinsoku/>
              <w:wordWrap/>
              <w:overflowPunct/>
              <w:topLinePunct w:val="0"/>
              <w:autoSpaceDE/>
              <w:autoSpaceDN/>
              <w:bidi w:val="0"/>
              <w:adjustRightInd/>
              <w:snapToGrid/>
              <w:jc w:val="both"/>
              <w:textAlignment w:val="auto"/>
              <w:rPr>
                <w:rFonts w:hint="default" w:ascii="仿宋" w:hAnsi="仿宋" w:eastAsia="仿宋" w:cs="仿宋"/>
                <w:b w:val="0"/>
                <w:bCs w:val="0"/>
                <w:sz w:val="24"/>
                <w:szCs w:val="24"/>
                <w:vertAlign w:val="baseline"/>
                <w:lang w:val="en-US" w:eastAsia="zh-CN"/>
              </w:rPr>
            </w:pPr>
          </w:p>
        </w:tc>
      </w:tr>
      <w:tr w14:paraId="4D31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06" w:type="pct"/>
            <w:vAlign w:val="center"/>
          </w:tcPr>
          <w:p w14:paraId="3BD4D98B">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center"/>
              <w:textAlignment w:val="auto"/>
              <w:rPr>
                <w:rFonts w:hint="default" w:ascii="仿宋" w:hAnsi="仿宋" w:eastAsia="仿宋" w:cs="仿宋"/>
                <w:b w:val="0"/>
                <w:bCs w:val="0"/>
                <w:sz w:val="24"/>
                <w:szCs w:val="24"/>
                <w:vertAlign w:val="baseline"/>
                <w:lang w:val="en-US" w:eastAsia="zh-CN"/>
              </w:rPr>
            </w:pPr>
          </w:p>
        </w:tc>
        <w:tc>
          <w:tcPr>
            <w:tcW w:w="352" w:type="pct"/>
            <w:vAlign w:val="center"/>
          </w:tcPr>
          <w:p w14:paraId="62607C11">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rPr>
              <w:t>明火</w:t>
            </w:r>
          </w:p>
        </w:tc>
        <w:tc>
          <w:tcPr>
            <w:tcW w:w="1271" w:type="pct"/>
            <w:vAlign w:val="center"/>
          </w:tcPr>
          <w:p w14:paraId="138ABC97">
            <w:pPr>
              <w:keepNext w:val="0"/>
              <w:keepLines w:val="0"/>
              <w:pageBreakBefore w:val="0"/>
              <w:widowControl w:val="0"/>
              <w:kinsoku/>
              <w:wordWrap/>
              <w:overflowPunct/>
              <w:topLinePunct w:val="0"/>
              <w:autoSpaceDE/>
              <w:autoSpaceDN/>
              <w:bidi w:val="0"/>
              <w:adjustRightInd/>
              <w:snapToGrid/>
              <w:jc w:val="both"/>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w:t>
            </w:r>
          </w:p>
        </w:tc>
        <w:tc>
          <w:tcPr>
            <w:tcW w:w="1829" w:type="pct"/>
            <w:vAlign w:val="center"/>
          </w:tcPr>
          <w:p w14:paraId="390551BA">
            <w:pPr>
              <w:keepNext w:val="0"/>
              <w:keepLines w:val="0"/>
              <w:pageBreakBefore w:val="0"/>
              <w:widowControl w:val="0"/>
              <w:numPr>
                <w:ilvl w:val="0"/>
                <w:numId w:val="13"/>
              </w:numPr>
              <w:kinsoku/>
              <w:wordWrap/>
              <w:overflowPunct/>
              <w:topLinePunct w:val="0"/>
              <w:autoSpaceDE/>
              <w:autoSpaceDN/>
              <w:bidi w:val="0"/>
              <w:adjustRightInd/>
              <w:snapToGrid/>
              <w:ind w:left="425" w:leftChars="0" w:hanging="425" w:firstLineChars="0"/>
              <w:jc w:val="both"/>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火焰\明火检测、起火检测</w:t>
            </w:r>
          </w:p>
          <w:p w14:paraId="7FB8140E">
            <w:pPr>
              <w:keepNext w:val="0"/>
              <w:keepLines w:val="0"/>
              <w:pageBreakBefore w:val="0"/>
              <w:widowControl w:val="0"/>
              <w:numPr>
                <w:ilvl w:val="0"/>
                <w:numId w:val="13"/>
              </w:numPr>
              <w:kinsoku/>
              <w:wordWrap/>
              <w:overflowPunct/>
              <w:topLinePunct w:val="0"/>
              <w:autoSpaceDE/>
              <w:autoSpaceDN/>
              <w:bidi w:val="0"/>
              <w:adjustRightInd/>
              <w:snapToGrid/>
              <w:ind w:left="425" w:leftChars="0" w:hanging="425" w:firstLineChars="0"/>
              <w:jc w:val="both"/>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消除灯光等误报</w:t>
            </w:r>
          </w:p>
        </w:tc>
        <w:tc>
          <w:tcPr>
            <w:tcW w:w="1240" w:type="pct"/>
            <w:vAlign w:val="center"/>
          </w:tcPr>
          <w:p w14:paraId="0F463605">
            <w:pPr>
              <w:keepNext w:val="0"/>
              <w:keepLines w:val="0"/>
              <w:pageBreakBefore w:val="0"/>
              <w:widowControl w:val="0"/>
              <w:numPr>
                <w:ilvl w:val="0"/>
                <w:numId w:val="14"/>
              </w:numPr>
              <w:kinsoku/>
              <w:wordWrap/>
              <w:overflowPunct/>
              <w:topLinePunct w:val="0"/>
              <w:autoSpaceDE/>
              <w:autoSpaceDN/>
              <w:bidi w:val="0"/>
              <w:adjustRightInd/>
              <w:snapToGrid/>
              <w:ind w:left="425" w:leftChars="0" w:hanging="425" w:firstLineChars="0"/>
              <w:jc w:val="left"/>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kern w:val="2"/>
                <w:sz w:val="24"/>
                <w:szCs w:val="24"/>
                <w:vertAlign w:val="baseline"/>
                <w:lang w:val="en-US" w:eastAsia="zh-CN" w:bidi="ar-SA"/>
              </w:rPr>
              <w:t>现场采集误报和正确报警的视频</w:t>
            </w:r>
          </w:p>
        </w:tc>
      </w:tr>
    </w:tbl>
    <w:p w14:paraId="10961749">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2026年1月中旬，提供化工厂园区的视频，各种场景区域，每段视频2-3分钟。</w:t>
      </w:r>
    </w:p>
    <w:p w14:paraId="131E15E8">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2026年1月中旬，提供烟火检测的训练样本，包括烟囱排放气体的场景。</w:t>
      </w:r>
    </w:p>
    <w:p w14:paraId="190827A4">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2026年3月之前，选择一个落地的园区/企业。</w:t>
      </w:r>
    </w:p>
    <w:p w14:paraId="7C5A07DC">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每半个月提供一次现场采集样本。</w:t>
      </w:r>
    </w:p>
    <w:p w14:paraId="6BA18CDC">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提供一个简单系统：报警的时间和具体的事项。</w:t>
      </w:r>
    </w:p>
    <w:p w14:paraId="65DA490A">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两周开一次双周会。</w:t>
      </w:r>
    </w:p>
    <w:p w14:paraId="129B8FF1">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提供数据库设计和接口设计。</w:t>
      </w:r>
    </w:p>
    <w:p w14:paraId="51E39DF0">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仿宋" w:hAnsi="仿宋" w:eastAsia="仿宋" w:cs="仿宋"/>
          <w:b/>
          <w:bCs/>
          <w:sz w:val="24"/>
          <w:szCs w:val="24"/>
          <w:lang w:val="en-US" w:eastAsia="zh-CN"/>
        </w:rPr>
      </w:pPr>
    </w:p>
    <w:p w14:paraId="5E7102F9">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仿宋" w:hAnsi="仿宋" w:eastAsia="仿宋" w:cs="仿宋"/>
          <w:b/>
          <w:bCs/>
          <w:sz w:val="24"/>
          <w:szCs w:val="24"/>
          <w:lang w:val="en-US" w:eastAsia="zh-CN"/>
        </w:rPr>
      </w:pPr>
    </w:p>
    <w:p w14:paraId="57F231A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b w:val="0"/>
          <w:bCs w:val="0"/>
          <w:sz w:val="28"/>
          <w:szCs w:val="28"/>
          <w:lang w:val="en-US" w:eastAsia="zh-CN"/>
        </w:rPr>
      </w:pPr>
    </w:p>
    <w:sectPr>
      <w:pgSz w:w="11906" w:h="16838"/>
      <w:pgMar w:top="1440" w:right="1463" w:bottom="1440" w:left="146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3000509000000000000"/>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KSOFBE25B2F9">
    <w:panose1 w:val="02000000000000000000"/>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BDCA5"/>
    <w:multiLevelType w:val="singleLevel"/>
    <w:tmpl w:val="823BDCA5"/>
    <w:lvl w:ilvl="0" w:tentative="0">
      <w:start w:val="1"/>
      <w:numFmt w:val="decimal"/>
      <w:lvlText w:val="%1."/>
      <w:lvlJc w:val="left"/>
      <w:pPr>
        <w:ind w:left="425" w:hanging="425"/>
      </w:pPr>
      <w:rPr>
        <w:rFonts w:hint="default"/>
      </w:rPr>
    </w:lvl>
  </w:abstractNum>
  <w:abstractNum w:abstractNumId="1">
    <w:nsid w:val="8A5C0190"/>
    <w:multiLevelType w:val="singleLevel"/>
    <w:tmpl w:val="8A5C0190"/>
    <w:lvl w:ilvl="0" w:tentative="0">
      <w:start w:val="1"/>
      <w:numFmt w:val="decimal"/>
      <w:lvlText w:val="%1."/>
      <w:lvlJc w:val="left"/>
      <w:pPr>
        <w:ind w:left="425" w:hanging="425"/>
      </w:pPr>
      <w:rPr>
        <w:rFonts w:hint="default"/>
      </w:rPr>
    </w:lvl>
  </w:abstractNum>
  <w:abstractNum w:abstractNumId="2">
    <w:nsid w:val="D09638A5"/>
    <w:multiLevelType w:val="singleLevel"/>
    <w:tmpl w:val="D09638A5"/>
    <w:lvl w:ilvl="0" w:tentative="0">
      <w:start w:val="1"/>
      <w:numFmt w:val="decimal"/>
      <w:lvlText w:val="%1."/>
      <w:lvlJc w:val="left"/>
      <w:pPr>
        <w:ind w:left="425" w:hanging="425"/>
      </w:pPr>
      <w:rPr>
        <w:rFonts w:hint="default"/>
      </w:rPr>
    </w:lvl>
  </w:abstractNum>
  <w:abstractNum w:abstractNumId="3">
    <w:nsid w:val="E9C9BD97"/>
    <w:multiLevelType w:val="singleLevel"/>
    <w:tmpl w:val="E9C9BD97"/>
    <w:lvl w:ilvl="0" w:tentative="0">
      <w:start w:val="1"/>
      <w:numFmt w:val="decimal"/>
      <w:lvlText w:val="%1."/>
      <w:lvlJc w:val="left"/>
      <w:pPr>
        <w:ind w:left="425" w:hanging="425"/>
      </w:pPr>
      <w:rPr>
        <w:rFonts w:hint="default"/>
      </w:rPr>
    </w:lvl>
  </w:abstractNum>
  <w:abstractNum w:abstractNumId="4">
    <w:nsid w:val="F62AD009"/>
    <w:multiLevelType w:val="singleLevel"/>
    <w:tmpl w:val="F62AD009"/>
    <w:lvl w:ilvl="0" w:tentative="0">
      <w:start w:val="1"/>
      <w:numFmt w:val="decimal"/>
      <w:lvlText w:val="%1."/>
      <w:lvlJc w:val="left"/>
      <w:pPr>
        <w:ind w:left="425" w:hanging="425"/>
      </w:pPr>
      <w:rPr>
        <w:rFonts w:hint="default"/>
      </w:rPr>
    </w:lvl>
  </w:abstractNum>
  <w:abstractNum w:abstractNumId="5">
    <w:nsid w:val="F64C59A4"/>
    <w:multiLevelType w:val="singleLevel"/>
    <w:tmpl w:val="F64C59A4"/>
    <w:lvl w:ilvl="0" w:tentative="0">
      <w:start w:val="1"/>
      <w:numFmt w:val="decimal"/>
      <w:lvlText w:val="%1."/>
      <w:lvlJc w:val="left"/>
      <w:pPr>
        <w:ind w:left="425" w:hanging="425"/>
      </w:pPr>
      <w:rPr>
        <w:rFonts w:hint="default"/>
      </w:rPr>
    </w:lvl>
  </w:abstractNum>
  <w:abstractNum w:abstractNumId="6">
    <w:nsid w:val="FA926B75"/>
    <w:multiLevelType w:val="singleLevel"/>
    <w:tmpl w:val="FA926B75"/>
    <w:lvl w:ilvl="0" w:tentative="0">
      <w:start w:val="1"/>
      <w:numFmt w:val="decimal"/>
      <w:lvlText w:val="%1"/>
      <w:lvlJc w:val="left"/>
      <w:pPr>
        <w:tabs>
          <w:tab w:val="left" w:pos="420"/>
        </w:tabs>
        <w:ind w:left="425" w:leftChars="0" w:hanging="425" w:firstLineChars="0"/>
      </w:pPr>
      <w:rPr>
        <w:rFonts w:hint="default"/>
      </w:rPr>
    </w:lvl>
  </w:abstractNum>
  <w:abstractNum w:abstractNumId="7">
    <w:nsid w:val="03BEC7E0"/>
    <w:multiLevelType w:val="singleLevel"/>
    <w:tmpl w:val="03BEC7E0"/>
    <w:lvl w:ilvl="0" w:tentative="0">
      <w:start w:val="1"/>
      <w:numFmt w:val="decimal"/>
      <w:lvlText w:val="%1."/>
      <w:lvlJc w:val="left"/>
      <w:pPr>
        <w:ind w:left="425" w:hanging="425"/>
      </w:pPr>
      <w:rPr>
        <w:rFonts w:hint="default"/>
      </w:rPr>
    </w:lvl>
  </w:abstractNum>
  <w:abstractNum w:abstractNumId="8">
    <w:nsid w:val="112E7B58"/>
    <w:multiLevelType w:val="singleLevel"/>
    <w:tmpl w:val="112E7B58"/>
    <w:lvl w:ilvl="0" w:tentative="0">
      <w:start w:val="1"/>
      <w:numFmt w:val="decimal"/>
      <w:lvlText w:val="%1."/>
      <w:lvlJc w:val="left"/>
      <w:pPr>
        <w:ind w:left="425" w:hanging="425"/>
      </w:pPr>
      <w:rPr>
        <w:rFonts w:hint="default"/>
      </w:rPr>
    </w:lvl>
  </w:abstractNum>
  <w:abstractNum w:abstractNumId="9">
    <w:nsid w:val="2505DD2D"/>
    <w:multiLevelType w:val="singleLevel"/>
    <w:tmpl w:val="2505DD2D"/>
    <w:lvl w:ilvl="0" w:tentative="0">
      <w:start w:val="1"/>
      <w:numFmt w:val="decimal"/>
      <w:lvlText w:val="%1."/>
      <w:lvlJc w:val="left"/>
      <w:pPr>
        <w:ind w:left="425" w:hanging="425"/>
      </w:pPr>
      <w:rPr>
        <w:rFonts w:hint="default"/>
      </w:rPr>
    </w:lvl>
  </w:abstractNum>
  <w:abstractNum w:abstractNumId="10">
    <w:nsid w:val="417399DC"/>
    <w:multiLevelType w:val="singleLevel"/>
    <w:tmpl w:val="417399DC"/>
    <w:lvl w:ilvl="0" w:tentative="0">
      <w:start w:val="1"/>
      <w:numFmt w:val="decimal"/>
      <w:lvlText w:val="%1."/>
      <w:lvlJc w:val="left"/>
      <w:pPr>
        <w:ind w:left="425" w:hanging="425"/>
      </w:pPr>
      <w:rPr>
        <w:rFonts w:hint="default"/>
      </w:rPr>
    </w:lvl>
  </w:abstractNum>
  <w:abstractNum w:abstractNumId="11">
    <w:nsid w:val="5387FAF4"/>
    <w:multiLevelType w:val="singleLevel"/>
    <w:tmpl w:val="5387FAF4"/>
    <w:lvl w:ilvl="0" w:tentative="0">
      <w:start w:val="1"/>
      <w:numFmt w:val="decimal"/>
      <w:lvlText w:val="%1."/>
      <w:lvlJc w:val="left"/>
      <w:pPr>
        <w:ind w:left="425" w:hanging="425"/>
      </w:pPr>
      <w:rPr>
        <w:rFonts w:hint="default"/>
      </w:rPr>
    </w:lvl>
  </w:abstractNum>
  <w:abstractNum w:abstractNumId="12">
    <w:nsid w:val="55B3903D"/>
    <w:multiLevelType w:val="singleLevel"/>
    <w:tmpl w:val="55B3903D"/>
    <w:lvl w:ilvl="0" w:tentative="0">
      <w:start w:val="1"/>
      <w:numFmt w:val="decimal"/>
      <w:lvlText w:val="%1."/>
      <w:lvlJc w:val="left"/>
      <w:pPr>
        <w:ind w:left="425" w:hanging="425"/>
      </w:pPr>
      <w:rPr>
        <w:rFonts w:hint="default"/>
      </w:rPr>
    </w:lvl>
  </w:abstractNum>
  <w:abstractNum w:abstractNumId="13">
    <w:nsid w:val="568BEB9A"/>
    <w:multiLevelType w:val="singleLevel"/>
    <w:tmpl w:val="568BEB9A"/>
    <w:lvl w:ilvl="0" w:tentative="0">
      <w:start w:val="1"/>
      <w:numFmt w:val="decimal"/>
      <w:lvlText w:val="%1."/>
      <w:lvlJc w:val="left"/>
      <w:pPr>
        <w:ind w:left="425" w:hanging="425"/>
      </w:pPr>
      <w:rPr>
        <w:rFonts w:hint="default"/>
      </w:rPr>
    </w:lvl>
  </w:abstractNum>
  <w:abstractNum w:abstractNumId="14">
    <w:nsid w:val="7FD24505"/>
    <w:multiLevelType w:val="singleLevel"/>
    <w:tmpl w:val="7FD24505"/>
    <w:lvl w:ilvl="0" w:tentative="0">
      <w:start w:val="1"/>
      <w:numFmt w:val="decimal"/>
      <w:lvlText w:val="%1."/>
      <w:lvlJc w:val="left"/>
      <w:pPr>
        <w:ind w:left="425" w:hanging="425"/>
      </w:pPr>
      <w:rPr>
        <w:rFonts w:hint="default"/>
      </w:rPr>
    </w:lvl>
  </w:abstractNum>
  <w:num w:numId="1">
    <w:abstractNumId w:val="6"/>
  </w:num>
  <w:num w:numId="2">
    <w:abstractNumId w:val="2"/>
  </w:num>
  <w:num w:numId="3">
    <w:abstractNumId w:val="14"/>
  </w:num>
  <w:num w:numId="4">
    <w:abstractNumId w:val="10"/>
  </w:num>
  <w:num w:numId="5">
    <w:abstractNumId w:val="5"/>
  </w:num>
  <w:num w:numId="6">
    <w:abstractNumId w:val="9"/>
  </w:num>
  <w:num w:numId="7">
    <w:abstractNumId w:val="7"/>
  </w:num>
  <w:num w:numId="8">
    <w:abstractNumId w:val="12"/>
  </w:num>
  <w:num w:numId="9">
    <w:abstractNumId w:val="4"/>
  </w:num>
  <w:num w:numId="10">
    <w:abstractNumId w:val="0"/>
  </w:num>
  <w:num w:numId="11">
    <w:abstractNumId w:val="1"/>
  </w:num>
  <w:num w:numId="12">
    <w:abstractNumId w:val="3"/>
  </w:num>
  <w:num w:numId="13">
    <w:abstractNumId w:val="11"/>
  </w:num>
  <w:num w:numId="14">
    <w:abstractNumId w:val="8"/>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8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1B6C93"/>
    <w:rsid w:val="0FB32534"/>
    <w:rsid w:val="11243AFE"/>
    <w:rsid w:val="1384256E"/>
    <w:rsid w:val="1F275700"/>
    <w:rsid w:val="206C46A2"/>
    <w:rsid w:val="20FA13D0"/>
    <w:rsid w:val="364E3E6B"/>
    <w:rsid w:val="5C6A7366"/>
    <w:rsid w:val="63061303"/>
    <w:rsid w:val="6FF01316"/>
    <w:rsid w:val="731071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1064</Words>
  <Characters>1075</Characters>
  <Lines>0</Lines>
  <Paragraphs>0</Paragraphs>
  <TotalTime>80</TotalTime>
  <ScaleCrop>false</ScaleCrop>
  <LinksUpToDate>false</LinksUpToDate>
  <CharactersWithSpaces>1075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2025-10-15T08:40:00Z</dcterms:created>
  <dc:creator>25226</dc:creator>
  <cp:lastModifiedBy>FLY    Zone</cp:lastModifiedBy>
  <dcterms:modified xsi:type="dcterms:W3CDTF">2025-12-26T03:46:36Z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eyJoZGlkIjoiMzkxNzMzZWZjODE1NmMyOGEyNWNmMDY2NmVhZDNhNjMiLCJ1c2VySWQiOiIxMTU2MTM0MjgwIn0=</vt:lpwstr>
  </property>
  <property fmtid="{D5CDD505-2E9C-101B-9397-08002B2CF9AE}" pid="4" name="ICV">
    <vt:lpwstr>8F6C6BCE67034E99A4A98E7B32283B1B_13</vt:lpwstr>
  </property>
</Properties>
</file>