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77FF9" w:rsidRDefault="00477FF9" w14:paraId="68045D51" w14:textId="77777777"/>
    <w:p w:rsidR="00477FF9" w:rsidRDefault="00477FF9" w14:paraId="73A04467" w14:textId="77777777"/>
    <w:p w:rsidRPr="005D540C" w:rsidR="000B297B" w:rsidP="005D540C" w:rsidRDefault="00E87FEA" w14:paraId="6C0624CB" w14:textId="0A7CDFBE">
      <w:pPr>
        <w:pStyle w:val="Title"/>
        <w:rPr>
          <w:b/>
          <w:bCs/>
          <w:sz w:val="52"/>
          <w:szCs w:val="52"/>
        </w:rPr>
      </w:pPr>
      <w:r w:rsidRPr="005D540C">
        <w:rPr>
          <w:b/>
          <w:bCs/>
          <w:sz w:val="52"/>
          <w:szCs w:val="52"/>
        </w:rPr>
        <w:t>E7389-M001-218</w:t>
      </w:r>
    </w:p>
    <w:p w:rsidRPr="005D540C" w:rsidR="005D540C" w:rsidP="005D540C" w:rsidRDefault="005D540C" w14:paraId="1CBB5C2F" w14:textId="77777777">
      <w:pPr>
        <w:pStyle w:val="Title"/>
        <w:rPr>
          <w:sz w:val="52"/>
          <w:szCs w:val="52"/>
        </w:rPr>
      </w:pPr>
    </w:p>
    <w:p w:rsidRPr="00927DE4" w:rsidR="00A242DA" w:rsidP="005D540C" w:rsidRDefault="00E87FEA" w14:paraId="42BE649A" w14:textId="6C35ADEA">
      <w:pPr>
        <w:pStyle w:val="Title"/>
        <w:rPr>
          <w:sz w:val="48"/>
          <w:szCs w:val="48"/>
        </w:rPr>
      </w:pPr>
      <w:r w:rsidRPr="00927DE4">
        <w:rPr>
          <w:sz w:val="48"/>
          <w:szCs w:val="48"/>
        </w:rPr>
        <w:t xml:space="preserve">An Open-Label Single-Arm Multicenter Phase 1b/2 Study to Evaluate the Efficacy and Safety of </w:t>
      </w:r>
      <w:proofErr w:type="spellStart"/>
      <w:r w:rsidRPr="00927DE4">
        <w:rPr>
          <w:sz w:val="48"/>
          <w:szCs w:val="48"/>
        </w:rPr>
        <w:t>Eribulin</w:t>
      </w:r>
      <w:proofErr w:type="spellEnd"/>
      <w:r w:rsidRPr="00927DE4">
        <w:rPr>
          <w:sz w:val="48"/>
          <w:szCs w:val="48"/>
        </w:rPr>
        <w:t xml:space="preserve"> Mesylate in Combination with Pembrolizumab in Subjects with Metastatic Triple Negative Breast Cancer (</w:t>
      </w:r>
      <w:proofErr w:type="spellStart"/>
      <w:r w:rsidRPr="00927DE4">
        <w:rPr>
          <w:sz w:val="48"/>
          <w:szCs w:val="48"/>
        </w:rPr>
        <w:t>mTNBC</w:t>
      </w:r>
      <w:proofErr w:type="spellEnd"/>
      <w:r w:rsidRPr="00927DE4">
        <w:rPr>
          <w:sz w:val="48"/>
          <w:szCs w:val="48"/>
        </w:rPr>
        <w:t>)</w:t>
      </w:r>
      <w:r w:rsidRPr="00927DE4" w:rsidR="00927DE4">
        <w:rPr>
          <w:rFonts w:hint="eastAsia"/>
          <w:sz w:val="52"/>
          <w:szCs w:val="52"/>
        </w:rPr>
        <w:t xml:space="preserve"> </w:t>
      </w:r>
      <w:proofErr w:type="spellStart"/>
      <w:r w:rsidRPr="00927DE4" w:rsidR="00927DE4">
        <w:rPr>
          <w:rFonts w:hint="eastAsia"/>
          <w:sz w:val="32"/>
          <w:szCs w:val="32"/>
        </w:rPr>
        <w:t>三阴性乳腺癌</w:t>
      </w:r>
      <w:proofErr w:type="spellEnd"/>
    </w:p>
    <w:p w:rsidR="00477FF9" w:rsidRDefault="00477FF9" w14:paraId="00E8BFF3" w14:textId="77777777"/>
    <w:p w:rsidR="00477FF9" w:rsidP="005D540C" w:rsidRDefault="00477FF9" w14:paraId="50C8B80A" w14:textId="608A4473">
      <w:pPr>
        <w:jc w:val="center"/>
      </w:pPr>
      <w:r>
        <w:rPr>
          <w:noProof/>
        </w:rPr>
        <w:drawing>
          <wp:inline distT="0" distB="0" distL="0" distR="0" wp14:anchorId="7F6204FC" wp14:editId="050DAA24">
            <wp:extent cx="2194482" cy="1808404"/>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049" t="9013" r="15215" b="7219"/>
                    <a:stretch/>
                  </pic:blipFill>
                  <pic:spPr bwMode="auto">
                    <a:xfrm>
                      <a:off x="0" y="0"/>
                      <a:ext cx="2203128" cy="1815529"/>
                    </a:xfrm>
                    <a:prstGeom prst="rect">
                      <a:avLst/>
                    </a:prstGeom>
                    <a:noFill/>
                    <a:ln>
                      <a:noFill/>
                    </a:ln>
                    <a:extLst>
                      <a:ext uri="{53640926-AAD7-44D8-BBD7-CCE9431645EC}">
                        <a14:shadowObscured xmlns:a14="http://schemas.microsoft.com/office/drawing/2010/main"/>
                      </a:ext>
                    </a:extLst>
                  </pic:spPr>
                </pic:pic>
              </a:graphicData>
            </a:graphic>
          </wp:inline>
        </w:drawing>
      </w:r>
    </w:p>
    <w:p w:rsidRPr="005D540C" w:rsidR="005D540C" w:rsidP="005D540C" w:rsidRDefault="005D540C" w14:paraId="0D90BC70" w14:textId="77777777">
      <w:pPr>
        <w:pStyle w:val="NormalWeb"/>
        <w:shd w:val="clear" w:color="auto" w:fill="FFFFFF"/>
        <w:spacing w:before="0" w:beforeAutospacing="0" w:after="0" w:afterAutospacing="0"/>
        <w:rPr>
          <w:rFonts w:ascii="Arial" w:hAnsi="Arial" w:cs="Arial"/>
          <w:color w:val="191919"/>
          <w:sz w:val="20"/>
          <w:szCs w:val="20"/>
        </w:rPr>
      </w:pPr>
      <w:r w:rsidRPr="005D540C">
        <w:rPr>
          <w:rStyle w:val="Strong"/>
          <w:rFonts w:hint="eastAsia" w:ascii="宋体" w:hAnsi="宋体" w:eastAsia="宋体" w:cs="宋体"/>
          <w:color w:val="191919"/>
          <w:sz w:val="20"/>
          <w:szCs w:val="20"/>
          <w:bdr w:val="none" w:color="auto" w:sz="0" w:space="0" w:frame="1"/>
        </w:rPr>
        <w:t>适应症：</w:t>
      </w:r>
    </w:p>
    <w:p w:rsidRPr="005D540C" w:rsidR="005D540C" w:rsidP="005D540C" w:rsidRDefault="005D540C" w14:paraId="0499D727" w14:textId="77777777">
      <w:pPr>
        <w:pStyle w:val="NormalWeb"/>
        <w:shd w:val="clear" w:color="auto" w:fill="FFFFFF"/>
        <w:spacing w:before="151" w:beforeAutospacing="0" w:after="432" w:afterAutospacing="0"/>
        <w:rPr>
          <w:rFonts w:ascii="Arial" w:hAnsi="Arial" w:cs="Arial"/>
          <w:color w:val="191919"/>
          <w:sz w:val="20"/>
          <w:szCs w:val="20"/>
        </w:rPr>
      </w:pPr>
      <w:r w:rsidRPr="005D540C">
        <w:rPr>
          <w:rFonts w:ascii="Arial" w:hAnsi="Arial" w:cs="Arial"/>
          <w:color w:val="191919"/>
          <w:sz w:val="20"/>
          <w:szCs w:val="20"/>
        </w:rPr>
        <w:t>HALAVEN</w:t>
      </w:r>
      <w:r w:rsidRPr="005D540C">
        <w:rPr>
          <w:rFonts w:hint="eastAsia" w:ascii="宋体" w:hAnsi="宋体" w:eastAsia="宋体" w:cs="宋体"/>
          <w:color w:val="191919"/>
          <w:sz w:val="20"/>
          <w:szCs w:val="20"/>
        </w:rPr>
        <w:t>是一种微管抑制剂适用于</w:t>
      </w:r>
      <w:r w:rsidRPr="00850ED1">
        <w:rPr>
          <w:rFonts w:hint="eastAsia" w:ascii="宋体" w:hAnsi="宋体" w:eastAsia="宋体" w:cs="宋体"/>
          <w:color w:val="191919"/>
          <w:sz w:val="20"/>
          <w:szCs w:val="20"/>
          <w:highlight w:val="yellow"/>
        </w:rPr>
        <w:t>转移性乳腺癌患者</w:t>
      </w:r>
      <w:r w:rsidRPr="005D540C">
        <w:rPr>
          <w:rFonts w:hint="eastAsia" w:ascii="宋体" w:hAnsi="宋体" w:eastAsia="宋体" w:cs="宋体"/>
          <w:color w:val="191919"/>
          <w:sz w:val="20"/>
          <w:szCs w:val="20"/>
        </w:rPr>
        <w:t>的治疗，患者为</w:t>
      </w:r>
      <w:r w:rsidRPr="00850ED1">
        <w:rPr>
          <w:rFonts w:hint="eastAsia" w:ascii="宋体" w:hAnsi="宋体" w:eastAsia="宋体" w:cs="宋体"/>
          <w:color w:val="191919"/>
          <w:sz w:val="20"/>
          <w:szCs w:val="20"/>
          <w:highlight w:val="yellow"/>
        </w:rPr>
        <w:t>转移疾病</w:t>
      </w:r>
      <w:r w:rsidRPr="005D540C">
        <w:rPr>
          <w:rFonts w:hint="eastAsia" w:ascii="宋体" w:hAnsi="宋体" w:eastAsia="宋体" w:cs="宋体"/>
          <w:color w:val="191919"/>
          <w:sz w:val="20"/>
          <w:szCs w:val="20"/>
        </w:rPr>
        <w:t>治疗</w:t>
      </w:r>
      <w:r w:rsidRPr="00850ED1">
        <w:rPr>
          <w:rFonts w:hint="eastAsia" w:ascii="宋体" w:hAnsi="宋体" w:eastAsia="宋体" w:cs="宋体"/>
          <w:color w:val="191919"/>
          <w:sz w:val="20"/>
          <w:szCs w:val="20"/>
          <w:highlight w:val="yellow"/>
        </w:rPr>
        <w:t>既往接受至少两种化疗方案</w:t>
      </w:r>
      <w:r w:rsidRPr="005D540C">
        <w:rPr>
          <w:rFonts w:hint="eastAsia" w:ascii="宋体" w:hAnsi="宋体" w:eastAsia="宋体" w:cs="宋体"/>
          <w:color w:val="191919"/>
          <w:sz w:val="20"/>
          <w:szCs w:val="20"/>
        </w:rPr>
        <w:t>。既往治疗应已包括一种蒽环类和一种紫杉烷类或者辅助或转移情况。</w:t>
      </w:r>
    </w:p>
    <w:p w:rsidRPr="005D540C" w:rsidR="005D540C" w:rsidP="005D540C" w:rsidRDefault="005D540C" w14:paraId="1CDFAB11" w14:textId="77777777">
      <w:pPr>
        <w:pStyle w:val="NormalWeb"/>
        <w:shd w:val="clear" w:color="auto" w:fill="FFFFFF"/>
        <w:spacing w:before="0" w:beforeAutospacing="0" w:after="0" w:afterAutospacing="0"/>
        <w:rPr>
          <w:rFonts w:ascii="Arial" w:hAnsi="Arial" w:cs="Arial"/>
          <w:color w:val="191919"/>
          <w:sz w:val="20"/>
          <w:szCs w:val="20"/>
        </w:rPr>
      </w:pPr>
      <w:r w:rsidRPr="005D540C">
        <w:rPr>
          <w:rStyle w:val="Strong"/>
          <w:rFonts w:hint="eastAsia" w:ascii="宋体" w:hAnsi="宋体" w:eastAsia="宋体" w:cs="宋体"/>
          <w:color w:val="191919"/>
          <w:sz w:val="20"/>
          <w:szCs w:val="20"/>
          <w:bdr w:val="none" w:color="auto" w:sz="0" w:space="0" w:frame="1"/>
        </w:rPr>
        <w:t>作用机理：</w:t>
      </w:r>
    </w:p>
    <w:p w:rsidRPr="005D540C" w:rsidR="005D540C" w:rsidP="005D540C" w:rsidRDefault="005D540C" w14:paraId="4BB271FC" w14:textId="77777777">
      <w:pPr>
        <w:pStyle w:val="NormalWeb"/>
        <w:shd w:val="clear" w:color="auto" w:fill="FFFFFF"/>
        <w:spacing w:before="151" w:beforeAutospacing="0" w:after="432" w:afterAutospacing="0"/>
        <w:rPr>
          <w:rFonts w:ascii="Arial" w:hAnsi="Arial" w:cs="Arial"/>
          <w:color w:val="191919"/>
          <w:sz w:val="20"/>
          <w:szCs w:val="20"/>
        </w:rPr>
      </w:pPr>
      <w:proofErr w:type="spellStart"/>
      <w:r w:rsidRPr="005D540C">
        <w:rPr>
          <w:rFonts w:ascii="Arial" w:hAnsi="Arial" w:cs="Arial"/>
          <w:color w:val="191919"/>
          <w:sz w:val="20"/>
          <w:szCs w:val="20"/>
        </w:rPr>
        <w:t>Eribulin</w:t>
      </w:r>
      <w:proofErr w:type="spellEnd"/>
      <w:r w:rsidRPr="005D540C">
        <w:rPr>
          <w:rFonts w:hint="eastAsia" w:ascii="宋体" w:hAnsi="宋体" w:eastAsia="宋体" w:cs="宋体"/>
          <w:color w:val="191919"/>
          <w:sz w:val="20"/>
          <w:szCs w:val="20"/>
        </w:rPr>
        <w:t>抑制微管的生长阶段，而不会影响缩短相位和螯合微管蛋白进入非生产性聚集体。</w:t>
      </w:r>
      <w:r w:rsidRPr="005D540C">
        <w:rPr>
          <w:rFonts w:ascii="Arial" w:hAnsi="Arial" w:cs="Arial"/>
          <w:color w:val="191919"/>
          <w:sz w:val="20"/>
          <w:szCs w:val="20"/>
        </w:rPr>
        <w:t xml:space="preserve"> </w:t>
      </w:r>
      <w:proofErr w:type="spellStart"/>
      <w:r w:rsidRPr="005D540C">
        <w:rPr>
          <w:rFonts w:ascii="Arial" w:hAnsi="Arial" w:cs="Arial"/>
          <w:color w:val="191919"/>
          <w:sz w:val="20"/>
          <w:szCs w:val="20"/>
        </w:rPr>
        <w:t>Eribulin</w:t>
      </w:r>
      <w:proofErr w:type="spellEnd"/>
      <w:r w:rsidRPr="005D540C">
        <w:rPr>
          <w:rFonts w:hint="eastAsia" w:ascii="宋体" w:hAnsi="宋体" w:eastAsia="宋体" w:cs="宋体"/>
          <w:color w:val="191919"/>
          <w:sz w:val="20"/>
          <w:szCs w:val="20"/>
        </w:rPr>
        <w:t>经由基于微管蛋白抗有丝分裂的机制，导致</w:t>
      </w:r>
      <w:r w:rsidRPr="005D540C">
        <w:rPr>
          <w:rFonts w:ascii="Arial" w:hAnsi="Arial" w:cs="Arial"/>
          <w:color w:val="191919"/>
          <w:sz w:val="20"/>
          <w:szCs w:val="20"/>
        </w:rPr>
        <w:t>G2 / M</w:t>
      </w:r>
      <w:r w:rsidRPr="005D540C">
        <w:rPr>
          <w:rFonts w:hint="eastAsia" w:ascii="宋体" w:hAnsi="宋体" w:eastAsia="宋体" w:cs="宋体"/>
          <w:color w:val="191919"/>
          <w:sz w:val="20"/>
          <w:szCs w:val="20"/>
        </w:rPr>
        <w:t>细胞周期阻滞，有丝分裂纺锤体的破坏，以及最终的凋亡细胞死亡延长后有丝分裂阻断发挥其作用。</w:t>
      </w:r>
    </w:p>
    <w:p w:rsidRPr="005D540C" w:rsidR="005D540C" w:rsidP="005D540C" w:rsidRDefault="005D540C" w14:paraId="17CB9CFA" w14:textId="77777777">
      <w:pPr>
        <w:pStyle w:val="NormalWeb"/>
        <w:shd w:val="clear" w:color="auto" w:fill="FFFFFF"/>
        <w:spacing w:before="151" w:beforeAutospacing="0" w:after="432" w:afterAutospacing="0"/>
        <w:rPr>
          <w:rFonts w:ascii="Arial" w:hAnsi="Arial" w:cs="Arial"/>
          <w:color w:val="191919"/>
          <w:sz w:val="20"/>
          <w:szCs w:val="20"/>
        </w:rPr>
      </w:pPr>
      <w:r w:rsidRPr="005D540C">
        <w:rPr>
          <w:rFonts w:hint="eastAsia" w:ascii="宋体" w:hAnsi="宋体" w:eastAsia="宋体" w:cs="宋体"/>
          <w:color w:val="191919"/>
          <w:sz w:val="20"/>
          <w:szCs w:val="20"/>
        </w:rPr>
        <w:t>此外，人乳腺癌细胞的</w:t>
      </w:r>
      <w:proofErr w:type="spellStart"/>
      <w:r w:rsidRPr="005D540C">
        <w:rPr>
          <w:rFonts w:ascii="Arial" w:hAnsi="Arial" w:cs="Arial"/>
          <w:color w:val="191919"/>
          <w:sz w:val="20"/>
          <w:szCs w:val="20"/>
        </w:rPr>
        <w:t>eribulin</w:t>
      </w:r>
      <w:proofErr w:type="spellEnd"/>
      <w:r w:rsidRPr="005D540C">
        <w:rPr>
          <w:rFonts w:hint="eastAsia" w:ascii="宋体" w:hAnsi="宋体" w:eastAsia="宋体" w:cs="宋体"/>
          <w:color w:val="191919"/>
          <w:sz w:val="20"/>
          <w:szCs w:val="20"/>
        </w:rPr>
        <w:t>治疗引起在形态和基因表达的变化，以及在体外迁移和侵袭减小。在人乳腺癌的小鼠异种移植物模型，</w:t>
      </w:r>
      <w:proofErr w:type="spellStart"/>
      <w:r w:rsidRPr="005D540C">
        <w:rPr>
          <w:rFonts w:ascii="Arial" w:hAnsi="Arial" w:cs="Arial"/>
          <w:color w:val="191919"/>
          <w:sz w:val="20"/>
          <w:szCs w:val="20"/>
        </w:rPr>
        <w:t>eribulin</w:t>
      </w:r>
      <w:proofErr w:type="spellEnd"/>
      <w:r w:rsidRPr="005D540C">
        <w:rPr>
          <w:rFonts w:hint="eastAsia" w:ascii="宋体" w:hAnsi="宋体" w:eastAsia="宋体" w:cs="宋体"/>
          <w:color w:val="191919"/>
          <w:sz w:val="20"/>
          <w:szCs w:val="20"/>
        </w:rPr>
        <w:t>治疗与增加血管灌注和渗透性在肿瘤内核相关联，从而导致肿瘤缺氧减少，并且在与在表型的改变相关联的肿瘤标本的基因的表达的变化。</w:t>
      </w:r>
    </w:p>
    <w:p w:rsidR="00794DD3" w:rsidP="005D540C" w:rsidRDefault="00794DD3" w14:paraId="74E747C3" w14:textId="77777777">
      <w:pPr>
        <w:pStyle w:val="Heading1"/>
      </w:pPr>
      <w:r>
        <w:lastRenderedPageBreak/>
        <w:t>Study Objectives</w:t>
      </w:r>
    </w:p>
    <w:p w:rsidR="00794DD3" w:rsidP="00794DD3" w:rsidRDefault="00794DD3" w14:paraId="05AD3272" w14:textId="77777777">
      <w:r>
        <w:t xml:space="preserve">In subjects with </w:t>
      </w:r>
      <w:proofErr w:type="spellStart"/>
      <w:r>
        <w:t>mTNBC</w:t>
      </w:r>
      <w:proofErr w:type="spellEnd"/>
      <w:r>
        <w:t xml:space="preserve"> previously treated with </w:t>
      </w:r>
    </w:p>
    <w:p w:rsidR="00794DD3" w:rsidP="00794DD3" w:rsidRDefault="00794DD3" w14:paraId="7F130377" w14:textId="77777777">
      <w:pPr>
        <w:pStyle w:val="ListParagraph"/>
        <w:numPr>
          <w:ilvl w:val="0"/>
          <w:numId w:val="1"/>
        </w:numPr>
      </w:pPr>
      <w:r>
        <w:t xml:space="preserve">0 (Stratum1) or </w:t>
      </w:r>
    </w:p>
    <w:p w:rsidR="00794DD3" w:rsidP="00794DD3" w:rsidRDefault="00794DD3" w14:paraId="155DECB6" w14:textId="77777777">
      <w:pPr>
        <w:pStyle w:val="ListParagraph"/>
        <w:numPr>
          <w:ilvl w:val="0"/>
          <w:numId w:val="1"/>
        </w:numPr>
      </w:pPr>
      <w:commentRangeStart w:id="0"/>
      <w:r>
        <w:t xml:space="preserve">1 to 2 (Stratum 2) </w:t>
      </w:r>
      <w:commentRangeEnd w:id="0"/>
      <w:r w:rsidR="004510B1">
        <w:rPr>
          <w:rStyle w:val="CommentReference"/>
        </w:rPr>
        <w:commentReference w:id="0"/>
      </w:r>
    </w:p>
    <w:p w:rsidR="00990DE7" w:rsidP="00794DD3" w:rsidRDefault="00794DD3" w14:paraId="2C078E63" w14:textId="4DA229C3">
      <w:r>
        <w:t xml:space="preserve">lines of systemic anticancer therapy in the metastatic setting and currently treated with </w:t>
      </w:r>
      <w:proofErr w:type="spellStart"/>
      <w:r>
        <w:t>eribulin</w:t>
      </w:r>
      <w:proofErr w:type="spellEnd"/>
      <w:r>
        <w:t xml:space="preserve"> mesylate in combination with pembrolizumab</w:t>
      </w:r>
      <w:r w:rsidR="00F9324E">
        <w:t>.</w:t>
      </w:r>
    </w:p>
    <w:p w:rsidR="00E906D5" w:rsidP="00794DD3" w:rsidRDefault="00E906D5" w14:paraId="4CFA8E46" w14:textId="77777777"/>
    <w:p w:rsidR="00E906D5" w:rsidP="005D540C" w:rsidRDefault="00E906D5" w14:paraId="4719A117" w14:textId="0F00FBE1">
      <w:pPr>
        <w:pStyle w:val="Heading1"/>
      </w:pPr>
      <w:r w:rsidRPr="00E906D5">
        <w:t>Primary Objective</w:t>
      </w:r>
    </w:p>
    <w:p w:rsidR="00876EB3" w:rsidP="00173C42" w:rsidRDefault="00876EB3" w14:paraId="1D095B9C" w14:textId="0D297987">
      <w:pPr>
        <w:pStyle w:val="ListParagraph"/>
        <w:numPr>
          <w:ilvl w:val="0"/>
          <w:numId w:val="2"/>
        </w:numPr>
        <w:rPr>
          <w:lang w:eastAsia="zh-CN"/>
        </w:rPr>
      </w:pPr>
      <w:r>
        <w:t xml:space="preserve">For the Phase 1b part – to determine safety and tolerability of </w:t>
      </w:r>
      <w:proofErr w:type="spellStart"/>
      <w:r>
        <w:t>eribulin</w:t>
      </w:r>
      <w:proofErr w:type="spellEnd"/>
      <w:r>
        <w:t xml:space="preserve"> mesylate in combination with pembrolizumab in all subjects (</w:t>
      </w:r>
      <w:proofErr w:type="spellStart"/>
      <w:r>
        <w:t>ie</w:t>
      </w:r>
      <w:proofErr w:type="spellEnd"/>
      <w:r>
        <w:t>, Stratum 1 and 2</w:t>
      </w:r>
      <w:proofErr w:type="gramStart"/>
      <w:r>
        <w:t>).</w:t>
      </w:r>
      <w:r>
        <w:rPr>
          <w:rFonts w:hint="eastAsia"/>
          <w:lang w:eastAsia="zh-CN"/>
        </w:rPr>
        <w:t>【</w:t>
      </w:r>
      <w:proofErr w:type="gramEnd"/>
      <w:r>
        <w:rPr>
          <w:rFonts w:hint="eastAsia"/>
          <w:lang w:eastAsia="zh-CN"/>
        </w:rPr>
        <w:t>爬剂量】</w:t>
      </w:r>
    </w:p>
    <w:p w:rsidR="00876EB3" w:rsidP="00173C42" w:rsidRDefault="00876EB3" w14:paraId="4FDBFE9A" w14:textId="342D2E67">
      <w:pPr>
        <w:pStyle w:val="ListParagraph"/>
        <w:numPr>
          <w:ilvl w:val="0"/>
          <w:numId w:val="2"/>
        </w:numPr>
      </w:pPr>
      <w:r w:rsidRPr="00173C42">
        <w:rPr>
          <w:color w:val="FF0000"/>
        </w:rPr>
        <w:t xml:space="preserve">For the Phase 2 part – to evaluate objective response rate (ORR) per Response Evaluation Criteria in Solid Tumors version 1.1 (RECIST 1.1) by independent imaging review (IIR) in all </w:t>
      </w:r>
      <w:proofErr w:type="gramStart"/>
      <w:r w:rsidRPr="00173C42">
        <w:rPr>
          <w:color w:val="FF0000"/>
        </w:rPr>
        <w:t>subjects.</w:t>
      </w:r>
      <w:r w:rsidR="00173C42">
        <w:rPr>
          <w:rFonts w:hint="eastAsia"/>
          <w:lang w:eastAsia="zh-CN"/>
        </w:rPr>
        <w:t>【</w:t>
      </w:r>
      <w:proofErr w:type="gramEnd"/>
      <w:r w:rsidR="00173C42">
        <w:rPr>
          <w:rFonts w:hint="eastAsia"/>
          <w:lang w:eastAsia="zh-CN"/>
        </w:rPr>
        <w:t>P</w:t>
      </w:r>
      <w:r w:rsidR="00173C42">
        <w:rPr>
          <w:lang w:eastAsia="zh-CN"/>
        </w:rPr>
        <w:t>P</w:t>
      </w:r>
      <w:r w:rsidR="00173C42">
        <w:rPr>
          <w:rFonts w:hint="eastAsia"/>
          <w:lang w:eastAsia="zh-CN"/>
        </w:rPr>
        <w:t>要监测的主要目标】</w:t>
      </w:r>
    </w:p>
    <w:p w:rsidR="00E906D5" w:rsidP="00173C42" w:rsidRDefault="00876EB3" w14:paraId="24A304C2" w14:textId="1D3790F4">
      <w:pPr>
        <w:pStyle w:val="ListParagraph"/>
        <w:numPr>
          <w:ilvl w:val="0"/>
          <w:numId w:val="2"/>
        </w:numPr>
      </w:pPr>
      <w:r>
        <w:t>For the Phase 2 part – to evaluate ORR per RECIST 1.1 by IIR in Stratum 2 subjects and compare with the historical response rate of pembrolizumab monotherapy of 10%.</w:t>
      </w:r>
    </w:p>
    <w:p w:rsidR="0078225E" w:rsidP="00794DD3" w:rsidRDefault="0078225E" w14:paraId="34132B7E" w14:textId="77777777"/>
    <w:p w:rsidR="0078225E" w:rsidP="00C15982" w:rsidRDefault="0078225E" w14:paraId="499811F3" w14:textId="3C1A10B7">
      <w:pPr>
        <w:pStyle w:val="Heading1"/>
      </w:pPr>
      <w:r w:rsidRPr="0078225E">
        <w:t>Overall Study Design and Plan</w:t>
      </w:r>
    </w:p>
    <w:p w:rsidR="0078225E" w:rsidP="00794DD3" w:rsidRDefault="001D3391" w14:paraId="4EA1F946" w14:textId="6F6A073D">
      <w:r w:rsidRPr="001D3391">
        <w:t xml:space="preserve">Approximately 12 subjects may be enrolled in the Phase 1b part of the study.  </w:t>
      </w:r>
    </w:p>
    <w:p w:rsidR="00C14484" w:rsidP="00794DD3" w:rsidRDefault="001D3391" w14:paraId="3305B791" w14:textId="77777777">
      <w:r w:rsidRPr="001D3391">
        <w:t xml:space="preserve">Under protocol amendment 1, </w:t>
      </w:r>
      <w:r w:rsidRPr="001D3391">
        <w:rPr>
          <w:highlight w:val="yellow"/>
        </w:rPr>
        <w:t>107 subjects</w:t>
      </w:r>
      <w:r w:rsidRPr="001D3391">
        <w:t xml:space="preserve"> (including subjects in Phase 1b who are on RP2D level) were enrolled in 2 strata and received the same combination treatment at the RP2D level.  </w:t>
      </w:r>
    </w:p>
    <w:p w:rsidR="00C14484" w:rsidP="00794DD3" w:rsidRDefault="001D3391" w14:paraId="51C6F0C1" w14:textId="77777777">
      <w:r w:rsidRPr="001D3391">
        <w:t>The strata include Stratum 1</w:t>
      </w:r>
      <w:r w:rsidR="00C14484">
        <w:t xml:space="preserve"> and </w:t>
      </w:r>
      <w:r w:rsidRPr="001D3391">
        <w:t xml:space="preserve">Stratum 2.    </w:t>
      </w:r>
    </w:p>
    <w:p w:rsidR="00C51CE2" w:rsidP="00794DD3" w:rsidRDefault="001D3391" w14:paraId="74ACBA9A" w14:textId="77777777">
      <w:r w:rsidRPr="001D3391">
        <w:t xml:space="preserve">Bayesian predictive probability (PP) of response rate was used to monitor the response rate after postbaseline tumor assessments for </w:t>
      </w:r>
      <w:r w:rsidRPr="00C51CE2">
        <w:rPr>
          <w:b/>
          <w:bCs/>
          <w:color w:val="FF0000"/>
          <w:highlight w:val="yellow"/>
        </w:rPr>
        <w:t>at least 38 subjects</w:t>
      </w:r>
      <w:r w:rsidRPr="00C51CE2">
        <w:rPr>
          <w:color w:val="FF0000"/>
        </w:rPr>
        <w:t xml:space="preserve"> </w:t>
      </w:r>
      <w:r w:rsidRPr="001D3391">
        <w:t xml:space="preserve">were available.  </w:t>
      </w:r>
    </w:p>
    <w:p w:rsidR="000A429E" w:rsidP="00794DD3" w:rsidRDefault="001D3391" w14:paraId="6A50C327" w14:textId="77777777">
      <w:r w:rsidRPr="001D3391">
        <w:t xml:space="preserve">The study could be </w:t>
      </w:r>
      <w:r w:rsidRPr="00C51CE2">
        <w:rPr>
          <w:b/>
          <w:bCs/>
          <w:color w:val="FF0000"/>
          <w:highlight w:val="yellow"/>
        </w:rPr>
        <w:t>stopped early for efficacy or futility</w:t>
      </w:r>
      <w:r w:rsidRPr="00C51CE2">
        <w:rPr>
          <w:color w:val="FF0000"/>
        </w:rPr>
        <w:t xml:space="preserve"> </w:t>
      </w:r>
      <w:r w:rsidRPr="001D3391">
        <w:t xml:space="preserve">if PP crosses the prespecified boundary.  </w:t>
      </w:r>
    </w:p>
    <w:p w:rsidR="001D3391" w:rsidP="00794DD3" w:rsidRDefault="001D3391" w14:paraId="34A942D0" w14:textId="3FA6DC2A">
      <w:pPr>
        <w:rPr>
          <w:rFonts w:ascii="宋体" w:hAnsi="宋体" w:cs="宋体"/>
          <w:lang w:eastAsia="zh-CN"/>
        </w:rPr>
      </w:pPr>
      <w:r w:rsidRPr="001D3391">
        <w:t xml:space="preserve">Hence, efficacy conclusion of the primary efficacy endpoint of ORR could be made on the basis of the predictive probability prior to the full enrollment of 100 evaluable subjects in the </w:t>
      </w:r>
      <w:proofErr w:type="gramStart"/>
      <w:r w:rsidRPr="001D3391">
        <w:t>study.</w:t>
      </w:r>
      <w:r w:rsidR="00876EB3">
        <w:rPr>
          <w:rFonts w:hint="eastAsia" w:ascii="宋体" w:hAnsi="宋体" w:cs="宋体"/>
          <w:lang w:eastAsia="zh-CN"/>
        </w:rPr>
        <w:t>【</w:t>
      </w:r>
      <w:proofErr w:type="gramEnd"/>
      <w:r w:rsidR="00005D6C">
        <w:rPr>
          <w:rFonts w:hint="eastAsia" w:ascii="宋体" w:hAnsi="宋体" w:cs="宋体"/>
          <w:lang w:eastAsia="zh-CN"/>
        </w:rPr>
        <w:t>在</w:t>
      </w:r>
      <w:r w:rsidR="004B5EEC">
        <w:rPr>
          <w:rFonts w:hint="eastAsia" w:ascii="宋体" w:hAnsi="宋体" w:cs="宋体"/>
          <w:lang w:eastAsia="zh-CN"/>
        </w:rPr>
        <w:t>入满1</w:t>
      </w:r>
      <w:r w:rsidR="004B5EEC">
        <w:rPr>
          <w:rFonts w:ascii="宋体" w:hAnsi="宋体" w:cs="宋体"/>
          <w:lang w:eastAsia="zh-CN"/>
        </w:rPr>
        <w:t>00</w:t>
      </w:r>
      <w:r w:rsidR="004B5EEC">
        <w:rPr>
          <w:rFonts w:hint="eastAsia" w:ascii="宋体" w:hAnsi="宋体" w:cs="宋体"/>
          <w:lang w:eastAsia="zh-CN"/>
        </w:rPr>
        <w:t>个患者之前，可以提前做出e</w:t>
      </w:r>
      <w:r w:rsidR="004B5EEC">
        <w:rPr>
          <w:rFonts w:ascii="宋体" w:hAnsi="宋体" w:cs="宋体"/>
          <w:lang w:eastAsia="zh-CN"/>
        </w:rPr>
        <w:t>fficacy conclusion</w:t>
      </w:r>
      <w:r w:rsidR="004B5EEC">
        <w:rPr>
          <w:rFonts w:hint="eastAsia" w:ascii="宋体" w:hAnsi="宋体" w:cs="宋体"/>
          <w:lang w:eastAsia="zh-CN"/>
        </w:rPr>
        <w:t>，根据P</w:t>
      </w:r>
      <w:r w:rsidR="004B5EEC">
        <w:rPr>
          <w:rFonts w:ascii="宋体" w:hAnsi="宋体" w:cs="宋体"/>
          <w:lang w:eastAsia="zh-CN"/>
        </w:rPr>
        <w:t>P</w:t>
      </w:r>
      <w:r w:rsidR="004B5EEC">
        <w:rPr>
          <w:rFonts w:hint="eastAsia" w:ascii="宋体" w:hAnsi="宋体" w:cs="宋体"/>
          <w:lang w:eastAsia="zh-CN"/>
        </w:rPr>
        <w:t>结果</w:t>
      </w:r>
      <w:r w:rsidR="00876EB3">
        <w:rPr>
          <w:rFonts w:hint="eastAsia" w:ascii="宋体" w:hAnsi="宋体" w:cs="宋体"/>
          <w:lang w:eastAsia="zh-CN"/>
        </w:rPr>
        <w:t>】</w:t>
      </w:r>
    </w:p>
    <w:p w:rsidR="004969E8" w:rsidP="00794DD3" w:rsidRDefault="00127B63" w14:paraId="338E2C08" w14:textId="77777777">
      <w:r w:rsidRPr="00EA602B">
        <w:rPr>
          <w:color w:val="FF0000"/>
        </w:rPr>
        <w:t xml:space="preserve">There is clinical interest to have a more precise estimation of the efficacy data for </w:t>
      </w:r>
      <w:r w:rsidRPr="00EA602B">
        <w:rPr>
          <w:b/>
          <w:bCs/>
          <w:color w:val="FF0000"/>
          <w:highlight w:val="yellow"/>
        </w:rPr>
        <w:t>Stratum 2</w:t>
      </w:r>
      <w:r w:rsidRPr="00127B63">
        <w:t xml:space="preserve">.  Therefore, per protocol amendment 3, additional subjects will be added to Stratum 2 </w:t>
      </w:r>
      <w:proofErr w:type="gramStart"/>
      <w:r w:rsidRPr="00127B63">
        <w:t>in order to</w:t>
      </w:r>
      <w:proofErr w:type="gramEnd"/>
      <w:r w:rsidRPr="00127B63">
        <w:t xml:space="preserve"> include a total of 80 evaluable subjects in Stratum 2 for final analysis.  As a result, approximately 150 subjects in total (145 evaluable with 80 in Stratum 2) will be enrolled. </w:t>
      </w:r>
    </w:p>
    <w:p w:rsidR="00127B63" w:rsidP="00794DD3" w:rsidRDefault="00127B63" w14:paraId="148F003A" w14:textId="23810403">
      <w:pPr>
        <w:rPr>
          <w:lang w:eastAsia="zh-CN"/>
        </w:rPr>
      </w:pPr>
      <w:r w:rsidR="00127B63">
        <w:rPr/>
        <w:t xml:space="preserve">Per protocol amendment 4, additional subjects will be added to Stratum 2 in order to include a total of at least 100 evaluable subjects in Stratum 2 for final </w:t>
      </w:r>
      <w:r w:rsidR="00127B63">
        <w:rPr/>
        <w:t>analysis.</w:t>
      </w:r>
      <w:r w:rsidRPr="7594C872" w:rsidR="00B77D6B">
        <w:rPr>
          <w:lang w:eastAsia="zh-CN"/>
        </w:rPr>
        <w:t>【</w:t>
      </w:r>
      <w:r w:rsidRPr="7594C872" w:rsidR="00B77D6B">
        <w:rPr>
          <w:lang w:eastAsia="zh-CN"/>
        </w:rPr>
        <w:t>pro</w:t>
      </w:r>
      <w:r w:rsidRPr="7594C872" w:rsidR="00B77D6B">
        <w:rPr>
          <w:lang w:eastAsia="zh-CN"/>
        </w:rPr>
        <w:t xml:space="preserve">tocol amendment </w:t>
      </w:r>
      <w:r w:rsidRPr="7594C872" w:rsidR="009135EB">
        <w:rPr>
          <w:lang w:eastAsia="zh-CN"/>
        </w:rPr>
        <w:t>3</w:t>
      </w:r>
      <w:r w:rsidRPr="7594C872" w:rsidR="009135EB">
        <w:rPr>
          <w:lang w:eastAsia="zh-CN"/>
        </w:rPr>
        <w:t>与</w:t>
      </w:r>
      <w:r w:rsidRPr="7594C872" w:rsidR="009135EB">
        <w:rPr>
          <w:lang w:eastAsia="zh-CN"/>
        </w:rPr>
        <w:t>4</w:t>
      </w:r>
      <w:r w:rsidRPr="7594C872" w:rsidR="009135EB">
        <w:rPr>
          <w:lang w:eastAsia="zh-CN"/>
        </w:rPr>
        <w:t>都向</w:t>
      </w:r>
      <w:r w:rsidRPr="7594C872" w:rsidR="009135EB">
        <w:rPr>
          <w:lang w:eastAsia="zh-CN"/>
        </w:rPr>
        <w:t>S</w:t>
      </w:r>
      <w:r w:rsidRPr="7594C872" w:rsidR="009135EB">
        <w:rPr>
          <w:lang w:eastAsia="zh-CN"/>
        </w:rPr>
        <w:t>tratum 2</w:t>
      </w:r>
      <w:r w:rsidRPr="7594C872" w:rsidR="009135EB">
        <w:rPr>
          <w:lang w:eastAsia="zh-CN"/>
        </w:rPr>
        <w:t>增加样本量，在</w:t>
      </w:r>
      <w:r w:rsidRPr="7594C872" w:rsidR="009135EB">
        <w:rPr>
          <w:lang w:eastAsia="zh-CN"/>
        </w:rPr>
        <w:t>A</w:t>
      </w:r>
      <w:r w:rsidRPr="7594C872" w:rsidR="009135EB">
        <w:rPr>
          <w:lang w:eastAsia="zh-CN"/>
        </w:rPr>
        <w:t>mendment4</w:t>
      </w:r>
      <w:r w:rsidRPr="7594C872" w:rsidR="009135EB">
        <w:rPr>
          <w:lang w:eastAsia="zh-CN"/>
        </w:rPr>
        <w:t>时候加到</w:t>
      </w:r>
      <w:r w:rsidRPr="7594C872" w:rsidR="009135EB">
        <w:rPr>
          <w:lang w:eastAsia="zh-CN"/>
        </w:rPr>
        <w:t>1</w:t>
      </w:r>
      <w:r w:rsidRPr="7594C872" w:rsidR="009135EB">
        <w:rPr>
          <w:lang w:eastAsia="zh-CN"/>
        </w:rPr>
        <w:t>00</w:t>
      </w:r>
      <w:r w:rsidRPr="7594C872" w:rsidR="00B77D6B">
        <w:rPr>
          <w:lang w:eastAsia="zh-CN"/>
        </w:rPr>
        <w:t>】</w:t>
      </w:r>
    </w:p>
    <w:p w:rsidR="00E101C7" w:rsidP="00E101C7" w:rsidRDefault="00E101C7" w14:paraId="3F9E2A97" w14:textId="77777777">
      <w:pPr>
        <w:pStyle w:val="Heading1"/>
      </w:pPr>
      <w:r>
        <w:lastRenderedPageBreak/>
        <w:t>DETERMINATION OF SAMPLE SIZE</w:t>
      </w:r>
    </w:p>
    <w:p w:rsidR="00E101C7" w:rsidP="00E101C7" w:rsidRDefault="00E101C7" w14:paraId="31D4AFBC" w14:textId="77777777">
      <w:r>
        <w:t xml:space="preserve">A total of approximately </w:t>
      </w:r>
      <w:r w:rsidRPr="00861087">
        <w:rPr>
          <w:b/>
          <w:bCs/>
          <w:color w:val="FF0000"/>
          <w:highlight w:val="yellow"/>
        </w:rPr>
        <w:t>170 subjects (165 evaluable with 80 in Stratum 2)</w:t>
      </w:r>
      <w:r w:rsidRPr="00861087">
        <w:rPr>
          <w:color w:val="FF0000"/>
        </w:rPr>
        <w:t xml:space="preserve"> </w:t>
      </w:r>
      <w:r>
        <w:t xml:space="preserve">will be enrolled. </w:t>
      </w:r>
    </w:p>
    <w:p w:rsidRPr="00861087" w:rsidR="00671D12" w:rsidP="00E101C7" w:rsidRDefault="00671D12" w14:paraId="0AF9E5B4" w14:textId="77777777">
      <w:pPr>
        <w:rPr>
          <w:b/>
          <w:bCs/>
          <w:u w:val="single"/>
        </w:rPr>
      </w:pPr>
      <w:r w:rsidRPr="00861087">
        <w:rPr>
          <w:b/>
          <w:bCs/>
          <w:u w:val="single"/>
        </w:rPr>
        <w:t>P</w:t>
      </w:r>
      <w:r w:rsidRPr="00861087" w:rsidR="00E101C7">
        <w:rPr>
          <w:b/>
          <w:bCs/>
          <w:u w:val="single"/>
        </w:rPr>
        <w:t>rotocol amendment 1</w:t>
      </w:r>
    </w:p>
    <w:p w:rsidR="00BF5CAC" w:rsidP="00E101C7" w:rsidRDefault="00E101C7" w14:paraId="49962D3A" w14:textId="77777777">
      <w:r>
        <w:t xml:space="preserve">107 subjects including at least 6 from the Phase 1b part were enrolled in the study.  </w:t>
      </w:r>
    </w:p>
    <w:p w:rsidR="00BF5CAC" w:rsidP="00E101C7" w:rsidRDefault="00E101C7" w14:paraId="5DC3B1C3" w14:textId="77777777">
      <w:commentRangeStart w:id="1"/>
      <w:r>
        <w:t xml:space="preserve">Bayesian predictive probability was used to monitor the study after response data from the first 38 subjects were available.  </w:t>
      </w:r>
      <w:commentRangeEnd w:id="1"/>
      <w:r w:rsidR="00BF5CAC">
        <w:rPr>
          <w:rStyle w:val="CommentReference"/>
        </w:rPr>
        <w:commentReference w:id="1"/>
      </w:r>
    </w:p>
    <w:p w:rsidR="007A1A49" w:rsidP="00E101C7" w:rsidRDefault="00E101C7" w14:paraId="71BB6E43" w14:textId="77777777">
      <w:r>
        <w:t xml:space="preserve">Sample size calculation was carried out assuming the </w:t>
      </w:r>
      <w:r w:rsidRPr="006F66C2">
        <w:rPr>
          <w:b/>
          <w:bCs/>
          <w:color w:val="FF0000"/>
          <w:highlight w:val="yellow"/>
        </w:rPr>
        <w:t>historical response rate of 0.2</w:t>
      </w:r>
      <w:r>
        <w:t>.  Using simulation, the model parameters (</w:t>
      </w:r>
      <m:oMath>
        <m:sSub>
          <m:sSubPr>
            <m:ctrlPr>
              <w:rPr>
                <w:rFonts w:ascii="Cambria Math" w:hAnsi="Cambria Math"/>
                <w:b/>
                <w:bCs/>
                <w:i/>
                <w:color w:val="FF0000"/>
                <w:highlight w:val="yellow"/>
                <w:lang w:eastAsia="zh-CN"/>
              </w:rPr>
            </m:ctrlPr>
          </m:sSubPr>
          <m:e>
            <m:r>
              <m:rPr>
                <m:sty m:val="bi"/>
              </m:rPr>
              <w:rPr>
                <w:rFonts w:ascii="Cambria Math" w:hAnsi="Cambria Math"/>
                <w:color w:val="FF0000"/>
                <w:highlight w:val="yellow"/>
              </w:rPr>
              <m:t>θ</m:t>
            </m:r>
            <m:ctrlPr>
              <w:rPr>
                <w:rFonts w:ascii="Cambria Math" w:hAnsi="Cambria Math"/>
                <w:b/>
                <w:bCs/>
                <w:i/>
                <w:color w:val="FF0000"/>
                <w:highlight w:val="yellow"/>
              </w:rPr>
            </m:ctrlPr>
          </m:e>
          <m:sub>
            <m:r>
              <m:rPr>
                <m:sty m:val="bi"/>
              </m:rPr>
              <w:rPr>
                <w:rFonts w:ascii="Cambria Math" w:hAnsi="Cambria Math"/>
                <w:color w:val="FF0000"/>
                <w:highlight w:val="yellow"/>
              </w:rPr>
              <m:t>L</m:t>
            </m:r>
          </m:sub>
        </m:sSub>
        <m:r>
          <m:rPr>
            <m:sty m:val="bi"/>
          </m:rPr>
          <w:rPr>
            <w:rFonts w:ascii="Cambria Math" w:hAnsi="Cambria Math"/>
            <w:color w:val="FF0000"/>
            <w:highlight w:val="yellow"/>
          </w:rPr>
          <m:t>=0.025</m:t>
        </m:r>
      </m:oMath>
      <w:r w:rsidRPr="001705E9">
        <w:rPr>
          <w:b/>
          <w:bCs/>
          <w:color w:val="FF0000"/>
          <w:highlight w:val="yellow"/>
        </w:rPr>
        <w:t xml:space="preserve">, </w:t>
      </w:r>
      <m:oMath>
        <m:sSub>
          <m:sSubPr>
            <m:ctrlPr>
              <w:rPr>
                <w:rFonts w:ascii="Cambria Math" w:hAnsi="Cambria Math"/>
                <w:b/>
                <w:bCs/>
                <w:i/>
                <w:color w:val="FF0000"/>
                <w:highlight w:val="yellow"/>
              </w:rPr>
            </m:ctrlPr>
          </m:sSubPr>
          <m:e>
            <m:r>
              <m:rPr>
                <m:sty m:val="bi"/>
              </m:rPr>
              <w:rPr>
                <w:rFonts w:ascii="Cambria Math" w:hAnsi="Cambria Math"/>
                <w:color w:val="FF0000"/>
                <w:highlight w:val="yellow"/>
              </w:rPr>
              <m:t>θ</m:t>
            </m:r>
          </m:e>
          <m:sub>
            <m:r>
              <m:rPr>
                <m:sty m:val="bi"/>
              </m:rPr>
              <w:rPr>
                <w:rFonts w:ascii="Cambria Math" w:hAnsi="Cambria Math"/>
                <w:color w:val="FF0000"/>
                <w:highlight w:val="yellow"/>
              </w:rPr>
              <m:t>U</m:t>
            </m:r>
          </m:sub>
        </m:sSub>
        <m:r>
          <m:rPr>
            <m:sty m:val="bi"/>
          </m:rPr>
          <w:rPr>
            <w:rFonts w:ascii="Cambria Math" w:hAnsi="Cambria Math"/>
            <w:color w:val="FF0000"/>
            <w:highlight w:val="yellow"/>
          </w:rPr>
          <m:t>=0.99</m:t>
        </m:r>
      </m:oMath>
      <w:r w:rsidRPr="001705E9">
        <w:rPr>
          <w:b/>
          <w:bCs/>
          <w:color w:val="FF0000"/>
          <w:highlight w:val="yellow"/>
        </w:rPr>
        <w:t xml:space="preserve">, and </w:t>
      </w:r>
      <m:oMath>
        <m:sSub>
          <m:sSubPr>
            <m:ctrlPr>
              <w:rPr>
                <w:rFonts w:ascii="Cambria Math" w:hAnsi="Cambria Math"/>
                <w:b/>
                <w:bCs/>
                <w:i/>
                <w:color w:val="FF0000"/>
                <w:highlight w:val="yellow"/>
              </w:rPr>
            </m:ctrlPr>
          </m:sSubPr>
          <m:e>
            <m:r>
              <m:rPr>
                <m:sty m:val="bi"/>
              </m:rPr>
              <w:rPr>
                <w:rFonts w:hint="eastAsia" w:ascii="Cambria Math" w:hAnsi="Cambria Math"/>
                <w:color w:val="FF0000"/>
                <w:highlight w:val="yellow"/>
              </w:rPr>
              <m:t>θ</m:t>
            </m:r>
            <m:ctrlPr>
              <w:rPr>
                <w:rFonts w:hint="eastAsia" w:ascii="Cambria Math" w:hAnsi="Cambria Math"/>
                <w:b/>
                <w:bCs/>
                <w:i/>
                <w:color w:val="FF0000"/>
                <w:highlight w:val="yellow"/>
              </w:rPr>
            </m:ctrlPr>
          </m:e>
          <m:sub>
            <m:r>
              <m:rPr>
                <m:sty m:val="bi"/>
              </m:rPr>
              <w:rPr>
                <w:rFonts w:ascii="Cambria Math" w:hAnsi="Cambria Math"/>
                <w:color w:val="FF0000"/>
                <w:highlight w:val="yellow"/>
              </w:rPr>
              <m:t>T</m:t>
            </m:r>
          </m:sub>
        </m:sSub>
        <m:r>
          <m:rPr>
            <m:sty m:val="bi"/>
          </m:rPr>
          <w:rPr>
            <w:rFonts w:ascii="Cambria Math" w:hAnsi="Cambria Math"/>
            <w:color w:val="FF0000"/>
            <w:highlight w:val="yellow"/>
          </w:rPr>
          <m:t>=0.95</m:t>
        </m:r>
      </m:oMath>
      <w:r>
        <w:t xml:space="preserve">) were calibrated such that </w:t>
      </w:r>
    </w:p>
    <w:p w:rsidR="007A1A49" w:rsidP="007A1A49" w:rsidRDefault="00E101C7" w14:paraId="185F3415" w14:textId="77777777">
      <w:pPr>
        <w:pStyle w:val="ListParagraph"/>
        <w:numPr>
          <w:ilvl w:val="0"/>
          <w:numId w:val="3"/>
        </w:numPr>
      </w:pPr>
      <w:r>
        <w:t xml:space="preserve">the </w:t>
      </w:r>
      <w:r w:rsidRPr="007A1A49">
        <w:rPr>
          <w:b/>
          <w:bCs/>
          <w:color w:val="FF0000"/>
        </w:rPr>
        <w:t>frequentist 1-sided Type I error was 0.0326</w:t>
      </w:r>
      <w:r>
        <w:t xml:space="preserve"> when the tumor response rate in the combination regimen was </w:t>
      </w:r>
      <w:proofErr w:type="gramStart"/>
      <w:r>
        <w:t>0.2  (</w:t>
      </w:r>
      <w:proofErr w:type="gramEnd"/>
      <w:r>
        <w:t xml:space="preserve">under frequentist’s null hypothesis H0), </w:t>
      </w:r>
    </w:p>
    <w:p w:rsidR="007A1A49" w:rsidP="007A1A49" w:rsidRDefault="00E101C7" w14:paraId="02E19E56" w14:textId="77777777">
      <w:pPr>
        <w:pStyle w:val="ListParagraph"/>
        <w:numPr>
          <w:ilvl w:val="0"/>
          <w:numId w:val="3"/>
        </w:numPr>
      </w:pPr>
      <w:r>
        <w:t xml:space="preserve">and </w:t>
      </w:r>
      <w:r w:rsidRPr="007A1A49">
        <w:rPr>
          <w:b/>
          <w:bCs/>
          <w:color w:val="FF0000"/>
        </w:rPr>
        <w:t>the power was 0.9278</w:t>
      </w:r>
      <w:r>
        <w:t xml:space="preserve"> when the response rate was 0.35 (under frequentist’s alternative hypothesis Ha).  </w:t>
      </w:r>
    </w:p>
    <w:p w:rsidR="00B16365" w:rsidP="00E101C7" w:rsidRDefault="00E101C7" w14:paraId="42D8A7F7" w14:textId="77777777">
      <w:r>
        <w:t xml:space="preserve">The expected numbers of subjects needed to reach the decisions were </w:t>
      </w:r>
      <w:r w:rsidRPr="008B469D">
        <w:rPr>
          <w:b/>
          <w:bCs/>
          <w:color w:val="FF0000"/>
          <w:highlight w:val="yellow"/>
        </w:rPr>
        <w:t>56 and 61 when p=0.2</w:t>
      </w:r>
      <w:r>
        <w:t xml:space="preserve"> (under H0) and 0.35 (under Ha), respectively.  </w:t>
      </w:r>
    </w:p>
    <w:p w:rsidR="00885ED4" w:rsidP="00E101C7" w:rsidRDefault="00885ED4" w14:paraId="088527F9" w14:textId="77777777"/>
    <w:p w:rsidR="00E101C7" w:rsidP="00E101C7" w:rsidRDefault="00E101C7" w14:paraId="42648F8C" w14:textId="46DE6ADC">
      <w:r>
        <w:t xml:space="preserve">A </w:t>
      </w:r>
      <w:r w:rsidRPr="007564F5">
        <w:rPr>
          <w:b/>
          <w:bCs/>
          <w:color w:val="FF0000"/>
          <w:highlight w:val="yellow"/>
        </w:rPr>
        <w:t>vague beta prior distribution for response rate, p</w:t>
      </w:r>
      <w:r>
        <w:t xml:space="preserve">, was specified in PP calculation; that is, </w:t>
      </w:r>
      <m:oMath>
        <m:r>
          <m:rPr>
            <m:sty m:val="bi"/>
          </m:rPr>
          <w:rPr>
            <w:rFonts w:ascii="Cambria Math" w:hAnsi="Cambria Math"/>
            <w:color w:val="FF0000"/>
            <w:highlight w:val="yellow"/>
          </w:rPr>
          <m:t>p~beta (0.2, 0.8)</m:t>
        </m:r>
      </m:oMath>
      <w:r>
        <w:t xml:space="preserve">.  PP was updated for </w:t>
      </w:r>
      <w:r w:rsidRPr="007564F5">
        <w:rPr>
          <w:b/>
          <w:bCs/>
          <w:color w:val="FF0000"/>
          <w:highlight w:val="yellow"/>
        </w:rPr>
        <w:t>every 3 new subjects in the simulations</w:t>
      </w:r>
      <w:r>
        <w:t>, which mimics the group sequential</w:t>
      </w:r>
      <w:r>
        <w:rPr>
          <w:rFonts w:hint="eastAsia"/>
        </w:rPr>
        <w:t xml:space="preserve"> decision making in a real trial setting.  </w:t>
      </w:r>
      <w:r w:rsidRPr="00BC51BD">
        <w:rPr>
          <w:rFonts w:hint="eastAsia"/>
          <w:b/>
          <w:bCs/>
        </w:rPr>
        <w:t xml:space="preserve">Without Bayesian interim monitoring, the Type I error was estimated as 0.0358, and power was estimated as 0.9418 in demonstrating posterior probability P(p&gt;0.2|data) </w:t>
      </w:r>
      <w:r w:rsidRPr="00BC51BD">
        <w:rPr>
          <w:rFonts w:hint="eastAsia"/>
          <w:b/>
          <w:bCs/>
        </w:rPr>
        <w:t>≥</w:t>
      </w:r>
      <w:r w:rsidRPr="00BC51BD">
        <w:rPr>
          <w:rFonts w:hint="eastAsia"/>
          <w:b/>
          <w:bCs/>
        </w:rPr>
        <w:t>0.95.</w:t>
      </w:r>
      <w:r>
        <w:rPr>
          <w:rFonts w:hint="eastAsia"/>
        </w:rPr>
        <w:t xml:space="preserve">  Five thousand simulations were run to e</w:t>
      </w:r>
      <w:r>
        <w:t>stimate these design characteristics.</w:t>
      </w:r>
    </w:p>
    <w:p w:rsidRPr="00861087" w:rsidR="00861087" w:rsidP="00E101C7" w:rsidRDefault="00E101C7" w14:paraId="5F6A07DA" w14:textId="77777777">
      <w:pPr>
        <w:rPr>
          <w:b/>
          <w:bCs/>
          <w:u w:val="single"/>
        </w:rPr>
      </w:pPr>
      <w:r w:rsidRPr="00861087">
        <w:rPr>
          <w:b/>
          <w:bCs/>
          <w:u w:val="single"/>
        </w:rPr>
        <w:t>Protocol amendment 3</w:t>
      </w:r>
    </w:p>
    <w:p w:rsidR="00E101C7" w:rsidP="00E101C7" w:rsidRDefault="00861087" w14:paraId="26E3C800" w14:textId="01BC0F84">
      <w:commentRangeStart w:id="2"/>
      <w:r>
        <w:t>A</w:t>
      </w:r>
      <w:r w:rsidR="00E101C7">
        <w:t xml:space="preserve">dditional subjects will be enrolled to ensure 80 evaluable subjects in Stratum 2. Using binomial exact test, the power is 0.92 with 80 evaluable subjects to demonstrate statistical significance at 1-sided alpha of 0.025 for the assumptions of H0: ORR=0.10 vs. Ha: ORR=0.25.  With 80 subjects, the 95% confidence interval for ORR from binomial distribution will be 0.160-0.359 if the observed ORR is 0.25. </w:t>
      </w:r>
      <w:commentRangeEnd w:id="2"/>
      <w:r w:rsidR="00431FC8">
        <w:rPr>
          <w:rStyle w:val="CommentReference"/>
        </w:rPr>
        <w:commentReference w:id="2"/>
      </w:r>
    </w:p>
    <w:p w:rsidRPr="00861087" w:rsidR="00861087" w:rsidP="00E101C7" w:rsidRDefault="00E101C7" w14:paraId="077A592A" w14:textId="77777777">
      <w:pPr>
        <w:rPr>
          <w:b/>
          <w:bCs/>
          <w:u w:val="single"/>
        </w:rPr>
      </w:pPr>
      <w:r w:rsidRPr="00861087">
        <w:rPr>
          <w:b/>
          <w:bCs/>
          <w:u w:val="single"/>
        </w:rPr>
        <w:t>Protocol amendment 4</w:t>
      </w:r>
    </w:p>
    <w:p w:rsidR="00E101C7" w:rsidP="00E101C7" w:rsidRDefault="00861087" w14:paraId="13377AC3" w14:textId="7BBB59E0">
      <w:commentRangeStart w:id="3"/>
      <w:r>
        <w:t>A</w:t>
      </w:r>
      <w:r w:rsidR="00E101C7">
        <w:t xml:space="preserve">dditional subjects will be added to Stratum 2 </w:t>
      </w:r>
      <w:proofErr w:type="gramStart"/>
      <w:r w:rsidR="00E101C7">
        <w:t>in order to</w:t>
      </w:r>
      <w:proofErr w:type="gramEnd"/>
      <w:r w:rsidR="00E101C7">
        <w:t xml:space="preserve"> include a total of at least 100 evaluable subjects in Stratum 2 for final analysis.</w:t>
      </w:r>
      <w:commentRangeEnd w:id="3"/>
      <w:r w:rsidR="004A09A4">
        <w:rPr>
          <w:rStyle w:val="CommentReference"/>
        </w:rPr>
        <w:commentReference w:id="3"/>
      </w:r>
    </w:p>
    <w:p w:rsidR="00B0401E" w:rsidP="00E101C7" w:rsidRDefault="00B0401E" w14:paraId="68D2A262" w14:textId="77777777"/>
    <w:p w:rsidR="00B0401E" w:rsidP="00BB2565" w:rsidRDefault="00B0401E" w14:paraId="3B2A0CC9" w14:textId="3E093894">
      <w:pPr>
        <w:pStyle w:val="Heading1"/>
      </w:pPr>
      <w:r w:rsidRPr="00B0401E">
        <w:t>Primary Efficacy Analyses</w:t>
      </w:r>
      <w:r w:rsidR="002216B7">
        <w:t xml:space="preserve"> (</w:t>
      </w:r>
      <w:r w:rsidRPr="002216B7" w:rsidR="002216B7">
        <w:t>ORR in All Subjects</w:t>
      </w:r>
      <w:r w:rsidR="002216B7">
        <w:t>)</w:t>
      </w:r>
    </w:p>
    <w:p w:rsidR="00B0401E" w:rsidP="00E101C7" w:rsidRDefault="005976B9" w14:paraId="400065F6" w14:textId="65638401">
      <w:r w:rsidRPr="005976B9">
        <w:t>Bayesian predictive probability (PP) design was used in original study design (</w:t>
      </w:r>
      <w:commentRangeStart w:id="4"/>
      <w:r w:rsidRPr="005976B9">
        <w:t>Yin, 2012</w:t>
      </w:r>
      <w:commentRangeEnd w:id="4"/>
      <w:r w:rsidR="00E31B67">
        <w:rPr>
          <w:rStyle w:val="CommentReference"/>
        </w:rPr>
        <w:commentReference w:id="4"/>
      </w:r>
      <w:r w:rsidRPr="005976B9">
        <w:t xml:space="preserve">). Under original design, in the combined Stratum 1 and 2 subjects, the ORR value per RECIST 1.1 by IIR was assumed to be </w:t>
      </w:r>
      <w:r w:rsidRPr="00FF07D3">
        <w:rPr>
          <w:b/>
          <w:bCs/>
          <w:color w:val="FF0000"/>
          <w:highlight w:val="yellow"/>
        </w:rPr>
        <w:t>0.20</w:t>
      </w:r>
      <w:r w:rsidRPr="005976B9">
        <w:t xml:space="preserve"> for the historical control (see Table 1 footnote a in protocol amendment 04) and the ORR in this trial was expected to be </w:t>
      </w:r>
      <w:r w:rsidRPr="00FF07D3">
        <w:rPr>
          <w:b/>
          <w:bCs/>
          <w:color w:val="FF0000"/>
          <w:highlight w:val="yellow"/>
        </w:rPr>
        <w:t>0.35</w:t>
      </w:r>
      <w:r w:rsidRPr="005976B9">
        <w:t xml:space="preserve">. Under protocol amendment 1, approximately 100 evaluable subjects were </w:t>
      </w:r>
      <w:r w:rsidRPr="005976B9">
        <w:lastRenderedPageBreak/>
        <w:t xml:space="preserve">expected to be enrolled. Bayesian PP was used to monitor the response rate after postbaseline tumor assessments of at least 38 subjects were available.  The calculation of PP was based on the goal of </w:t>
      </w:r>
      <w:r w:rsidRPr="00A85405">
        <w:rPr>
          <w:b/>
          <w:bCs/>
          <w:color w:val="FF0000"/>
          <w:highlight w:val="yellow"/>
        </w:rPr>
        <w:t>claiming superiority of the combination therapy at the end of the study</w:t>
      </w:r>
      <w:r w:rsidRPr="005976B9">
        <w:t xml:space="preserve"> if</w:t>
      </w:r>
    </w:p>
    <w:p w:rsidR="005976B9" w:rsidP="00E101C7" w:rsidRDefault="00A85405" w14:paraId="75CF5FF3" w14:textId="42A15A77">
      <m:oMathPara>
        <m:oMath>
          <m:r>
            <w:rPr>
              <w:rFonts w:hint="eastAsia" w:ascii="Cambria Math" w:hAnsi="Cambria Math"/>
            </w:rPr>
            <m:t>P(p&gt;0.2|data)</m:t>
          </m:r>
          <m:r>
            <w:rPr>
              <w:rFonts w:hint="eastAsia" w:ascii="Cambria Math" w:hAnsi="Cambria Math"/>
            </w:rPr>
            <m:t>≥</m:t>
          </m:r>
          <m:r>
            <w:rPr>
              <w:rFonts w:hint="eastAsia" w:ascii="Cambria Math" w:hAnsi="Cambria Math"/>
            </w:rPr>
            <m:t>0.95</m:t>
          </m:r>
        </m:oMath>
      </m:oMathPara>
    </w:p>
    <w:p w:rsidR="00016C9C" w:rsidP="00E101C7" w:rsidRDefault="005976B9" w14:paraId="25658BEA" w14:textId="77777777">
      <w:proofErr w:type="gramStart"/>
      <w:r w:rsidRPr="005976B9">
        <w:t>where</w:t>
      </w:r>
      <w:proofErr w:type="gramEnd"/>
      <w:r w:rsidRPr="005976B9">
        <w:t xml:space="preserve"> </w:t>
      </w:r>
    </w:p>
    <w:p w:rsidR="00016C9C" w:rsidP="00FE3481" w:rsidRDefault="00FE3481" w14:paraId="1C945617" w14:textId="097D832F">
      <w:pPr>
        <w:pStyle w:val="ListParagraph"/>
        <w:numPr>
          <w:ilvl w:val="0"/>
          <w:numId w:val="4"/>
        </w:numPr>
      </w:pPr>
      <m:oMath>
        <m:r>
          <w:rPr>
            <w:rFonts w:ascii="Cambria Math" w:hAnsi="Cambria Math"/>
          </w:rPr>
          <m:t>p</m:t>
        </m:r>
      </m:oMath>
      <w:r w:rsidRPr="005976B9" w:rsidR="005976B9">
        <w:t xml:space="preserve"> was the response rate of the combination therapy, </w:t>
      </w:r>
    </w:p>
    <w:p w:rsidR="00016C9C" w:rsidP="00FE3481" w:rsidRDefault="005976B9" w14:paraId="773AE8FB" w14:textId="77777777">
      <w:pPr>
        <w:pStyle w:val="ListParagraph"/>
        <w:numPr>
          <w:ilvl w:val="0"/>
          <w:numId w:val="4"/>
        </w:numPr>
      </w:pPr>
      <w:r w:rsidRPr="005976B9">
        <w:t xml:space="preserve">0.2 was the </w:t>
      </w:r>
      <w:r w:rsidRPr="00015081">
        <w:rPr>
          <w:b/>
          <w:bCs/>
        </w:rPr>
        <w:t>response rate of historical control</w:t>
      </w:r>
      <w:r w:rsidRPr="005976B9">
        <w:t xml:space="preserve"> based on single agents pembrolizumab and </w:t>
      </w:r>
      <w:proofErr w:type="spellStart"/>
      <w:r w:rsidRPr="005976B9">
        <w:t>eribulin</w:t>
      </w:r>
      <w:proofErr w:type="spellEnd"/>
      <w:r w:rsidRPr="005976B9">
        <w:t xml:space="preserve"> in recent trials (Table 1 in Protocol Amendment 4), </w:t>
      </w:r>
    </w:p>
    <w:p w:rsidR="00FE3481" w:rsidP="00FE3481" w:rsidRDefault="005976B9" w14:paraId="46DFE868" w14:textId="74F65714">
      <w:pPr>
        <w:pStyle w:val="ListParagraph"/>
        <w:numPr>
          <w:ilvl w:val="0"/>
          <w:numId w:val="4"/>
        </w:numPr>
      </w:pPr>
      <w:r w:rsidRPr="005976B9">
        <w:t>0.95 was the prespecified target probability (</w:t>
      </w:r>
      <m:oMath>
        <m:sSub>
          <m:sSubPr>
            <m:ctrlPr>
              <w:rPr>
                <w:rFonts w:ascii="Cambria Math" w:hAnsi="Cambria Math"/>
                <w:i/>
                <w:lang w:eastAsia="zh-CN"/>
              </w:rPr>
            </m:ctrlPr>
          </m:sSubPr>
          <m:e>
            <m:r>
              <w:rPr>
                <w:rFonts w:ascii="Cambria Math" w:hAnsi="Cambria Math"/>
              </w:rPr>
              <m:t>θ</m:t>
            </m:r>
            <m:ctrlPr>
              <w:rPr>
                <w:rFonts w:ascii="Cambria Math" w:hAnsi="Cambria Math"/>
                <w:i/>
              </w:rPr>
            </m:ctrlPr>
          </m:e>
          <m:sub>
            <m:r>
              <w:rPr>
                <w:rFonts w:ascii="Cambria Math" w:hAnsi="Cambria Math"/>
              </w:rPr>
              <m:t>T</m:t>
            </m:r>
          </m:sub>
        </m:sSub>
      </m:oMath>
      <w:r w:rsidRPr="005976B9">
        <w:t xml:space="preserve">), </w:t>
      </w:r>
    </w:p>
    <w:p w:rsidR="008E7E33" w:rsidP="00FE3481" w:rsidRDefault="00FE3481" w14:paraId="103B58A0" w14:textId="77777777">
      <w:pPr>
        <w:pStyle w:val="ListParagraph"/>
        <w:numPr>
          <w:ilvl w:val="0"/>
          <w:numId w:val="4"/>
        </w:numPr>
      </w:pPr>
      <m:oMath>
        <m:r>
          <w:rPr>
            <w:rFonts w:ascii="Cambria Math" w:hAnsi="Cambria Math"/>
          </w:rPr>
          <m:t>P(p&gt;0.2|data)</m:t>
        </m:r>
      </m:oMath>
      <w:r w:rsidRPr="005976B9" w:rsidR="005976B9">
        <w:t xml:space="preserve"> is the posterior probability. </w:t>
      </w:r>
    </w:p>
    <w:p w:rsidR="00FE3481" w:rsidP="008E7E33" w:rsidRDefault="008E7E33" w14:paraId="36E5F902" w14:textId="62B12BAF">
      <w:commentRangeStart w:id="5"/>
      <w:r w:rsidRPr="008E7E33">
        <w:t xml:space="preserve">Without any interim analysis, the trial requires the posterior probability of </w:t>
      </w:r>
      <m:oMath>
        <m:r>
          <w:rPr>
            <w:rFonts w:ascii="Cambria Math" w:hAnsi="Cambria Math"/>
          </w:rPr>
          <m:t>p&gt;0.2</m:t>
        </m:r>
      </m:oMath>
      <w:r w:rsidRPr="008E7E33">
        <w:t xml:space="preserve"> to be at least 0.95 at the end of the trial </w:t>
      </w:r>
      <w:proofErr w:type="gramStart"/>
      <w:r w:rsidRPr="008E7E33">
        <w:t>in order to</w:t>
      </w:r>
      <w:proofErr w:type="gramEnd"/>
      <w:r w:rsidRPr="008E7E33">
        <w:t xml:space="preserve"> demonstrate the superiority of combination therapy over historical</w:t>
      </w:r>
      <w:r>
        <w:t xml:space="preserve"> </w:t>
      </w:r>
      <w:r w:rsidRPr="008E7E33">
        <w:t>control.</w:t>
      </w:r>
      <w:r w:rsidRPr="005976B9" w:rsidR="005976B9">
        <w:t xml:space="preserve"> </w:t>
      </w:r>
      <w:commentRangeEnd w:id="5"/>
      <w:r w:rsidR="002C2FA5">
        <w:rPr>
          <w:rStyle w:val="CommentReference"/>
        </w:rPr>
        <w:commentReference w:id="5"/>
      </w:r>
    </w:p>
    <w:p w:rsidR="00656008" w:rsidP="008E7E33" w:rsidRDefault="009F38AE" w14:paraId="277D4F95" w14:textId="77777777">
      <w:r w:rsidRPr="009F38AE">
        <w:t xml:space="preserve">Since interim monitoring is implemented in the trial, Bayesian predictive probability (PP) is calculated when there are 38 patients in the </w:t>
      </w:r>
      <w:r w:rsidRPr="00586408">
        <w:rPr>
          <w:b/>
          <w:bCs/>
          <w:color w:val="FF0000"/>
          <w:highlight w:val="yellow"/>
        </w:rPr>
        <w:t>Interim Analysis Set (definition in interim analysis section)</w:t>
      </w:r>
      <w:r w:rsidRPr="00586408">
        <w:rPr>
          <w:color w:val="FF0000"/>
        </w:rPr>
        <w:t xml:space="preserve"> </w:t>
      </w:r>
      <w:r w:rsidRPr="009F38AE">
        <w:t xml:space="preserve">to evaluate how likely the trial would complete its full enrollment. </w:t>
      </w:r>
    </w:p>
    <w:p w:rsidR="0064448F" w:rsidP="00E101C7" w:rsidRDefault="009F38AE" w14:paraId="447C9851" w14:textId="67C76084">
      <w:r w:rsidRPr="009F38AE">
        <w:t xml:space="preserve">Specifically, </w:t>
      </w:r>
      <w:proofErr w:type="gramStart"/>
      <w:r w:rsidR="00656008">
        <w:rPr>
          <w:rFonts w:hint="eastAsia"/>
          <w:lang w:eastAsia="zh-CN"/>
        </w:rPr>
        <w:t>o</w:t>
      </w:r>
      <w:r w:rsidR="00656008">
        <w:rPr>
          <w:lang w:eastAsia="zh-CN"/>
        </w:rPr>
        <w:t xml:space="preserve">n </w:t>
      </w:r>
      <w:r w:rsidRPr="005976B9" w:rsidR="005976B9">
        <w:t>the basis of</w:t>
      </w:r>
      <w:proofErr w:type="gramEnd"/>
      <w:r w:rsidRPr="005976B9" w:rsidR="005976B9">
        <w:t xml:space="preserve"> the accumulated data up to time of data monitor in the study, the probabilities of all possible future outcomes that lead to </w:t>
      </w:r>
      <w:commentRangeStart w:id="6"/>
      <w:r w:rsidRPr="005976B9" w:rsidR="005976B9">
        <w:t xml:space="preserve">equation (1) </w:t>
      </w:r>
      <w:commentRangeEnd w:id="6"/>
      <w:r w:rsidR="00FB5A5F">
        <w:rPr>
          <w:rStyle w:val="CommentReference"/>
        </w:rPr>
        <w:commentReference w:id="6"/>
      </w:r>
      <w:r w:rsidRPr="005976B9" w:rsidR="005976B9">
        <w:t xml:space="preserve">at the end of the study would be added in order to obtain the predictive probability as given in </w:t>
      </w:r>
      <w:commentRangeStart w:id="7"/>
      <w:commentRangeStart w:id="8"/>
      <w:r w:rsidRPr="005976B9" w:rsidR="005976B9">
        <w:t xml:space="preserve">(2) </w:t>
      </w:r>
      <w:commentRangeEnd w:id="7"/>
      <w:r w:rsidR="0054291C">
        <w:rPr>
          <w:rStyle w:val="CommentReference"/>
        </w:rPr>
        <w:commentReference w:id="7"/>
      </w:r>
      <w:commentRangeEnd w:id="8"/>
      <w:r w:rsidR="0064448F">
        <w:rPr>
          <w:rStyle w:val="CommentReference"/>
        </w:rPr>
        <w:commentReference w:id="8"/>
      </w:r>
      <w:r w:rsidRPr="005976B9" w:rsidR="005976B9">
        <w:t xml:space="preserve">below.  </w:t>
      </w:r>
    </w:p>
    <w:p w:rsidR="00082533" w:rsidP="00E101C7" w:rsidRDefault="005976B9" w14:paraId="0BE0E311" w14:textId="77777777">
      <w:r w:rsidRPr="005976B9">
        <w:t>Therefore, early decision of study termination prior to reaching approximately 100 evaluable subjects was possible for claiming the combination therapy is promising when PP is above a prespecified upper threshold (</w:t>
      </w:r>
      <m:oMath>
        <m:sSub>
          <m:sSubPr>
            <m:ctrlPr>
              <w:rPr>
                <w:rFonts w:ascii="Cambria Math" w:hAnsi="Cambria Math"/>
                <w:i/>
              </w:rPr>
            </m:ctrlPr>
          </m:sSubPr>
          <m:e>
            <m:r>
              <w:rPr>
                <w:rFonts w:ascii="Cambria Math" w:hAnsi="Cambria Math"/>
              </w:rPr>
              <m:t>θ</m:t>
            </m:r>
          </m:e>
          <m:sub>
            <m:r>
              <w:rPr>
                <w:rFonts w:ascii="Cambria Math" w:hAnsi="Cambria Math"/>
              </w:rPr>
              <m:t>U</m:t>
            </m:r>
          </m:sub>
        </m:sSub>
      </m:oMath>
      <w:r w:rsidRPr="005976B9">
        <w:t>) or for claiming futility when PP is below a prespecified lower threshold (</w:t>
      </w:r>
      <m:oMath>
        <m:sSub>
          <m:sSubPr>
            <m:ctrlPr>
              <w:rPr>
                <w:rFonts w:ascii="Cambria Math" w:hAnsi="Cambria Math"/>
                <w:i/>
              </w:rPr>
            </m:ctrlPr>
          </m:sSubPr>
          <m:e>
            <m:r>
              <w:rPr>
                <w:rFonts w:ascii="Cambria Math" w:hAnsi="Cambria Math"/>
              </w:rPr>
              <m:t>θ</m:t>
            </m:r>
          </m:e>
          <m:sub>
            <m:r>
              <w:rPr>
                <w:rFonts w:ascii="Cambria Math" w:hAnsi="Cambria Math"/>
              </w:rPr>
              <m:t>L</m:t>
            </m:r>
          </m:sub>
        </m:sSub>
      </m:oMath>
      <w:r w:rsidRPr="005976B9">
        <w:t xml:space="preserve">).  </w:t>
      </w:r>
    </w:p>
    <w:p w:rsidR="005976B9" w:rsidP="00E101C7" w:rsidRDefault="005976B9" w14:paraId="050D8D09" w14:textId="45AF18D5">
      <w:r w:rsidRPr="005976B9">
        <w:t xml:space="preserve">The </w:t>
      </w:r>
      <w:r w:rsidRPr="00082533">
        <w:rPr>
          <w:b/>
          <w:bCs/>
          <w:color w:val="FF0000"/>
          <w:highlight w:val="yellow"/>
        </w:rPr>
        <w:t>upper and lower cutoff probabilities for decision-making,</w:t>
      </w:r>
      <w:r w:rsidRPr="00082533">
        <w:rPr>
          <w:color w:val="FF0000"/>
        </w:rPr>
        <w:t xml:space="preserve"> </w:t>
      </w:r>
      <m:oMath>
        <m:sSub>
          <m:sSubPr>
            <m:ctrlPr>
              <w:rPr>
                <w:rFonts w:ascii="Cambria Math" w:hAnsi="Cambria Math"/>
                <w:b/>
                <w:bCs/>
                <w:i/>
                <w:color w:val="FF0000"/>
                <w:highlight w:val="yellow"/>
              </w:rPr>
            </m:ctrlPr>
          </m:sSubPr>
          <m:e>
            <m:r>
              <m:rPr>
                <m:sty m:val="bi"/>
              </m:rPr>
              <w:rPr>
                <w:rFonts w:ascii="Cambria Math" w:hAnsi="Cambria Math"/>
                <w:color w:val="FF0000"/>
                <w:highlight w:val="yellow"/>
              </w:rPr>
              <m:t>θ</m:t>
            </m:r>
          </m:e>
          <m:sub>
            <m:r>
              <m:rPr>
                <m:sty m:val="bi"/>
              </m:rPr>
              <w:rPr>
                <w:rFonts w:ascii="Cambria Math" w:hAnsi="Cambria Math"/>
                <w:color w:val="FF0000"/>
                <w:highlight w:val="yellow"/>
              </w:rPr>
              <m:t>U</m:t>
            </m:r>
          </m:sub>
        </m:sSub>
      </m:oMath>
      <w:r w:rsidRPr="00082533">
        <w:rPr>
          <w:b/>
          <w:bCs/>
          <w:color w:val="FF0000"/>
          <w:highlight w:val="yellow"/>
        </w:rPr>
        <w:t xml:space="preserve"> and </w:t>
      </w:r>
      <m:oMath>
        <m:sSub>
          <m:sSubPr>
            <m:ctrlPr>
              <w:rPr>
                <w:rFonts w:ascii="Cambria Math" w:hAnsi="Cambria Math"/>
                <w:b/>
                <w:bCs/>
                <w:i/>
                <w:color w:val="FF0000"/>
                <w:highlight w:val="yellow"/>
              </w:rPr>
            </m:ctrlPr>
          </m:sSubPr>
          <m:e>
            <m:r>
              <m:rPr>
                <m:sty m:val="bi"/>
              </m:rPr>
              <w:rPr>
                <w:rFonts w:ascii="Cambria Math" w:hAnsi="Cambria Math"/>
                <w:color w:val="FF0000"/>
                <w:highlight w:val="yellow"/>
              </w:rPr>
              <m:t>θ</m:t>
            </m:r>
          </m:e>
          <m:sub>
            <m:r>
              <m:rPr>
                <m:sty m:val="bi"/>
              </m:rPr>
              <w:rPr>
                <w:rFonts w:ascii="Cambria Math" w:hAnsi="Cambria Math"/>
                <w:color w:val="FF0000"/>
                <w:highlight w:val="yellow"/>
              </w:rPr>
              <m:t>L</m:t>
            </m:r>
          </m:sub>
        </m:sSub>
      </m:oMath>
      <w:r w:rsidRPr="00082533">
        <w:rPr>
          <w:b/>
          <w:bCs/>
          <w:color w:val="FF0000"/>
          <w:highlight w:val="yellow"/>
        </w:rPr>
        <w:t>, were set as 0.99 and 0.025</w:t>
      </w:r>
      <w:r w:rsidRPr="005976B9">
        <w:t>.  Under the predictive monitoring, the study proceeded as follows:</w:t>
      </w:r>
    </w:p>
    <w:p w:rsidR="005976B9" w:rsidP="00B17E5C" w:rsidRDefault="005976B9" w14:paraId="7D6FA8AC" w14:textId="17695D61">
      <w:pPr>
        <w:pStyle w:val="ListParagraph"/>
        <w:numPr>
          <w:ilvl w:val="0"/>
          <w:numId w:val="4"/>
        </w:numPr>
      </w:pPr>
      <w:r>
        <w:t xml:space="preserve">If </w:t>
      </w:r>
      <m:oMath>
        <m:r>
          <w:rPr>
            <w:rFonts w:ascii="Cambria Math" w:hAnsi="Cambria Math"/>
          </w:rPr>
          <m:t xml:space="preserve">PP&gt; </m:t>
        </m:r>
        <m:sSub>
          <m:sSubPr>
            <m:ctrlPr>
              <w:rPr>
                <w:rFonts w:ascii="Cambria Math" w:hAnsi="Cambria Math"/>
                <w:i/>
              </w:rPr>
            </m:ctrlPr>
          </m:sSubPr>
          <m:e>
            <m:r>
              <w:rPr>
                <w:rFonts w:ascii="Cambria Math" w:hAnsi="Cambria Math"/>
              </w:rPr>
              <m:t>θ</m:t>
            </m:r>
          </m:e>
          <m:sub>
            <m:r>
              <w:rPr>
                <w:rFonts w:ascii="Cambria Math" w:hAnsi="Cambria Math"/>
              </w:rPr>
              <m:t>U</m:t>
            </m:r>
          </m:sub>
        </m:sSub>
        <m:r>
          <w:rPr>
            <w:rFonts w:ascii="Cambria Math" w:hAnsi="Cambria Math"/>
          </w:rPr>
          <m:t>(=0.99)</m:t>
        </m:r>
      </m:oMath>
      <w:r>
        <w:t>, stop the study and claim the combination therapy promising</w:t>
      </w:r>
    </w:p>
    <w:p w:rsidR="005976B9" w:rsidP="00B17E5C" w:rsidRDefault="005976B9" w14:paraId="3FA6DCEA" w14:textId="563F5C2C">
      <w:pPr>
        <w:pStyle w:val="ListParagraph"/>
        <w:numPr>
          <w:ilvl w:val="0"/>
          <w:numId w:val="4"/>
        </w:numPr>
      </w:pPr>
      <w:r>
        <w:t xml:space="preserve">If </w:t>
      </w:r>
      <m:oMath>
        <m:r>
          <w:rPr>
            <w:rFonts w:ascii="Cambria Math" w:hAnsi="Cambria Math"/>
          </w:rPr>
          <m:t xml:space="preserve">PP&lt; </m:t>
        </m:r>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(=0.025)</m:t>
        </m:r>
      </m:oMath>
      <w:r>
        <w:t>, stop the study and claim the combination therapy not promising</w:t>
      </w:r>
    </w:p>
    <w:p w:rsidR="005976B9" w:rsidP="00B17E5C" w:rsidRDefault="005976B9" w14:paraId="0FDAB0FE" w14:textId="72E122FC">
      <w:pPr>
        <w:pStyle w:val="ListParagraph"/>
        <w:numPr>
          <w:ilvl w:val="0"/>
          <w:numId w:val="4"/>
        </w:numPr>
      </w:pPr>
      <w:r>
        <w:t>Otherwise, continue the study until the number of evaluable subjects reaches to 100</w:t>
      </w:r>
    </w:p>
    <w:p w:rsidR="005976B9" w:rsidP="005976B9" w:rsidRDefault="00BB2565" w14:paraId="5D97ABA9" w14:textId="5A6957C6">
      <w:commentRangeStart w:id="9"/>
      <w:r w:rsidRPr="00BB2565">
        <w:t>After completion of enrollment under protocol amendment 1, Bayesian PP is no longer used for continuous monitoring of efficacy and futility as the study will not be stopped early for either efficacy or futility.</w:t>
      </w:r>
      <w:commentRangeEnd w:id="9"/>
      <w:r w:rsidR="005E60E2">
        <w:rPr>
          <w:rStyle w:val="CommentReference"/>
        </w:rPr>
        <w:commentReference w:id="9"/>
      </w:r>
    </w:p>
    <w:p w:rsidR="00A94D1E" w:rsidP="005976B9" w:rsidRDefault="00A94D1E" w14:paraId="78A3032B" w14:textId="77777777"/>
    <w:p w:rsidR="00A94D1E" w:rsidP="005976B9" w:rsidRDefault="00A94D1E" w14:paraId="1FAA55AF" w14:textId="65517B0C">
      <w:r w:rsidRPr="00A94D1E">
        <w:t xml:space="preserve">The Bayesian stopping boundaries are included in </w:t>
      </w:r>
      <w:r>
        <w:t xml:space="preserve">table below. </w:t>
      </w:r>
      <w:r w:rsidRPr="00A94D1E">
        <w:t xml:space="preserve">During the trial, PP will be calculated with updated response information till the boundary is crossed. </w:t>
      </w:r>
      <w:r w:rsidRPr="005E37A4">
        <w:rPr>
          <w:b/>
          <w:bCs/>
          <w:color w:val="FF0000"/>
        </w:rPr>
        <w:t xml:space="preserve">In case continuous PP monitoring is not conducted because of </w:t>
      </w:r>
      <w:r w:rsidRPr="00A02E2A">
        <w:rPr>
          <w:b/>
          <w:bCs/>
          <w:color w:val="FF0000"/>
          <w:highlight w:val="yellow"/>
        </w:rPr>
        <w:t>operational and logistic reasons</w:t>
      </w:r>
      <w:r w:rsidRPr="005E37A4">
        <w:rPr>
          <w:b/>
          <w:bCs/>
          <w:color w:val="FF0000"/>
        </w:rPr>
        <w:t xml:space="preserve"> (</w:t>
      </w:r>
      <w:proofErr w:type="gramStart"/>
      <w:r w:rsidRPr="005E37A4">
        <w:rPr>
          <w:b/>
          <w:bCs/>
          <w:color w:val="FF0000"/>
        </w:rPr>
        <w:t>e.g.</w:t>
      </w:r>
      <w:proofErr w:type="gramEnd"/>
      <w:r w:rsidRPr="005E37A4">
        <w:rPr>
          <w:b/>
          <w:bCs/>
          <w:color w:val="FF0000"/>
        </w:rPr>
        <w:t xml:space="preserve"> delayed TA assessments and fast enrollment) or it is decided to take the trial to full enrollment even </w:t>
      </w:r>
      <m:oMath>
        <m:sSub>
          <m:sSubPr>
            <m:ctrlPr>
              <w:rPr>
                <w:rFonts w:ascii="Cambria Math" w:hAnsi="Cambria Math"/>
                <w:b/>
                <w:bCs/>
                <w:i/>
                <w:color w:val="FF0000"/>
              </w:rPr>
            </m:ctrlPr>
          </m:sSubPr>
          <m:e>
            <m:r>
              <m:rPr>
                <m:sty m:val="bi"/>
              </m:rPr>
              <w:rPr>
                <w:rFonts w:ascii="Cambria Math" w:hAnsi="Cambria Math"/>
                <w:color w:val="FF0000"/>
              </w:rPr>
              <m:t>θ</m:t>
            </m:r>
          </m:e>
          <m:sub>
            <m:r>
              <m:rPr>
                <m:sty m:val="bi"/>
              </m:rPr>
              <w:rPr>
                <w:rFonts w:ascii="Cambria Math" w:hAnsi="Cambria Math"/>
                <w:color w:val="FF0000"/>
              </w:rPr>
              <m:t>U</m:t>
            </m:r>
          </m:sub>
        </m:sSub>
      </m:oMath>
      <w:r w:rsidRPr="005E37A4">
        <w:rPr>
          <w:b/>
          <w:bCs/>
          <w:color w:val="FF0000"/>
        </w:rPr>
        <w:t xml:space="preserve"> is crossed in order to gather more efficacy data, </w:t>
      </w:r>
      <w:commentRangeStart w:id="10"/>
      <w:r w:rsidRPr="000810C7">
        <w:rPr>
          <w:b/>
          <w:bCs/>
          <w:color w:val="FF0000"/>
          <w:highlight w:val="yellow"/>
        </w:rPr>
        <w:t>posterior probability in equation (1) will be evaluated to determine the efficacy of the</w:t>
      </w:r>
      <w:r w:rsidRPr="000810C7">
        <w:rPr>
          <w:rFonts w:hint="eastAsia"/>
          <w:b/>
          <w:bCs/>
          <w:color w:val="FF0000"/>
          <w:highlight w:val="yellow"/>
        </w:rPr>
        <w:t xml:space="preserve"> combination regimen after the tumor response status has been collected from the last evaluable </w:t>
      </w:r>
      <w:r w:rsidRPr="000810C7">
        <w:rPr>
          <w:rFonts w:hint="eastAsia"/>
          <w:b/>
          <w:bCs/>
          <w:color w:val="FF0000"/>
          <w:highlight w:val="yellow"/>
        </w:rPr>
        <w:lastRenderedPageBreak/>
        <w:t>subjects.</w:t>
      </w:r>
      <w:commentRangeEnd w:id="10"/>
      <w:r w:rsidRPr="000810C7" w:rsidR="000810C7">
        <w:rPr>
          <w:rStyle w:val="CommentReference"/>
          <w:highlight w:val="yellow"/>
        </w:rPr>
        <w:commentReference w:id="10"/>
      </w:r>
      <w:r w:rsidRPr="005E37A4">
        <w:rPr>
          <w:rFonts w:hint="eastAsia"/>
          <w:color w:val="FF0000"/>
        </w:rPr>
        <w:t xml:space="preserve">  </w:t>
      </w:r>
      <w:r w:rsidRPr="00A94D1E">
        <w:rPr>
          <w:rFonts w:hint="eastAsia"/>
        </w:rPr>
        <w:t xml:space="preserve">That is, to claim efficacy if </w:t>
      </w:r>
      <m:oMath>
        <m:r>
          <w:rPr>
            <w:rFonts w:hint="eastAsia" w:ascii="Cambria Math" w:hAnsi="Cambria Math"/>
          </w:rPr>
          <m:t>Pr(p&gt;0.2|data)</m:t>
        </m:r>
        <m:r>
          <w:rPr>
            <w:rFonts w:hint="eastAsia" w:ascii="Cambria Math" w:hAnsi="Cambria Math"/>
          </w:rPr>
          <m:t>≥</m:t>
        </m:r>
        <m:r>
          <w:rPr>
            <w:rFonts w:hint="eastAsia" w:ascii="Cambria Math" w:hAnsi="Cambria Math"/>
          </w:rPr>
          <m:t xml:space="preserve"> 0.95</m:t>
        </m:r>
      </m:oMath>
      <w:r w:rsidRPr="00A94D1E">
        <w:rPr>
          <w:rFonts w:hint="eastAsia"/>
        </w:rPr>
        <w:t xml:space="preserve">. A </w:t>
      </w:r>
      <w:commentRangeStart w:id="11"/>
      <w:r w:rsidRPr="00A94D1E">
        <w:rPr>
          <w:rFonts w:hint="eastAsia"/>
        </w:rPr>
        <w:t xml:space="preserve">two-sided 95% credible interval </w:t>
      </w:r>
      <w:commentRangeEnd w:id="11"/>
      <w:r w:rsidR="008F0E4D">
        <w:rPr>
          <w:rStyle w:val="CommentReference"/>
        </w:rPr>
        <w:commentReference w:id="11"/>
      </w:r>
      <w:r w:rsidRPr="00A94D1E">
        <w:rPr>
          <w:rFonts w:hint="eastAsia"/>
        </w:rPr>
        <w:t xml:space="preserve">of ORR based on posterior distribution of </w:t>
      </w:r>
      <m:oMath>
        <m:r>
          <w:rPr>
            <w:rFonts w:hint="eastAsia" w:ascii="Cambria Math" w:hAnsi="Cambria Math"/>
          </w:rPr>
          <m:t>p</m:t>
        </m:r>
      </m:oMath>
      <w:r w:rsidRPr="00A94D1E">
        <w:rPr>
          <w:rFonts w:hint="eastAsia"/>
        </w:rPr>
        <w:t xml:space="preserve"> will be constructed</w:t>
      </w:r>
      <w:r w:rsidRPr="00A94D1E">
        <w:t xml:space="preserve"> to aid the interpretation of the results.   </w:t>
      </w:r>
    </w:p>
    <w:p w:rsidR="00212387" w:rsidP="005976B9" w:rsidRDefault="00212387" w14:paraId="239ECD81" w14:textId="67A9928F">
      <w:r>
        <w:rPr>
          <w:noProof/>
        </w:rPr>
        <w:drawing>
          <wp:inline distT="0" distB="0" distL="0" distR="0" wp14:anchorId="6F687261" wp14:editId="1ECD468B">
            <wp:extent cx="4533929" cy="4456426"/>
            <wp:effectExtent l="0" t="0" r="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4536443" cy="4458897"/>
                    </a:xfrm>
                    <a:prstGeom prst="rect">
                      <a:avLst/>
                    </a:prstGeom>
                  </pic:spPr>
                </pic:pic>
              </a:graphicData>
            </a:graphic>
          </wp:inline>
        </w:drawing>
      </w:r>
    </w:p>
    <w:p w:rsidR="00394A2A" w:rsidP="00394A2A" w:rsidRDefault="00394A2A" w14:paraId="3A96A5EF" w14:textId="77777777">
      <w:r>
        <w:t>Footnote:</w:t>
      </w:r>
    </w:p>
    <w:p w:rsidR="00394A2A" w:rsidP="00394A2A" w:rsidRDefault="00394A2A" w14:paraId="3712B20F" w14:textId="489B044E">
      <w:pPr>
        <w:pStyle w:val="ListParagraph"/>
        <w:numPr>
          <w:ilvl w:val="0"/>
          <w:numId w:val="6"/>
        </w:numPr>
      </w:pPr>
      <w:r>
        <w:rPr>
          <w:rFonts w:hint="eastAsia"/>
        </w:rPr>
        <w:t xml:space="preserve">N=number of subjects included in the predictive probability </w:t>
      </w:r>
      <w:r w:rsidR="00A7637F">
        <w:t>calculation.</w:t>
      </w:r>
      <w:r>
        <w:rPr>
          <w:rFonts w:hint="eastAsia"/>
        </w:rPr>
        <w:t xml:space="preserve"> </w:t>
      </w:r>
    </w:p>
    <w:p w:rsidR="00394A2A" w:rsidP="00394A2A" w:rsidRDefault="00394A2A" w14:paraId="06E039DE" w14:textId="7B15A8AB">
      <w:pPr>
        <w:pStyle w:val="ListParagraph"/>
        <w:numPr>
          <w:ilvl w:val="0"/>
          <w:numId w:val="6"/>
        </w:numPr>
      </w:pPr>
      <w:r>
        <w:rPr>
          <w:rFonts w:hint="eastAsia"/>
        </w:rPr>
        <w:t xml:space="preserve">LB=lower bound (futility boundary crossed if # objective response </w:t>
      </w:r>
      <m:oMath>
        <m:r>
          <w:rPr>
            <w:rFonts w:hint="eastAsia" w:ascii="Cambria Math" w:hAnsi="Cambria Math"/>
          </w:rPr>
          <m:t>≤</m:t>
        </m:r>
        <m:r>
          <w:rPr>
            <w:rFonts w:hint="eastAsia" w:ascii="Cambria Math" w:hAnsi="Cambria Math"/>
          </w:rPr>
          <m:t>LB</m:t>
        </m:r>
      </m:oMath>
      <w:r>
        <w:rPr>
          <w:rFonts w:hint="eastAsia"/>
        </w:rPr>
        <w:t>)</w:t>
      </w:r>
      <w:r w:rsidR="00A7637F">
        <w:t>.</w:t>
      </w:r>
    </w:p>
    <w:p w:rsidR="00394A2A" w:rsidP="00394A2A" w:rsidRDefault="00394A2A" w14:paraId="18D84D6C" w14:textId="59E8E07C">
      <w:pPr>
        <w:pStyle w:val="ListParagraph"/>
        <w:numPr>
          <w:ilvl w:val="0"/>
          <w:numId w:val="6"/>
        </w:numPr>
      </w:pPr>
      <w:r>
        <w:rPr>
          <w:rFonts w:hint="eastAsia"/>
        </w:rPr>
        <w:t xml:space="preserve">UB=upper bound (efficacy boundary crossed if # objective response </w:t>
      </w:r>
      <m:oMath>
        <m:r>
          <w:rPr>
            <w:rFonts w:hint="eastAsia" w:ascii="Cambria Math" w:hAnsi="Cambria Math"/>
          </w:rPr>
          <m:t>≥</m:t>
        </m:r>
        <m:r>
          <w:rPr>
            <w:rFonts w:hint="eastAsia" w:ascii="Cambria Math" w:hAnsi="Cambria Math"/>
          </w:rPr>
          <m:t>UB</m:t>
        </m:r>
      </m:oMath>
      <w:r>
        <w:rPr>
          <w:rFonts w:hint="eastAsia"/>
        </w:rPr>
        <w:t>).</w:t>
      </w:r>
    </w:p>
    <w:p w:rsidR="000E23CF" w:rsidP="000E23CF" w:rsidRDefault="000E23CF" w14:paraId="72985B21" w14:textId="77777777">
      <w:pPr>
        <w:pStyle w:val="Heading1"/>
      </w:pPr>
      <w:r>
        <w:t>Final Analysis</w:t>
      </w:r>
    </w:p>
    <w:p w:rsidR="00A7637F" w:rsidP="000E23CF" w:rsidRDefault="000E23CF" w14:paraId="2E1DDC23" w14:textId="2A3AE8D3">
      <w:r>
        <w:t xml:space="preserve">In the evaluable subjects in Stratum 1 and 2 combined, </w:t>
      </w:r>
      <w:commentRangeStart w:id="12"/>
      <w:r w:rsidRPr="00F35305">
        <w:rPr>
          <w:highlight w:val="yellow"/>
        </w:rPr>
        <w:t>Bayesian posterior probability in equation (1) will be evaluated to determine the efficacy of the combination regimen after the tumor response status has been collected from the last evaluable subjects</w:t>
      </w:r>
      <w:commentRangeEnd w:id="12"/>
      <w:r w:rsidR="00F35305">
        <w:rPr>
          <w:rStyle w:val="CommentReference"/>
        </w:rPr>
        <w:commentReference w:id="12"/>
      </w:r>
      <w:r>
        <w:rPr>
          <w:rFonts w:hint="eastAsia"/>
        </w:rPr>
        <w:t xml:space="preserve">.  That is, to claim efficacy if </w:t>
      </w:r>
      <m:oMath>
        <m:r>
          <w:rPr>
            <w:rFonts w:hint="eastAsia" w:ascii="Cambria Math" w:hAnsi="Cambria Math"/>
          </w:rPr>
          <m:t>P(p&gt;0.2|data)</m:t>
        </m:r>
        <m:r>
          <w:rPr>
            <w:rFonts w:hint="eastAsia" w:ascii="Cambria Math" w:hAnsi="Cambria Math"/>
          </w:rPr>
          <m:t>≥</m:t>
        </m:r>
        <m:r>
          <w:rPr>
            <w:rFonts w:hint="eastAsia" w:ascii="Cambria Math" w:hAnsi="Cambria Math"/>
          </w:rPr>
          <m:t>0.95</m:t>
        </m:r>
      </m:oMath>
      <w:r>
        <w:rPr>
          <w:rFonts w:hint="eastAsia"/>
        </w:rPr>
        <w:t xml:space="preserve">.  A 2-sided 95% credible interval of ORR in the evaluable subjects will be constructed to aid the interpretation of the results.   </w:t>
      </w:r>
    </w:p>
    <w:sectPr w:rsidR="00A7637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comment w:initials="YL" w:author="Yupeng Li" w:date="2022-05-24T13:46:00Z" w:id="0">
    <w:p w:rsidR="004510B1" w:rsidRDefault="004510B1" w14:paraId="40C1BB72" w14:textId="215376D9">
      <w:pPr>
        <w:pStyle w:val="CommentText"/>
      </w:pPr>
      <w:r>
        <w:rPr>
          <w:rStyle w:val="CommentReference"/>
        </w:rPr>
        <w:annotationRef/>
      </w:r>
      <w:r>
        <w:rPr>
          <w:rFonts w:hint="eastAsia"/>
          <w:lang w:eastAsia="zh-CN"/>
        </w:rPr>
        <w:t>重点关注</w:t>
      </w:r>
      <w:r>
        <w:rPr>
          <w:rFonts w:hint="eastAsia"/>
          <w:lang w:eastAsia="zh-CN"/>
        </w:rPr>
        <w:t>p</w:t>
      </w:r>
      <w:r>
        <w:rPr>
          <w:lang w:eastAsia="zh-CN"/>
        </w:rPr>
        <w:t>reviously treated with 1~2 lines of</w:t>
      </w:r>
      <w:r w:rsidR="00D039DB">
        <w:rPr>
          <w:lang w:eastAsia="zh-CN"/>
        </w:rPr>
        <w:t xml:space="preserve"> anti-cancer therapies.</w:t>
      </w:r>
    </w:p>
  </w:comment>
  <w:comment w:initials="YL" w:author="Yupeng Li" w:date="2022-05-24T13:52:00Z" w:id="1">
    <w:p w:rsidR="00BF5CAC" w:rsidRDefault="00BF5CAC" w14:paraId="37877A81" w14:textId="7CF6E648">
      <w:pPr>
        <w:pStyle w:val="CommentText"/>
        <w:rPr>
          <w:rFonts w:hint="eastAsia"/>
          <w:lang w:eastAsia="zh-CN"/>
        </w:rPr>
      </w:pPr>
      <w:r>
        <w:rPr>
          <w:rStyle w:val="CommentReference"/>
        </w:rPr>
        <w:annotationRef/>
      </w:r>
      <w:r>
        <w:rPr>
          <w:rFonts w:hint="eastAsia"/>
          <w:lang w:eastAsia="zh-CN"/>
        </w:rPr>
        <w:t>前</w:t>
      </w:r>
      <w:r>
        <w:rPr>
          <w:rFonts w:hint="eastAsia"/>
          <w:lang w:eastAsia="zh-CN"/>
        </w:rPr>
        <w:t>3</w:t>
      </w:r>
      <w:r>
        <w:rPr>
          <w:lang w:eastAsia="zh-CN"/>
        </w:rPr>
        <w:t>8</w:t>
      </w:r>
      <w:r>
        <w:rPr>
          <w:rFonts w:hint="eastAsia"/>
          <w:lang w:eastAsia="zh-CN"/>
        </w:rPr>
        <w:t>个人有</w:t>
      </w:r>
      <w:r>
        <w:rPr>
          <w:rFonts w:hint="eastAsia"/>
          <w:lang w:eastAsia="zh-CN"/>
        </w:rPr>
        <w:t>response</w:t>
      </w:r>
      <w:r>
        <w:rPr>
          <w:lang w:eastAsia="zh-CN"/>
        </w:rPr>
        <w:t xml:space="preserve"> </w:t>
      </w:r>
      <w:r>
        <w:rPr>
          <w:rFonts w:hint="eastAsia"/>
          <w:lang w:eastAsia="zh-CN"/>
        </w:rPr>
        <w:t>data</w:t>
      </w:r>
      <w:r>
        <w:rPr>
          <w:rFonts w:hint="eastAsia"/>
          <w:lang w:eastAsia="zh-CN"/>
        </w:rPr>
        <w:t>了，开始看</w:t>
      </w:r>
      <w:r>
        <w:rPr>
          <w:rFonts w:hint="eastAsia"/>
          <w:lang w:eastAsia="zh-CN"/>
        </w:rPr>
        <w:t>P</w:t>
      </w:r>
      <w:r>
        <w:rPr>
          <w:lang w:eastAsia="zh-CN"/>
        </w:rPr>
        <w:t>P</w:t>
      </w:r>
    </w:p>
  </w:comment>
  <w:comment w:initials="YL" w:author="Yupeng Li" w:date="2022-05-24T14:12:00Z" w:id="2">
    <w:p w:rsidR="00431FC8" w:rsidRDefault="00431FC8" w14:paraId="6A44F1EC" w14:textId="71C91800">
      <w:pPr>
        <w:pStyle w:val="CommentText"/>
        <w:rPr>
          <w:rFonts w:hint="eastAsia"/>
          <w:lang w:eastAsia="zh-CN"/>
        </w:rPr>
      </w:pPr>
      <w:r>
        <w:rPr>
          <w:rStyle w:val="CommentReference"/>
        </w:rPr>
        <w:annotationRef/>
      </w:r>
      <w:r>
        <w:t>A3</w:t>
      </w:r>
      <w:r>
        <w:rPr>
          <w:rFonts w:hint="eastAsia"/>
          <w:lang w:eastAsia="zh-CN"/>
        </w:rPr>
        <w:t>时候</w:t>
      </w:r>
      <w:r w:rsidR="004A09A4">
        <w:rPr>
          <w:rFonts w:hint="eastAsia"/>
          <w:lang w:eastAsia="zh-CN"/>
        </w:rPr>
        <w:t>Stra</w:t>
      </w:r>
      <w:r w:rsidR="004A09A4">
        <w:rPr>
          <w:lang w:eastAsia="zh-CN"/>
        </w:rPr>
        <w:t>tum2</w:t>
      </w:r>
      <w:r w:rsidR="004A09A4">
        <w:rPr>
          <w:rFonts w:hint="eastAsia"/>
          <w:lang w:eastAsia="zh-CN"/>
        </w:rPr>
        <w:t>人数加到</w:t>
      </w:r>
      <w:r w:rsidR="004A09A4">
        <w:rPr>
          <w:rFonts w:hint="eastAsia"/>
          <w:lang w:eastAsia="zh-CN"/>
        </w:rPr>
        <w:t>8</w:t>
      </w:r>
      <w:r w:rsidR="004A09A4">
        <w:rPr>
          <w:lang w:eastAsia="zh-CN"/>
        </w:rPr>
        <w:t>0</w:t>
      </w:r>
    </w:p>
  </w:comment>
  <w:comment w:initials="YL" w:author="Yupeng Li" w:date="2022-05-24T14:12:00Z" w:id="3">
    <w:p w:rsidR="004A09A4" w:rsidP="004A09A4" w:rsidRDefault="004A09A4" w14:paraId="4A58081F" w14:textId="6BD01CE7">
      <w:pPr>
        <w:pStyle w:val="CommentText"/>
        <w:rPr>
          <w:rFonts w:hint="eastAsia"/>
          <w:lang w:eastAsia="zh-CN"/>
        </w:rPr>
      </w:pPr>
      <w:r>
        <w:rPr>
          <w:rStyle w:val="CommentReference"/>
        </w:rPr>
        <w:annotationRef/>
      </w:r>
      <w:r>
        <w:rPr>
          <w:rStyle w:val="CommentReference"/>
        </w:rPr>
        <w:annotationRef/>
      </w:r>
      <w:r>
        <w:t>A</w:t>
      </w:r>
      <w:r>
        <w:t>4</w:t>
      </w:r>
      <w:r>
        <w:rPr>
          <w:rFonts w:hint="eastAsia"/>
          <w:lang w:eastAsia="zh-CN"/>
        </w:rPr>
        <w:t>时候</w:t>
      </w:r>
      <w:r>
        <w:rPr>
          <w:rFonts w:hint="eastAsia"/>
          <w:lang w:eastAsia="zh-CN"/>
        </w:rPr>
        <w:t>Stra</w:t>
      </w:r>
      <w:r>
        <w:rPr>
          <w:lang w:eastAsia="zh-CN"/>
        </w:rPr>
        <w:t>tum2</w:t>
      </w:r>
      <w:r>
        <w:rPr>
          <w:rFonts w:hint="eastAsia"/>
          <w:lang w:eastAsia="zh-CN"/>
        </w:rPr>
        <w:t>人数加到</w:t>
      </w:r>
      <w:r>
        <w:rPr>
          <w:lang w:eastAsia="zh-CN"/>
        </w:rPr>
        <w:t>1</w:t>
      </w:r>
      <w:r>
        <w:rPr>
          <w:lang w:eastAsia="zh-CN"/>
        </w:rPr>
        <w:t>0</w:t>
      </w:r>
      <w:r>
        <w:rPr>
          <w:lang w:eastAsia="zh-CN"/>
        </w:rPr>
        <w:t>0</w:t>
      </w:r>
    </w:p>
    <w:p w:rsidR="004A09A4" w:rsidRDefault="004A09A4" w14:paraId="101C2F3A" w14:textId="2E3C6E72">
      <w:pPr>
        <w:pStyle w:val="CommentText"/>
      </w:pPr>
    </w:p>
  </w:comment>
  <w:comment w:initials="YL" w:author="Yupeng Li" w:date="2022-05-24T14:16:00Z" w:id="4">
    <w:p w:rsidRPr="00E31B67" w:rsidR="00E31B67" w:rsidP="00E31B67" w:rsidRDefault="00E31B67" w14:paraId="00CA145B" w14:textId="0D66A0F0">
      <w:pPr>
        <w:autoSpaceDE w:val="0"/>
        <w:autoSpaceDN w:val="0"/>
        <w:adjustRightInd w:val="0"/>
        <w:spacing w:after="0" w:line="240" w:lineRule="auto"/>
        <w:rPr>
          <w:rFonts w:ascii="TimesNewRoman" w:eastAsia="TimesNewRoman" w:cs="TimesNewRoman"/>
        </w:rPr>
      </w:pPr>
      <w:r>
        <w:rPr>
          <w:rStyle w:val="CommentReference"/>
        </w:rPr>
        <w:annotationRef/>
      </w:r>
      <w:r w:rsidRPr="00E31B67">
        <w:t>Yin, G.S. Clinical trial design: Bayesian and</w:t>
      </w:r>
      <w:r w:rsidRPr="00E31B67">
        <w:t xml:space="preserve"> </w:t>
      </w:r>
      <w:r w:rsidRPr="00E31B67">
        <w:t>frequentist adaptive methods. Wiley: Hoboken, New</w:t>
      </w:r>
      <w:r w:rsidRPr="00E31B67">
        <w:t xml:space="preserve"> </w:t>
      </w:r>
      <w:r w:rsidRPr="00E31B67">
        <w:t>Jersey 2012.</w:t>
      </w:r>
    </w:p>
  </w:comment>
  <w:comment w:initials="YL" w:author="Yupeng Li" w:date="2022-05-24T14:39:00Z" w:id="5">
    <w:p w:rsidR="002C2FA5" w:rsidRDefault="002C2FA5" w14:paraId="15BC1B40" w14:textId="6636F730">
      <w:pPr>
        <w:pStyle w:val="CommentText"/>
      </w:pPr>
      <w:r>
        <w:rPr>
          <w:rStyle w:val="CommentReference"/>
        </w:rPr>
        <w:annotationRef/>
      </w:r>
      <w:r>
        <w:rPr>
          <w:rFonts w:hint="eastAsia"/>
          <w:lang w:eastAsia="zh-CN"/>
        </w:rPr>
        <w:t>用贝叶斯的方式，在</w:t>
      </w:r>
      <w:r>
        <w:rPr>
          <w:rFonts w:hint="eastAsia"/>
          <w:lang w:eastAsia="zh-CN"/>
        </w:rPr>
        <w:t>trial</w:t>
      </w:r>
      <w:r>
        <w:rPr>
          <w:rFonts w:hint="eastAsia"/>
          <w:lang w:eastAsia="zh-CN"/>
        </w:rPr>
        <w:t>的最后判断试验是否</w:t>
      </w:r>
      <w:proofErr w:type="gramStart"/>
      <w:r>
        <w:rPr>
          <w:rFonts w:hint="eastAsia"/>
          <w:lang w:eastAsia="zh-CN"/>
        </w:rPr>
        <w:t>显示优效性</w:t>
      </w:r>
      <w:proofErr w:type="gramEnd"/>
    </w:p>
  </w:comment>
  <w:comment w:initials="YL" w:author="Yupeng Li" w:date="2022-05-24T14:21:00Z" w:id="6">
    <w:p w:rsidR="00FB5A5F" w:rsidRDefault="00FB5A5F" w14:paraId="3E7D37F1" w14:textId="75A5B34E">
      <w:pPr>
        <w:pStyle w:val="CommentText"/>
      </w:pPr>
      <w:r>
        <w:rPr>
          <w:rStyle w:val="CommentReference"/>
        </w:rPr>
        <w:annotationRef/>
      </w:r>
      <w:r>
        <w:rPr>
          <w:noProof/>
        </w:rPr>
        <w:drawing>
          <wp:inline distT="0" distB="0" distL="0" distR="0" wp14:anchorId="70DCA301" wp14:editId="3FDFC990">
            <wp:extent cx="2169953" cy="388863"/>
            <wp:effectExtent l="0" t="0" r="1905"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
                    <a:stretch>
                      <a:fillRect/>
                    </a:stretch>
                  </pic:blipFill>
                  <pic:spPr>
                    <a:xfrm>
                      <a:off x="0" y="0"/>
                      <a:ext cx="2186732" cy="391870"/>
                    </a:xfrm>
                    <a:prstGeom prst="rect">
                      <a:avLst/>
                    </a:prstGeom>
                  </pic:spPr>
                </pic:pic>
              </a:graphicData>
            </a:graphic>
          </wp:inline>
        </w:drawing>
      </w:r>
    </w:p>
  </w:comment>
  <w:comment w:initials="YL" w:author="Yupeng Li" w:date="2022-05-24T14:21:00Z" w:id="7">
    <w:p w:rsidR="0054291C" w:rsidRDefault="0054291C" w14:paraId="4C9DB456" w14:textId="111B80E5">
      <w:pPr>
        <w:pStyle w:val="CommentText"/>
      </w:pPr>
      <w:r>
        <w:rPr>
          <w:rStyle w:val="CommentReference"/>
        </w:rPr>
        <w:annotationRef/>
      </w:r>
      <w:r>
        <w:rPr>
          <w:noProof/>
        </w:rPr>
        <w:drawing>
          <wp:inline distT="0" distB="0" distL="0" distR="0" wp14:anchorId="672C96B9" wp14:editId="0F085445">
            <wp:extent cx="2433248" cy="435697"/>
            <wp:effectExtent l="0" t="0" r="571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2"/>
                    <a:stretch>
                      <a:fillRect/>
                    </a:stretch>
                  </pic:blipFill>
                  <pic:spPr>
                    <a:xfrm>
                      <a:off x="0" y="0"/>
                      <a:ext cx="2609441" cy="467246"/>
                    </a:xfrm>
                    <a:prstGeom prst="rect">
                      <a:avLst/>
                    </a:prstGeom>
                  </pic:spPr>
                </pic:pic>
              </a:graphicData>
            </a:graphic>
          </wp:inline>
        </w:drawing>
      </w:r>
    </w:p>
  </w:comment>
  <w:comment w:initials="YL" w:author="Yupeng Li" w:date="2022-05-24T14:30:00Z" w:id="8">
    <w:p w:rsidR="0064448F" w:rsidRDefault="0064448F" w14:paraId="50E9F8B7" w14:textId="197CA70B">
      <w:pPr>
        <w:pStyle w:val="CommentText"/>
        <w:rPr>
          <w:rFonts w:hint="eastAsia"/>
          <w:lang w:eastAsia="zh-CN"/>
        </w:rPr>
      </w:pPr>
      <w:r>
        <w:rPr>
          <w:rStyle w:val="CommentReference"/>
        </w:rPr>
        <w:annotationRef/>
      </w:r>
      <w:r>
        <w:rPr>
          <w:rFonts w:hint="eastAsia"/>
          <w:lang w:eastAsia="zh-CN"/>
        </w:rPr>
        <w:t>这一块只是叙述</w:t>
      </w:r>
      <w:r>
        <w:rPr>
          <w:rFonts w:hint="eastAsia"/>
          <w:lang w:eastAsia="zh-CN"/>
        </w:rPr>
        <w:t>P</w:t>
      </w:r>
      <w:r>
        <w:rPr>
          <w:lang w:eastAsia="zh-CN"/>
        </w:rPr>
        <w:t>P</w:t>
      </w:r>
      <w:r>
        <w:rPr>
          <w:rFonts w:hint="eastAsia"/>
          <w:lang w:eastAsia="zh-CN"/>
        </w:rPr>
        <w:t>的计算</w:t>
      </w:r>
    </w:p>
  </w:comment>
  <w:comment w:initials="YL" w:author="Yupeng Li" w:date="2022-05-24T14:34:00Z" w:id="9">
    <w:p w:rsidR="005E60E2" w:rsidRDefault="005E60E2" w14:paraId="1938CCBD" w14:textId="311DDE9E">
      <w:pPr>
        <w:pStyle w:val="CommentText"/>
      </w:pPr>
      <w:r>
        <w:rPr>
          <w:rStyle w:val="CommentReference"/>
        </w:rPr>
        <w:annotationRef/>
      </w:r>
      <w:r w:rsidR="00710A80">
        <w:rPr>
          <w:rFonts w:hint="eastAsia"/>
          <w:lang w:eastAsia="zh-CN"/>
        </w:rPr>
        <w:t>录满</w:t>
      </w:r>
      <w:r w:rsidR="00710A80">
        <w:rPr>
          <w:rFonts w:hint="eastAsia"/>
          <w:lang w:eastAsia="zh-CN"/>
        </w:rPr>
        <w:t>amendment</w:t>
      </w:r>
      <w:r w:rsidR="00710A80">
        <w:t>1</w:t>
      </w:r>
      <w:r w:rsidR="00710A80">
        <w:rPr>
          <w:rFonts w:hint="eastAsia"/>
          <w:lang w:eastAsia="zh-CN"/>
        </w:rPr>
        <w:t>的后，不在用</w:t>
      </w:r>
      <w:r w:rsidR="00710A80">
        <w:rPr>
          <w:rFonts w:hint="eastAsia"/>
          <w:lang w:eastAsia="zh-CN"/>
        </w:rPr>
        <w:t>pp</w:t>
      </w:r>
      <w:r w:rsidR="00710A80">
        <w:rPr>
          <w:rFonts w:hint="eastAsia"/>
          <w:lang w:eastAsia="zh-CN"/>
        </w:rPr>
        <w:t>监测，因为</w:t>
      </w:r>
      <w:r w:rsidR="00710A80">
        <w:rPr>
          <w:rFonts w:hint="eastAsia"/>
          <w:lang w:eastAsia="zh-CN"/>
        </w:rPr>
        <w:t>trial</w:t>
      </w:r>
      <w:r w:rsidR="00710A80">
        <w:rPr>
          <w:rFonts w:hint="eastAsia"/>
          <w:lang w:eastAsia="zh-CN"/>
        </w:rPr>
        <w:t>不会早停</w:t>
      </w:r>
    </w:p>
  </w:comment>
  <w:comment w:initials="YL" w:author="Yupeng Li" w:date="2022-05-24T14:54:00Z" w:id="10">
    <w:p w:rsidR="000810C7" w:rsidRDefault="000810C7" w14:paraId="638A874D" w14:textId="77777777">
      <w:pPr>
        <w:pStyle w:val="CommentText"/>
        <w:rPr>
          <w:lang w:eastAsia="zh-CN"/>
        </w:rPr>
      </w:pPr>
      <w:r>
        <w:rPr>
          <w:rStyle w:val="CommentReference"/>
        </w:rPr>
        <w:annotationRef/>
      </w:r>
      <w:r w:rsidR="00252D9F">
        <w:rPr>
          <w:rFonts w:hint="eastAsia"/>
          <w:lang w:eastAsia="zh-CN"/>
        </w:rPr>
        <w:t>实际操作过程中，</w:t>
      </w:r>
      <w:r w:rsidR="00252D9F">
        <w:rPr>
          <w:rFonts w:hint="eastAsia"/>
          <w:lang w:eastAsia="zh-CN"/>
        </w:rPr>
        <w:t>P</w:t>
      </w:r>
      <w:r w:rsidR="00252D9F">
        <w:rPr>
          <w:lang w:eastAsia="zh-CN"/>
        </w:rPr>
        <w:t>P</w:t>
      </w:r>
      <w:r w:rsidR="00252D9F">
        <w:rPr>
          <w:rFonts w:hint="eastAsia"/>
          <w:lang w:eastAsia="zh-CN"/>
        </w:rPr>
        <w:t>的监测是有难度的（</w:t>
      </w:r>
      <w:r w:rsidR="00252D9F">
        <w:rPr>
          <w:rFonts w:hint="eastAsia"/>
          <w:lang w:eastAsia="zh-CN"/>
        </w:rPr>
        <w:t>P</w:t>
      </w:r>
      <w:r w:rsidR="00252D9F">
        <w:rPr>
          <w:lang w:eastAsia="zh-CN"/>
        </w:rPr>
        <w:t>P</w:t>
      </w:r>
      <w:r w:rsidR="00252D9F">
        <w:rPr>
          <w:rFonts w:hint="eastAsia"/>
          <w:lang w:eastAsia="zh-CN"/>
        </w:rPr>
        <w:t>目的是为了早停，但是有时候尽管有</w:t>
      </w:r>
      <w:r w:rsidR="00252D9F">
        <w:rPr>
          <w:rFonts w:hint="eastAsia"/>
          <w:lang w:eastAsia="zh-CN"/>
        </w:rPr>
        <w:t>efficacy</w:t>
      </w:r>
      <w:r w:rsidR="00252D9F">
        <w:rPr>
          <w:rFonts w:hint="eastAsia"/>
          <w:lang w:eastAsia="zh-CN"/>
        </w:rPr>
        <w:t>信号，也不会停，想多收集数据）</w:t>
      </w:r>
    </w:p>
    <w:p w:rsidR="00FB7FC5" w:rsidRDefault="00FB7FC5" w14:paraId="4CD0D4F1" w14:textId="77777777">
      <w:pPr>
        <w:pStyle w:val="CommentText"/>
        <w:rPr>
          <w:lang w:eastAsia="zh-CN"/>
        </w:rPr>
      </w:pPr>
      <w:r>
        <w:rPr>
          <w:rFonts w:hint="eastAsia"/>
          <w:lang w:eastAsia="zh-CN"/>
        </w:rPr>
        <w:t>影响</w:t>
      </w:r>
      <w:r>
        <w:rPr>
          <w:rFonts w:hint="eastAsia"/>
          <w:lang w:eastAsia="zh-CN"/>
        </w:rPr>
        <w:t>P</w:t>
      </w:r>
      <w:r>
        <w:rPr>
          <w:lang w:eastAsia="zh-CN"/>
        </w:rPr>
        <w:t>P</w:t>
      </w:r>
      <w:r>
        <w:rPr>
          <w:rFonts w:hint="eastAsia"/>
          <w:lang w:eastAsia="zh-CN"/>
        </w:rPr>
        <w:t>的原因：</w:t>
      </w:r>
      <w:r>
        <w:rPr>
          <w:rFonts w:hint="eastAsia"/>
          <w:lang w:eastAsia="zh-CN"/>
        </w:rPr>
        <w:t>d</w:t>
      </w:r>
      <w:r>
        <w:rPr>
          <w:lang w:eastAsia="zh-CN"/>
        </w:rPr>
        <w:t xml:space="preserve">elay TA </w:t>
      </w:r>
      <w:proofErr w:type="gramStart"/>
      <w:r>
        <w:rPr>
          <w:lang w:eastAsia="zh-CN"/>
        </w:rPr>
        <w:t>assess;</w:t>
      </w:r>
      <w:proofErr w:type="gramEnd"/>
      <w:r>
        <w:rPr>
          <w:lang w:eastAsia="zh-CN"/>
        </w:rPr>
        <w:t xml:space="preserve"> fast enrollment</w:t>
      </w:r>
    </w:p>
    <w:p w:rsidR="00CA719F" w:rsidRDefault="00CA719F" w14:paraId="687D2356" w14:textId="77777777">
      <w:pPr>
        <w:pStyle w:val="CommentText"/>
        <w:rPr>
          <w:lang w:eastAsia="zh-CN"/>
        </w:rPr>
      </w:pPr>
    </w:p>
    <w:p w:rsidR="00CA719F" w:rsidRDefault="00CA719F" w14:paraId="3010442B" w14:textId="77777777">
      <w:pPr>
        <w:pStyle w:val="CommentText"/>
        <w:rPr>
          <w:lang w:eastAsia="zh-CN"/>
        </w:rPr>
      </w:pPr>
      <w:r>
        <w:rPr>
          <w:rFonts w:hint="eastAsia"/>
          <w:lang w:eastAsia="zh-CN"/>
        </w:rPr>
        <w:t>无论怎么说，最终都会使用</w:t>
      </w:r>
    </w:p>
    <w:p w:rsidRPr="00CA719F" w:rsidR="00CA719F" w:rsidRDefault="00CA719F" w14:paraId="49EB7BA6" w14:textId="77777777">
      <w:pPr>
        <w:pStyle w:val="CommentText"/>
        <w:rPr>
          <w:lang w:eastAsia="zh-CN"/>
        </w:rPr>
      </w:pPr>
      <m:oMathPara>
        <m:oMath>
          <m:r>
            <w:rPr>
              <w:rFonts w:hint="eastAsia" w:ascii="Cambria Math" w:hAnsi="Cambria Math"/>
              <w:lang w:eastAsia="zh-CN"/>
            </w:rPr>
            <m:t>Pr(p&gt;0.2|data)</m:t>
          </m:r>
          <m:r>
            <w:rPr>
              <w:rFonts w:hint="eastAsia" w:ascii="Cambria Math" w:hAnsi="Cambria Math"/>
              <w:lang w:eastAsia="zh-CN"/>
            </w:rPr>
            <m:t>≥</m:t>
          </m:r>
          <m:r>
            <w:rPr>
              <w:rFonts w:hint="eastAsia" w:ascii="Cambria Math" w:hAnsi="Cambria Math"/>
              <w:lang w:eastAsia="zh-CN"/>
            </w:rPr>
            <m:t xml:space="preserve"> 0.95</m:t>
          </m:r>
        </m:oMath>
      </m:oMathPara>
    </w:p>
    <w:p w:rsidR="00CA719F" w:rsidRDefault="007D4E27" w14:paraId="5FFFFFF5" w14:textId="1FD91D0D">
      <w:pPr>
        <w:pStyle w:val="CommentText"/>
        <w:rPr>
          <w:rFonts w:hint="eastAsia"/>
          <w:lang w:eastAsia="zh-CN"/>
        </w:rPr>
      </w:pPr>
      <w:r>
        <w:rPr>
          <w:rFonts w:hint="eastAsia"/>
          <w:lang w:eastAsia="zh-CN"/>
        </w:rPr>
        <w:t>去</w:t>
      </w:r>
      <w:r>
        <w:rPr>
          <w:rFonts w:hint="eastAsia"/>
          <w:lang w:eastAsia="zh-CN"/>
        </w:rPr>
        <w:t>c</w:t>
      </w:r>
      <w:r>
        <w:rPr>
          <w:lang w:eastAsia="zh-CN"/>
        </w:rPr>
        <w:t>laim efficacy.</w:t>
      </w:r>
    </w:p>
  </w:comment>
  <w:comment w:initials="YL" w:author="Yupeng Li" w:date="2022-05-24T15:02:00Z" w:id="11">
    <w:p w:rsidR="008F0E4D" w:rsidRDefault="008F0E4D" w14:paraId="01EA5846" w14:textId="43F8990F">
      <w:pPr>
        <w:pStyle w:val="CommentText"/>
        <w:rPr>
          <w:rFonts w:hint="eastAsia"/>
          <w:lang w:eastAsia="zh-CN"/>
        </w:rPr>
      </w:pPr>
      <w:r>
        <w:rPr>
          <w:rStyle w:val="CommentReference"/>
        </w:rPr>
        <w:annotationRef/>
      </w:r>
      <w:r>
        <w:rPr>
          <w:rFonts w:hint="eastAsia"/>
          <w:lang w:eastAsia="zh-CN"/>
        </w:rPr>
        <w:t>贝叶斯</w:t>
      </w:r>
      <w:r>
        <w:rPr>
          <w:rFonts w:hint="eastAsia"/>
          <w:lang w:eastAsia="zh-CN"/>
        </w:rPr>
        <w:t>c</w:t>
      </w:r>
      <w:r>
        <w:rPr>
          <w:lang w:eastAsia="zh-CN"/>
        </w:rPr>
        <w:t>redible interval.</w:t>
      </w:r>
    </w:p>
  </w:comment>
  <w:comment w:initials="YL" w:author="Yupeng Li" w:date="2022-05-24T16:17:00Z" w:id="12">
    <w:p w:rsidR="00F35305" w:rsidRDefault="00F35305" w14:paraId="22DED240" w14:textId="41F0533A">
      <w:pPr>
        <w:pStyle w:val="CommentText"/>
        <w:rPr>
          <w:rFonts w:hint="eastAsia"/>
          <w:lang w:eastAsia="zh-CN"/>
        </w:rPr>
      </w:pPr>
      <w:r>
        <w:rPr>
          <w:rStyle w:val="CommentReference"/>
        </w:rPr>
        <w:annotationRef/>
      </w:r>
      <w:r>
        <w:rPr>
          <w:rFonts w:hint="eastAsia"/>
          <w:lang w:eastAsia="zh-CN"/>
        </w:rPr>
        <w:t>重申，</w:t>
      </w:r>
      <w:r>
        <w:rPr>
          <w:rFonts w:hint="eastAsia"/>
          <w:lang w:eastAsia="zh-CN"/>
        </w:rPr>
        <w:t>l</w:t>
      </w:r>
      <w:r>
        <w:rPr>
          <w:lang w:eastAsia="zh-CN"/>
        </w:rPr>
        <w:t xml:space="preserve">ast evaluable </w:t>
      </w:r>
      <w:r w:rsidR="00BD4A60">
        <w:rPr>
          <w:lang w:eastAsia="zh-CN"/>
        </w:rPr>
        <w:t>subject</w:t>
      </w:r>
      <w:r w:rsidR="00BD4A60">
        <w:rPr>
          <w:rFonts w:hint="eastAsia"/>
          <w:lang w:eastAsia="zh-CN"/>
        </w:rPr>
        <w:t>的</w:t>
      </w:r>
      <w:r w:rsidR="00BD4A60">
        <w:rPr>
          <w:rFonts w:hint="eastAsia"/>
          <w:lang w:eastAsia="zh-CN"/>
        </w:rPr>
        <w:t>t</w:t>
      </w:r>
      <w:r w:rsidR="00BD4A60">
        <w:rPr>
          <w:lang w:eastAsia="zh-CN"/>
        </w:rPr>
        <w:t>umor response</w:t>
      </w:r>
      <w:r w:rsidR="00BD4A60">
        <w:rPr>
          <w:rFonts w:hint="eastAsia"/>
          <w:lang w:eastAsia="zh-CN"/>
        </w:rPr>
        <w:t>出来后，会用贝叶斯后验分析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1BB72" w15:done="0"/>
  <w15:commentEx w15:paraId="37877A81" w15:done="0"/>
  <w15:commentEx w15:paraId="6A44F1EC" w15:done="0"/>
  <w15:commentEx w15:paraId="101C2F3A" w15:done="0"/>
  <w15:commentEx w15:paraId="00CA145B" w15:done="0"/>
  <w15:commentEx w15:paraId="15BC1B40" w15:done="0"/>
  <w15:commentEx w15:paraId="3E7D37F1" w15:done="0"/>
  <w15:commentEx w15:paraId="4C9DB456" w15:done="0"/>
  <w15:commentEx w15:paraId="50E9F8B7" w15:paraIdParent="4C9DB456" w15:done="0"/>
  <w15:commentEx w15:paraId="1938CCBD" w15:done="0"/>
  <w15:commentEx w15:paraId="5FFFFFF5" w15:done="0"/>
  <w15:commentEx w15:paraId="01EA5846" w15:done="0"/>
  <w15:commentEx w15:paraId="22DED2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6032" w16cex:dateUtc="2022-05-24T05:46:00Z"/>
  <w16cex:commentExtensible w16cex:durableId="26376184" w16cex:dateUtc="2022-05-24T05:52:00Z"/>
  <w16cex:commentExtensible w16cex:durableId="26376649" w16cex:dateUtc="2022-05-24T06:12:00Z"/>
  <w16cex:commentExtensible w16cex:durableId="2637665E" w16cex:dateUtc="2022-05-24T06:12:00Z"/>
  <w16cex:commentExtensible w16cex:durableId="26376756" w16cex:dateUtc="2022-05-24T06:16:00Z"/>
  <w16cex:commentExtensible w16cex:durableId="26376CB4" w16cex:dateUtc="2022-05-24T06:39:00Z"/>
  <w16cex:commentExtensible w16cex:durableId="26376850" w16cex:dateUtc="2022-05-24T06:21:00Z"/>
  <w16cex:commentExtensible w16cex:durableId="26376877" w16cex:dateUtc="2022-05-24T06:21:00Z"/>
  <w16cex:commentExtensible w16cex:durableId="26376A8A" w16cex:dateUtc="2022-05-24T06:30:00Z"/>
  <w16cex:commentExtensible w16cex:durableId="26376B5B" w16cex:dateUtc="2022-05-24T06:34:00Z"/>
  <w16cex:commentExtensible w16cex:durableId="26377024" w16cex:dateUtc="2022-05-24T06:54:00Z"/>
  <w16cex:commentExtensible w16cex:durableId="263771EA" w16cex:dateUtc="2022-05-24T07:02:00Z"/>
  <w16cex:commentExtensible w16cex:durableId="26378382" w16cex:dateUtc="2022-05-24T0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1BB72" w16cid:durableId="26376032"/>
  <w16cid:commentId w16cid:paraId="37877A81" w16cid:durableId="26376184"/>
  <w16cid:commentId w16cid:paraId="6A44F1EC" w16cid:durableId="26376649"/>
  <w16cid:commentId w16cid:paraId="101C2F3A" w16cid:durableId="2637665E"/>
  <w16cid:commentId w16cid:paraId="00CA145B" w16cid:durableId="26376756"/>
  <w16cid:commentId w16cid:paraId="15BC1B40" w16cid:durableId="26376CB4"/>
  <w16cid:commentId w16cid:paraId="3E7D37F1" w16cid:durableId="26376850"/>
  <w16cid:commentId w16cid:paraId="4C9DB456" w16cid:durableId="26376877"/>
  <w16cid:commentId w16cid:paraId="50E9F8B7" w16cid:durableId="26376A8A"/>
  <w16cid:commentId w16cid:paraId="1938CCBD" w16cid:durableId="26376B5B"/>
  <w16cid:commentId w16cid:paraId="5FFFFFF5" w16cid:durableId="26377024"/>
  <w16cid:commentId w16cid:paraId="01EA5846" w16cid:durableId="263771EA"/>
  <w16cid:commentId w16cid:paraId="22DED240" w16cid:durableId="263783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5C09" w:rsidP="00FA601C" w:rsidRDefault="00E25C09" w14:paraId="19152493" w14:textId="77777777">
      <w:pPr>
        <w:spacing w:after="0" w:line="240" w:lineRule="auto"/>
      </w:pPr>
      <w:r>
        <w:separator/>
      </w:r>
    </w:p>
  </w:endnote>
  <w:endnote w:type="continuationSeparator" w:id="0">
    <w:p w:rsidR="00E25C09" w:rsidP="00FA601C" w:rsidRDefault="00E25C09" w14:paraId="4858D69E" w14:textId="77777777">
      <w:pPr>
        <w:spacing w:after="0" w:line="240" w:lineRule="auto"/>
      </w:pPr>
      <w:r>
        <w:continuationSeparator/>
      </w:r>
    </w:p>
  </w:endnote>
  <w:endnote w:type="continuationNotice" w:id="1">
    <w:p w:rsidR="00E25C09" w:rsidRDefault="00E25C09" w14:paraId="6F515BC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5C09" w:rsidP="00FA601C" w:rsidRDefault="00E25C09" w14:paraId="0243148E" w14:textId="77777777">
      <w:pPr>
        <w:spacing w:after="0" w:line="240" w:lineRule="auto"/>
      </w:pPr>
      <w:r>
        <w:separator/>
      </w:r>
    </w:p>
  </w:footnote>
  <w:footnote w:type="continuationSeparator" w:id="0">
    <w:p w:rsidR="00E25C09" w:rsidP="00FA601C" w:rsidRDefault="00E25C09" w14:paraId="3C31A24E" w14:textId="77777777">
      <w:pPr>
        <w:spacing w:after="0" w:line="240" w:lineRule="auto"/>
      </w:pPr>
      <w:r>
        <w:continuationSeparator/>
      </w:r>
    </w:p>
  </w:footnote>
  <w:footnote w:type="continuationNotice" w:id="1">
    <w:p w:rsidR="00E25C09" w:rsidRDefault="00E25C09" w14:paraId="5A2C052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E72"/>
    <w:multiLevelType w:val="hybridMultilevel"/>
    <w:tmpl w:val="C1D00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35090A"/>
    <w:multiLevelType w:val="hybridMultilevel"/>
    <w:tmpl w:val="D00015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8A931A6"/>
    <w:multiLevelType w:val="hybridMultilevel"/>
    <w:tmpl w:val="E7680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FFB62EE"/>
    <w:multiLevelType w:val="hybridMultilevel"/>
    <w:tmpl w:val="131EDB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E2F2965"/>
    <w:multiLevelType w:val="hybridMultilevel"/>
    <w:tmpl w:val="91D061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B30017F"/>
    <w:multiLevelType w:val="hybridMultilevel"/>
    <w:tmpl w:val="3AB237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30518979">
    <w:abstractNumId w:val="4"/>
  </w:num>
  <w:num w:numId="2" w16cid:durableId="1768771051">
    <w:abstractNumId w:val="1"/>
  </w:num>
  <w:num w:numId="3" w16cid:durableId="1765109281">
    <w:abstractNumId w:val="3"/>
  </w:num>
  <w:num w:numId="4" w16cid:durableId="1471705756">
    <w:abstractNumId w:val="2"/>
  </w:num>
  <w:num w:numId="5" w16cid:durableId="1968849467">
    <w:abstractNumId w:val="0"/>
  </w:num>
  <w:num w:numId="6" w16cid:durableId="171739266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peng Li">
    <w15:presenceInfo w15:providerId="None" w15:userId="Yupeng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A5C216"/>
    <w:rsid w:val="00005D6C"/>
    <w:rsid w:val="00015081"/>
    <w:rsid w:val="00016C9C"/>
    <w:rsid w:val="000810C7"/>
    <w:rsid w:val="00082533"/>
    <w:rsid w:val="000A429E"/>
    <w:rsid w:val="000B297B"/>
    <w:rsid w:val="000E23CF"/>
    <w:rsid w:val="00127B63"/>
    <w:rsid w:val="001705E9"/>
    <w:rsid w:val="00173C42"/>
    <w:rsid w:val="001D3391"/>
    <w:rsid w:val="00212387"/>
    <w:rsid w:val="002216B7"/>
    <w:rsid w:val="00252D9F"/>
    <w:rsid w:val="002718CD"/>
    <w:rsid w:val="002C2FA5"/>
    <w:rsid w:val="00394A2A"/>
    <w:rsid w:val="00431FC8"/>
    <w:rsid w:val="004510B1"/>
    <w:rsid w:val="00477FF9"/>
    <w:rsid w:val="004969E8"/>
    <w:rsid w:val="004A09A4"/>
    <w:rsid w:val="004B5EEC"/>
    <w:rsid w:val="004D0CDF"/>
    <w:rsid w:val="0052777A"/>
    <w:rsid w:val="0054291C"/>
    <w:rsid w:val="00586408"/>
    <w:rsid w:val="005976B9"/>
    <w:rsid w:val="005D540C"/>
    <w:rsid w:val="005E37A4"/>
    <w:rsid w:val="005E60E2"/>
    <w:rsid w:val="0064448F"/>
    <w:rsid w:val="00656008"/>
    <w:rsid w:val="00671D12"/>
    <w:rsid w:val="006F66C2"/>
    <w:rsid w:val="00710A80"/>
    <w:rsid w:val="007564F5"/>
    <w:rsid w:val="0078225E"/>
    <w:rsid w:val="00794DD3"/>
    <w:rsid w:val="007A1A49"/>
    <w:rsid w:val="007D4E27"/>
    <w:rsid w:val="00850ED1"/>
    <w:rsid w:val="00861087"/>
    <w:rsid w:val="00876EB3"/>
    <w:rsid w:val="00885ED4"/>
    <w:rsid w:val="00886E8C"/>
    <w:rsid w:val="008B469D"/>
    <w:rsid w:val="008E7E33"/>
    <w:rsid w:val="008F0E4D"/>
    <w:rsid w:val="009135EB"/>
    <w:rsid w:val="00927DE4"/>
    <w:rsid w:val="00990DE7"/>
    <w:rsid w:val="009C587D"/>
    <w:rsid w:val="009F38AE"/>
    <w:rsid w:val="00A02E2A"/>
    <w:rsid w:val="00A242DA"/>
    <w:rsid w:val="00A7637F"/>
    <w:rsid w:val="00A85405"/>
    <w:rsid w:val="00A94D1E"/>
    <w:rsid w:val="00B0401E"/>
    <w:rsid w:val="00B16365"/>
    <w:rsid w:val="00B17E5C"/>
    <w:rsid w:val="00B77D6B"/>
    <w:rsid w:val="00BB2565"/>
    <w:rsid w:val="00BC51BD"/>
    <w:rsid w:val="00BD4A60"/>
    <w:rsid w:val="00BF5CAC"/>
    <w:rsid w:val="00C14484"/>
    <w:rsid w:val="00C15982"/>
    <w:rsid w:val="00C51CE2"/>
    <w:rsid w:val="00CA719F"/>
    <w:rsid w:val="00D039DB"/>
    <w:rsid w:val="00D24E50"/>
    <w:rsid w:val="00D65605"/>
    <w:rsid w:val="00E101C7"/>
    <w:rsid w:val="00E25C09"/>
    <w:rsid w:val="00E31B67"/>
    <w:rsid w:val="00E457A1"/>
    <w:rsid w:val="00E87FEA"/>
    <w:rsid w:val="00E906D5"/>
    <w:rsid w:val="00EA602B"/>
    <w:rsid w:val="00EA7C52"/>
    <w:rsid w:val="00F23560"/>
    <w:rsid w:val="00F35305"/>
    <w:rsid w:val="00F9324E"/>
    <w:rsid w:val="00FA601C"/>
    <w:rsid w:val="00FB5A5F"/>
    <w:rsid w:val="00FB7FC5"/>
    <w:rsid w:val="00FE3481"/>
    <w:rsid w:val="00FF07D3"/>
    <w:rsid w:val="49A5C216"/>
    <w:rsid w:val="7594C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5C216"/>
  <w15:chartTrackingRefBased/>
  <w15:docId w15:val="{2DDBAB63-6690-42D1-B87D-B9D329B1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宋体"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D540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A601C"/>
    <w:pPr>
      <w:tabs>
        <w:tab w:val="center" w:pos="4320"/>
        <w:tab w:val="right" w:pos="8640"/>
      </w:tabs>
      <w:spacing w:after="0" w:line="240" w:lineRule="auto"/>
    </w:pPr>
  </w:style>
  <w:style w:type="character" w:styleId="HeaderChar" w:customStyle="1">
    <w:name w:val="Header Char"/>
    <w:basedOn w:val="DefaultParagraphFont"/>
    <w:link w:val="Header"/>
    <w:uiPriority w:val="99"/>
    <w:rsid w:val="00FA601C"/>
  </w:style>
  <w:style w:type="paragraph" w:styleId="Footer">
    <w:name w:val="footer"/>
    <w:basedOn w:val="Normal"/>
    <w:link w:val="FooterChar"/>
    <w:uiPriority w:val="99"/>
    <w:unhideWhenUsed/>
    <w:rsid w:val="00FA601C"/>
    <w:pPr>
      <w:tabs>
        <w:tab w:val="center" w:pos="4320"/>
        <w:tab w:val="right" w:pos="8640"/>
      </w:tabs>
      <w:spacing w:after="0" w:line="240" w:lineRule="auto"/>
    </w:pPr>
  </w:style>
  <w:style w:type="character" w:styleId="FooterChar" w:customStyle="1">
    <w:name w:val="Footer Char"/>
    <w:basedOn w:val="DefaultParagraphFont"/>
    <w:link w:val="Footer"/>
    <w:uiPriority w:val="99"/>
    <w:rsid w:val="00FA601C"/>
  </w:style>
  <w:style w:type="paragraph" w:styleId="ListParagraph">
    <w:name w:val="List Paragraph"/>
    <w:basedOn w:val="Normal"/>
    <w:uiPriority w:val="34"/>
    <w:qFormat/>
    <w:rsid w:val="00794DD3"/>
    <w:pPr>
      <w:ind w:left="720"/>
      <w:contextualSpacing/>
    </w:pPr>
  </w:style>
  <w:style w:type="paragraph" w:styleId="NormalWeb">
    <w:name w:val="Normal (Web)"/>
    <w:basedOn w:val="Normal"/>
    <w:uiPriority w:val="99"/>
    <w:semiHidden/>
    <w:unhideWhenUsed/>
    <w:rsid w:val="005D540C"/>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Strong">
    <w:name w:val="Strong"/>
    <w:basedOn w:val="DefaultParagraphFont"/>
    <w:uiPriority w:val="22"/>
    <w:qFormat/>
    <w:rsid w:val="005D540C"/>
    <w:rPr>
      <w:b/>
      <w:bCs/>
    </w:rPr>
  </w:style>
  <w:style w:type="paragraph" w:styleId="Title">
    <w:name w:val="Title"/>
    <w:basedOn w:val="Normal"/>
    <w:next w:val="Normal"/>
    <w:link w:val="TitleChar"/>
    <w:uiPriority w:val="10"/>
    <w:qFormat/>
    <w:rsid w:val="005D540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D540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5D540C"/>
    <w:rPr>
      <w:rFonts w:asciiTheme="majorHAnsi" w:hAnsiTheme="majorHAnsi" w:eastAsiaTheme="majorEastAsia" w:cstheme="majorBidi"/>
      <w:color w:val="2F5496" w:themeColor="accent1" w:themeShade="BF"/>
      <w:sz w:val="32"/>
      <w:szCs w:val="32"/>
    </w:rPr>
  </w:style>
  <w:style w:type="character" w:styleId="CommentReference">
    <w:name w:val="annotation reference"/>
    <w:basedOn w:val="DefaultParagraphFont"/>
    <w:uiPriority w:val="99"/>
    <w:semiHidden/>
    <w:unhideWhenUsed/>
    <w:rsid w:val="004510B1"/>
    <w:rPr>
      <w:sz w:val="16"/>
      <w:szCs w:val="16"/>
    </w:rPr>
  </w:style>
  <w:style w:type="paragraph" w:styleId="CommentText">
    <w:name w:val="annotation text"/>
    <w:basedOn w:val="Normal"/>
    <w:link w:val="CommentTextChar"/>
    <w:uiPriority w:val="99"/>
    <w:semiHidden/>
    <w:unhideWhenUsed/>
    <w:rsid w:val="004510B1"/>
    <w:pPr>
      <w:spacing w:line="240" w:lineRule="auto"/>
    </w:pPr>
    <w:rPr>
      <w:sz w:val="20"/>
      <w:szCs w:val="20"/>
    </w:rPr>
  </w:style>
  <w:style w:type="character" w:styleId="CommentTextChar" w:customStyle="1">
    <w:name w:val="Comment Text Char"/>
    <w:basedOn w:val="DefaultParagraphFont"/>
    <w:link w:val="CommentText"/>
    <w:uiPriority w:val="99"/>
    <w:semiHidden/>
    <w:rsid w:val="004510B1"/>
    <w:rPr>
      <w:sz w:val="20"/>
      <w:szCs w:val="20"/>
    </w:rPr>
  </w:style>
  <w:style w:type="paragraph" w:styleId="CommentSubject">
    <w:name w:val="annotation subject"/>
    <w:basedOn w:val="CommentText"/>
    <w:next w:val="CommentText"/>
    <w:link w:val="CommentSubjectChar"/>
    <w:uiPriority w:val="99"/>
    <w:semiHidden/>
    <w:unhideWhenUsed/>
    <w:rsid w:val="004510B1"/>
    <w:rPr>
      <w:b/>
      <w:bCs/>
    </w:rPr>
  </w:style>
  <w:style w:type="character" w:styleId="CommentSubjectChar" w:customStyle="1">
    <w:name w:val="Comment Subject Char"/>
    <w:basedOn w:val="CommentTextChar"/>
    <w:link w:val="CommentSubject"/>
    <w:uiPriority w:val="99"/>
    <w:semiHidden/>
    <w:rsid w:val="004510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64a10bd-9d73-4521-a8e5-39f6376ed85d">KRZUFNY5THWT-1549434971-62812</_dlc_DocId>
    <_dlc_DocIdUrl xmlns="a64a10bd-9d73-4521-a8e5-39f6376ed85d">
      <Url>https://lianbiopharma.sharepoint.com/sites/sharecenter/_layouts/15/DocIdRedir.aspx?ID=KRZUFNY5THWT-1549434971-62812</Url>
      <Description>KRZUFNY5THWT-1549434971-62812</Description>
    </_dlc_DocIdUrl>
    <lcf76f155ced4ddcb4097134ff3c332f xmlns="8c252879-581b-4535-94cd-e4583c710c71">
      <Terms xmlns="http://schemas.microsoft.com/office/infopath/2007/PartnerControls"/>
    </lcf76f155ced4ddcb4097134ff3c332f>
    <TaxCatchAll xmlns="a64a10bd-9d73-4521-a8e5-39f6376ed85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EC62C864EC3F41BFBBE476ECD6C6DA" ma:contentTypeVersion="16" ma:contentTypeDescription="Create a new document." ma:contentTypeScope="" ma:versionID="7c5e16542b8112991c431143f9e36a52">
  <xsd:schema xmlns:xsd="http://www.w3.org/2001/XMLSchema" xmlns:xs="http://www.w3.org/2001/XMLSchema" xmlns:p="http://schemas.microsoft.com/office/2006/metadata/properties" xmlns:ns2="a64a10bd-9d73-4521-a8e5-39f6376ed85d" xmlns:ns3="8c252879-581b-4535-94cd-e4583c710c71" targetNamespace="http://schemas.microsoft.com/office/2006/metadata/properties" ma:root="true" ma:fieldsID="4fd491d40f296eb359372f9daceb0f13" ns2:_="" ns3:_="">
    <xsd:import namespace="a64a10bd-9d73-4521-a8e5-39f6376ed85d"/>
    <xsd:import namespace="8c252879-581b-4535-94cd-e4583c710c7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a10bd-9d73-4521-a8e5-39f6376ed8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3a5c5ab6-815b-4126-8637-71e5ec7855a3}" ma:internalName="TaxCatchAll" ma:showField="CatchAllData" ma:web="a64a10bd-9d73-4521-a8e5-39f6376ed8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252879-581b-4535-94cd-e4583c710c71"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8b81665-c99f-4ecb-8f2a-b375c9cd426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B1611B-1EFB-4784-9194-34EDA16E7BDF}">
  <ds:schemaRefs>
    <ds:schemaRef ds:uri="http://schemas.microsoft.com/office/2006/metadata/properties"/>
    <ds:schemaRef ds:uri="http://schemas.microsoft.com/office/infopath/2007/PartnerControls"/>
    <ds:schemaRef ds:uri="a64a10bd-9d73-4521-a8e5-39f6376ed85d"/>
  </ds:schemaRefs>
</ds:datastoreItem>
</file>

<file path=customXml/itemProps2.xml><?xml version="1.0" encoding="utf-8"?>
<ds:datastoreItem xmlns:ds="http://schemas.openxmlformats.org/officeDocument/2006/customXml" ds:itemID="{18150BD9-ED02-41A5-805D-88A5D8E95AE3}"/>
</file>

<file path=customXml/itemProps3.xml><?xml version="1.0" encoding="utf-8"?>
<ds:datastoreItem xmlns:ds="http://schemas.openxmlformats.org/officeDocument/2006/customXml" ds:itemID="{1E6644B8-E3B5-4388-88F2-E9FB2385F4C6}">
  <ds:schemaRefs>
    <ds:schemaRef ds:uri="http://schemas.microsoft.com/sharepoint/events"/>
  </ds:schemaRefs>
</ds:datastoreItem>
</file>

<file path=customXml/itemProps4.xml><?xml version="1.0" encoding="utf-8"?>
<ds:datastoreItem xmlns:ds="http://schemas.openxmlformats.org/officeDocument/2006/customXml" ds:itemID="{F0068A91-FD23-444A-AB29-45323CA5EA3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Li</dc:creator>
  <cp:keywords/>
  <dc:description/>
  <cp:lastModifiedBy>Yupeng Li</cp:lastModifiedBy>
  <cp:revision>90</cp:revision>
  <dcterms:created xsi:type="dcterms:W3CDTF">2022-05-24T05:13:00Z</dcterms:created>
  <dcterms:modified xsi:type="dcterms:W3CDTF">2022-05-26T02:06:48Z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0x010100F0EC62C864EC3F41BFBBE476ECD6C6DA</vt:lpwstr>
  </property>
  <property fmtid="{D5CDD505-2E9C-101B-9397-08002B2CF9AE}" pid="3" name="_dlc_DocIdItemGuid">
    <vt:lpwstr>0668e591-5b84-45c5-931c-42aa6598bda9</vt:lpwstr>
  </property>
  <property fmtid="{D5CDD505-2E9C-101B-9397-08002B2CF9AE}" pid="4" name="MediaServiceImageTags">
    <vt:lpwstr/>
  </property>
</Properties>
</file>