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5" w:lineRule="auto"/>
        <w:rPr>
          <w:sz w:val="20"/>
          <w:szCs w:val="20"/>
          <w:color w:val="auto"/>
        </w:rPr>
      </w:pPr>
      <w:r>
        <w:rPr>
          <w:rFonts w:ascii="Calibri" w:cs="Calibri" w:eastAsia="Calibri" w:hAnsi="Calibri"/>
          <w:sz w:val="30"/>
          <w:szCs w:val="30"/>
          <w:b w:val="1"/>
          <w:bCs w:val="1"/>
          <w:color w:val="FFFFFF"/>
        </w:rPr>
        <w:t>SITUATION REPORT - 1</w:t>
      </w:r>
    </w:p>
    <w:p>
      <w:pPr>
        <w:jc w:val="right"/>
        <w:ind w:right="20"/>
        <w:spacing w:after="0"/>
        <w:rPr>
          <w:sz w:val="20"/>
          <w:szCs w:val="20"/>
          <w:color w:val="auto"/>
        </w:rPr>
      </w:pPr>
      <w:r>
        <w:rPr>
          <w:rFonts w:ascii="Calibri" w:cs="Calibri" w:eastAsia="Calibri" w:hAnsi="Calibri"/>
          <w:sz w:val="30"/>
          <w:szCs w:val="30"/>
          <w:b w:val="1"/>
          <w:bCs w:val="1"/>
          <w:color w:val="FFFFFF"/>
        </w:rPr>
        <w:t>21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20 January 2020</w:t>
      </w:r>
    </w:p>
    <w:p>
      <w:pPr>
        <w:spacing w:after="0" w:line="364"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Event highlights from 31 December 2019 to 20 January 2020:</w:t>
      </w:r>
    </w:p>
    <w:p>
      <w:pPr>
        <w:spacing w:after="0" w:line="222" w:lineRule="exact"/>
        <w:rPr>
          <w:sz w:val="24"/>
          <w:szCs w:val="24"/>
          <w:color w:val="auto"/>
        </w:rPr>
      </w:pPr>
    </w:p>
    <w:p>
      <w:pPr>
        <w:ind w:left="720" w:right="140" w:hanging="360"/>
        <w:spacing w:after="0" w:line="264"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31 December 2019, the WHO China Country Office was informed of cases of pneumonia unknown etiology (unknown cause) detected in Wuhan City, Hubei Province of China. From 31 December 2019 through 3 January 2020, a total of 44 case-patients with pneumonia of unknown etiology were reported to WHO by the national authorities in China. During this reported period, the causal agent was not identified.</w:t>
      </w:r>
    </w:p>
    <w:p>
      <w:pPr>
        <w:spacing w:after="0" w:line="78" w:lineRule="exact"/>
        <w:rPr>
          <w:rFonts w:ascii="Arial" w:cs="Arial" w:eastAsia="Arial" w:hAnsi="Arial"/>
          <w:sz w:val="22"/>
          <w:szCs w:val="22"/>
          <w:color w:val="auto"/>
        </w:rPr>
      </w:pPr>
    </w:p>
    <w:p>
      <w:pPr>
        <w:ind w:left="720" w:right="280" w:hanging="360"/>
        <w:spacing w:after="0" w:line="25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11 and 12 January 2020, WHO received further detailed information from the National Health Commission China that the outbreak is associated with exposures in one seafood market in Wuhan City.</w:t>
      </w:r>
    </w:p>
    <w:p>
      <w:pPr>
        <w:spacing w:after="0" w:line="89" w:lineRule="exact"/>
        <w:rPr>
          <w:rFonts w:ascii="Arial" w:cs="Arial" w:eastAsia="Arial" w:hAnsi="Arial"/>
          <w:sz w:val="22"/>
          <w:szCs w:val="22"/>
          <w:color w:val="auto"/>
        </w:rPr>
      </w:pPr>
    </w:p>
    <w:p>
      <w:pPr>
        <w:ind w:left="720" w:right="700" w:hanging="360"/>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Chinese authorities identified a new type of coronavirus, which was isolated on 7 January 2020.</w:t>
      </w:r>
    </w:p>
    <w:p>
      <w:pPr>
        <w:spacing w:after="0" w:line="101" w:lineRule="exact"/>
        <w:rPr>
          <w:rFonts w:ascii="Arial" w:cs="Arial" w:eastAsia="Arial" w:hAnsi="Arial"/>
          <w:sz w:val="22"/>
          <w:szCs w:val="22"/>
          <w:color w:val="auto"/>
        </w:rPr>
      </w:pPr>
    </w:p>
    <w:p>
      <w:pPr>
        <w:ind w:left="720" w:right="800" w:hanging="360"/>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12 January 2020, China shared the genetic sequence of the novel coronavirus for countries to use in developing specific diagnostic kits.</w:t>
      </w:r>
    </w:p>
    <w:p>
      <w:pPr>
        <w:spacing w:after="0" w:line="103" w:lineRule="exact"/>
        <w:rPr>
          <w:rFonts w:ascii="Arial" w:cs="Arial" w:eastAsia="Arial" w:hAnsi="Arial"/>
          <w:sz w:val="22"/>
          <w:szCs w:val="22"/>
          <w:color w:val="auto"/>
        </w:rPr>
      </w:pPr>
    </w:p>
    <w:p>
      <w:pPr>
        <w:ind w:left="720" w:right="100" w:hanging="360"/>
        <w:spacing w:after="0" w:line="23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13 January 2020, the Ministry of Public Health, Thailand reported the first imported case of lab-confirmed novel coronavirus (2019-nCoV) from Wuhan, Hubei Province, China.</w:t>
      </w:r>
    </w:p>
    <w:p>
      <w:pPr>
        <w:spacing w:after="0" w:line="102" w:lineRule="exact"/>
        <w:rPr>
          <w:rFonts w:ascii="Arial" w:cs="Arial" w:eastAsia="Arial" w:hAnsi="Arial"/>
          <w:sz w:val="22"/>
          <w:szCs w:val="22"/>
          <w:color w:val="auto"/>
        </w:rPr>
      </w:pPr>
    </w:p>
    <w:p>
      <w:pPr>
        <w:ind w:left="720" w:right="80" w:hanging="360"/>
        <w:spacing w:after="0" w:line="25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15 January 2020, the Ministry of Health, Labour and Welfare, Japan (MHLW) reported an imported case of laboratory-confirmed 2019-novel coronavirus (2019-nCoV) from Wuhan, Hubei Province, China.</w:t>
      </w:r>
    </w:p>
    <w:p>
      <w:pPr>
        <w:spacing w:after="0" w:line="89" w:lineRule="exact"/>
        <w:rPr>
          <w:rFonts w:ascii="Arial" w:cs="Arial" w:eastAsia="Arial" w:hAnsi="Arial"/>
          <w:sz w:val="22"/>
          <w:szCs w:val="22"/>
          <w:color w:val="auto"/>
        </w:rPr>
      </w:pPr>
    </w:p>
    <w:p>
      <w:pPr>
        <w:ind w:left="720" w:right="220" w:hanging="360"/>
        <w:spacing w:after="0" w:line="23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20 January 2020, National IHR Focal Point (NFP) for Republic of Korea reported the first case of novel coronavirus in the Republic of Korea.</w:t>
      </w:r>
    </w:p>
    <w:p>
      <w:pPr>
        <w:spacing w:after="0" w:line="200" w:lineRule="exact"/>
        <w:rPr>
          <w:sz w:val="24"/>
          <w:szCs w:val="24"/>
          <w:color w:val="auto"/>
        </w:rPr>
      </w:pPr>
    </w:p>
    <w:p>
      <w:pPr>
        <w:spacing w:after="0" w:line="272"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220" w:lineRule="exact"/>
        <w:rPr>
          <w:sz w:val="24"/>
          <w:szCs w:val="24"/>
          <w:color w:val="auto"/>
        </w:rPr>
      </w:pPr>
    </w:p>
    <w:p>
      <w:pPr>
        <w:jc w:val="both"/>
        <w:ind w:left="720" w:hanging="360"/>
        <w:spacing w:after="0" w:line="254"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As of 20 January 2020, 282 confirmed cases of 2019-nCoV have been reported from four countries including China (278 cases), Thailand (2 cases), Japan (1 case) and the Republic of Korea (1 case);</w:t>
      </w:r>
    </w:p>
    <w:p>
      <w:pPr>
        <w:spacing w:after="0" w:line="36"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Cases in Thailand, Japan and Republic of Korea were exported from Wuhan City, China;</w:t>
      </w:r>
    </w:p>
    <w:p>
      <w:pPr>
        <w:spacing w:after="0" w:line="101" w:lineRule="exact"/>
        <w:rPr>
          <w:rFonts w:ascii="Arial" w:cs="Arial" w:eastAsia="Arial" w:hAnsi="Arial"/>
          <w:sz w:val="22"/>
          <w:szCs w:val="22"/>
          <w:color w:val="auto"/>
        </w:rPr>
      </w:pPr>
    </w:p>
    <w:p>
      <w:pPr>
        <w:jc w:val="both"/>
        <w:ind w:left="720" w:hanging="360"/>
        <w:spacing w:after="0" w:line="253" w:lineRule="auto"/>
        <w:tabs>
          <w:tab w:leader="none" w:pos="720" w:val="left"/>
        </w:tabs>
        <w:numPr>
          <w:ilvl w:val="0"/>
          <w:numId w:val="2"/>
        </w:numPr>
        <w:rPr>
          <w:rFonts w:ascii="Arial" w:cs="Arial" w:eastAsia="Arial" w:hAnsi="Arial"/>
          <w:sz w:val="21"/>
          <w:szCs w:val="21"/>
          <w:color w:val="auto"/>
        </w:rPr>
      </w:pPr>
      <w:r>
        <w:rPr>
          <w:rFonts w:ascii="Calibri" w:cs="Calibri" w:eastAsia="Calibri" w:hAnsi="Calibri"/>
          <w:sz w:val="21"/>
          <w:szCs w:val="21"/>
          <w:color w:val="auto"/>
        </w:rPr>
        <w:t>Among the 278 cases confirmed in China, 258 cases were reported from Hubei Province, 14 from Guangdong Province, five from Beijing Municipality and one from Shanghai Municipality;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line="3" w:lineRule="exact"/>
        <w:rPr>
          <w:sz w:val="20"/>
          <w:szCs w:val="20"/>
          <w:color w:val="auto"/>
        </w:rPr>
      </w:pPr>
    </w:p>
    <w:p>
      <w:pPr>
        <w:ind w:left="720" w:hanging="360"/>
        <w:spacing w:after="0"/>
        <w:tabs>
          <w:tab w:leader="none" w:pos="72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Of the 278 confirmed cases, 51 cases are severely ill</w:t>
      </w:r>
      <w:r>
        <w:rPr>
          <w:rFonts w:ascii="Calibri" w:cs="Calibri" w:eastAsia="Calibri" w:hAnsi="Calibri"/>
          <w:sz w:val="27"/>
          <w:szCs w:val="27"/>
          <w:color w:val="auto"/>
          <w:vertAlign w:val="superscript"/>
        </w:rPr>
        <w:t>1</w:t>
      </w:r>
      <w:r>
        <w:rPr>
          <w:rFonts w:ascii="Calibri" w:cs="Calibri" w:eastAsia="Calibri" w:hAnsi="Calibri"/>
          <w:sz w:val="22"/>
          <w:szCs w:val="22"/>
          <w:color w:val="auto"/>
        </w:rPr>
        <w:t>, 12 are in critical condition</w:t>
      </w:r>
      <w:r>
        <w:rPr>
          <w:rFonts w:ascii="Calibri" w:cs="Calibri" w:eastAsia="Calibri" w:hAnsi="Calibri"/>
          <w:sz w:val="27"/>
          <w:szCs w:val="27"/>
          <w:color w:val="auto"/>
          <w:vertAlign w:val="superscript"/>
        </w:rPr>
        <w:t>2</w:t>
      </w:r>
      <w:r>
        <w:rPr>
          <w:rFonts w:ascii="Calibri" w:cs="Calibri" w:eastAsia="Calibri" w:hAnsi="Calibri"/>
          <w:sz w:val="22"/>
          <w:szCs w:val="22"/>
          <w:color w:val="auto"/>
        </w:rPr>
        <w:t>;</w:t>
      </w:r>
    </w:p>
    <w:p>
      <w:pPr>
        <w:ind w:left="720" w:hanging="360"/>
        <w:spacing w:after="0" w:line="236" w:lineRule="auto"/>
        <w:tabs>
          <w:tab w:leader="none" w:pos="72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Six deaths have been reported from Wuhan City.</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7" w:lineRule="exact"/>
        <w:rPr>
          <w:rFonts w:ascii="Arial" w:cs="Arial" w:eastAsia="Arial" w:hAnsi="Arial"/>
          <w:sz w:val="22"/>
          <w:szCs w:val="22"/>
          <w:color w:val="auto"/>
        </w:rPr>
      </w:pPr>
    </w:p>
    <w:p>
      <w:pPr>
        <w:ind w:left="200" w:hanging="200"/>
        <w:spacing w:after="0"/>
        <w:tabs>
          <w:tab w:leader="none" w:pos="200" w:val="left"/>
        </w:tabs>
        <w:numPr>
          <w:ilvl w:val="0"/>
          <w:numId w:val="3"/>
        </w:numPr>
        <w:rPr>
          <w:rFonts w:ascii="Calibri" w:cs="Calibri" w:eastAsia="Calibri" w:hAnsi="Calibri"/>
          <w:sz w:val="26"/>
          <w:szCs w:val="26"/>
          <w:b w:val="1"/>
          <w:bCs w:val="1"/>
          <w:color w:val="0070C0"/>
        </w:rPr>
      </w:pPr>
      <w:r>
        <w:rPr>
          <w:rFonts w:ascii="Calibri" w:cs="Calibri" w:eastAsia="Calibri" w:hAnsi="Calibri"/>
          <w:sz w:val="26"/>
          <w:szCs w:val="26"/>
          <w:b w:val="1"/>
          <w:bCs w:val="1"/>
          <w:color w:val="0070C0"/>
        </w:rPr>
        <w:t>SURVEILLANCE</w:t>
      </w:r>
    </w:p>
    <w:p>
      <w:pPr>
        <w:spacing w:after="0" w:line="1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08" w:lineRule="exact"/>
        <w:rPr>
          <w:sz w:val="20"/>
          <w:szCs w:val="20"/>
          <w:color w:val="auto"/>
        </w:rPr>
      </w:pPr>
    </w:p>
    <w:p>
      <w:pPr>
        <w:ind w:right="346"/>
        <w:spacing w:after="0" w:line="236"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20 January 2020</w:t>
      </w:r>
    </w:p>
    <w:p>
      <w:pPr>
        <w:spacing w:after="0" w:line="52" w:lineRule="exact"/>
        <w:rPr>
          <w:sz w:val="20"/>
          <w:szCs w:val="20"/>
          <w:color w:val="auto"/>
        </w:rPr>
      </w:pPr>
    </w:p>
    <w:tbl>
      <w:tblPr>
        <w:tblLayout w:type="fixed"/>
        <w:tblInd w:w="20" w:type="dxa"/>
        <w:tblCellMar>
          <w:top w:w="0" w:type="dxa"/>
          <w:left w:w="0" w:type="dxa"/>
          <w:bottom w:w="0" w:type="dxa"/>
          <w:right w:w="0" w:type="dxa"/>
        </w:tblCellMar>
      </w:tblPr>
      <w:tr>
        <w:trPr>
          <w:trHeight w:val="269"/>
        </w:trPr>
        <w:tc>
          <w:tcPr>
            <w:tcW w:w="2400" w:type="dxa"/>
            <w:vAlign w:val="bottom"/>
            <w:shd w:val="clear" w:color="auto" w:fill="4F81BD"/>
          </w:tcPr>
          <w:p>
            <w:pPr>
              <w:ind w:left="100"/>
              <w:spacing w:after="0"/>
              <w:rPr>
                <w:sz w:val="20"/>
                <w:szCs w:val="20"/>
                <w:color w:val="auto"/>
              </w:rPr>
            </w:pPr>
            <w:r>
              <w:rPr>
                <w:rFonts w:ascii="Calibri" w:cs="Calibri" w:eastAsia="Calibri" w:hAnsi="Calibri"/>
                <w:sz w:val="22"/>
                <w:szCs w:val="22"/>
                <w:b w:val="1"/>
                <w:bCs w:val="1"/>
                <w:color w:val="FFFFFF"/>
              </w:rPr>
              <w:t>WHO Regional</w:t>
            </w:r>
          </w:p>
        </w:tc>
        <w:tc>
          <w:tcPr>
            <w:tcW w:w="20" w:type="dxa"/>
            <w:vAlign w:val="bottom"/>
            <w:shd w:val="clear" w:color="auto" w:fill="4F81BD"/>
          </w:tcPr>
          <w:p>
            <w:pPr>
              <w:spacing w:after="0"/>
              <w:rPr>
                <w:sz w:val="23"/>
                <w:szCs w:val="23"/>
                <w:color w:val="auto"/>
              </w:rPr>
            </w:pPr>
          </w:p>
        </w:tc>
        <w:tc>
          <w:tcPr>
            <w:tcW w:w="3550" w:type="dxa"/>
            <w:vAlign w:val="bottom"/>
            <w:shd w:val="clear" w:color="auto" w:fill="4F81BD"/>
          </w:tcPr>
          <w:p>
            <w:pPr>
              <w:ind w:left="400"/>
              <w:spacing w:after="0"/>
              <w:rPr>
                <w:sz w:val="20"/>
                <w:szCs w:val="20"/>
                <w:color w:val="auto"/>
              </w:rPr>
            </w:pPr>
            <w:r>
              <w:rPr>
                <w:rFonts w:ascii="Calibri" w:cs="Calibri" w:eastAsia="Calibri" w:hAnsi="Calibri"/>
                <w:sz w:val="22"/>
                <w:szCs w:val="22"/>
                <w:b w:val="1"/>
                <w:bCs w:val="1"/>
                <w:color w:val="FFFFFF"/>
              </w:rPr>
              <w:t>Country, territory, area</w:t>
            </w:r>
          </w:p>
        </w:tc>
        <w:tc>
          <w:tcPr>
            <w:tcW w:w="2830" w:type="dxa"/>
            <w:vAlign w:val="bottom"/>
            <w:shd w:val="clear" w:color="auto" w:fill="4F81BD"/>
          </w:tcPr>
          <w:p>
            <w:pPr>
              <w:ind w:left="370"/>
              <w:spacing w:after="0"/>
              <w:rPr>
                <w:sz w:val="20"/>
                <w:szCs w:val="20"/>
                <w:color w:val="auto"/>
              </w:rPr>
            </w:pPr>
            <w:r>
              <w:rPr>
                <w:rFonts w:ascii="Calibri" w:cs="Calibri" w:eastAsia="Calibri" w:hAnsi="Calibri"/>
                <w:sz w:val="22"/>
                <w:szCs w:val="22"/>
                <w:b w:val="1"/>
                <w:bCs w:val="1"/>
                <w:color w:val="FFFFFF"/>
              </w:rPr>
              <w:t>Total number of</w:t>
            </w:r>
          </w:p>
        </w:tc>
      </w:tr>
      <w:tr>
        <w:trPr>
          <w:trHeight w:val="281"/>
        </w:trPr>
        <w:tc>
          <w:tcPr>
            <w:tcW w:w="2400" w:type="dxa"/>
            <w:vAlign w:val="bottom"/>
            <w:shd w:val="clear" w:color="auto" w:fill="4F81BD"/>
          </w:tcPr>
          <w:p>
            <w:pPr>
              <w:ind w:left="100"/>
              <w:spacing w:after="0"/>
              <w:rPr>
                <w:sz w:val="20"/>
                <w:szCs w:val="20"/>
                <w:color w:val="auto"/>
              </w:rPr>
            </w:pPr>
            <w:r>
              <w:rPr>
                <w:rFonts w:ascii="Calibri" w:cs="Calibri" w:eastAsia="Calibri" w:hAnsi="Calibri"/>
                <w:sz w:val="22"/>
                <w:szCs w:val="22"/>
                <w:b w:val="1"/>
                <w:bCs w:val="1"/>
                <w:color w:val="FFFFFF"/>
              </w:rPr>
              <w:t>Office</w:t>
            </w:r>
          </w:p>
        </w:tc>
        <w:tc>
          <w:tcPr>
            <w:tcW w:w="20" w:type="dxa"/>
            <w:vAlign w:val="bottom"/>
            <w:shd w:val="clear" w:color="auto" w:fill="4F81BD"/>
          </w:tcPr>
          <w:p>
            <w:pPr>
              <w:spacing w:after="0"/>
              <w:rPr>
                <w:sz w:val="24"/>
                <w:szCs w:val="24"/>
                <w:color w:val="auto"/>
              </w:rPr>
            </w:pPr>
          </w:p>
        </w:tc>
        <w:tc>
          <w:tcPr>
            <w:tcW w:w="3550" w:type="dxa"/>
            <w:vAlign w:val="bottom"/>
            <w:shd w:val="clear" w:color="auto" w:fill="4F81BD"/>
          </w:tcPr>
          <w:p>
            <w:pPr>
              <w:spacing w:after="0"/>
              <w:rPr>
                <w:sz w:val="24"/>
                <w:szCs w:val="24"/>
                <w:color w:val="auto"/>
              </w:rPr>
            </w:pPr>
          </w:p>
        </w:tc>
        <w:tc>
          <w:tcPr>
            <w:tcW w:w="2830" w:type="dxa"/>
            <w:vAlign w:val="bottom"/>
            <w:shd w:val="clear" w:color="auto" w:fill="4F81BD"/>
          </w:tcPr>
          <w:p>
            <w:pPr>
              <w:ind w:left="370"/>
              <w:spacing w:after="0"/>
              <w:rPr>
                <w:sz w:val="20"/>
                <w:szCs w:val="20"/>
                <w:color w:val="auto"/>
              </w:rPr>
            </w:pPr>
            <w:r>
              <w:rPr>
                <w:rFonts w:ascii="Calibri" w:cs="Calibri" w:eastAsia="Calibri" w:hAnsi="Calibri"/>
                <w:sz w:val="22"/>
                <w:szCs w:val="22"/>
                <w:b w:val="1"/>
                <w:bCs w:val="1"/>
                <w:color w:val="FFFFFF"/>
              </w:rPr>
              <w:t>confirmed cases</w:t>
            </w:r>
          </w:p>
        </w:tc>
      </w:tr>
      <w:tr>
        <w:trPr>
          <w:trHeight w:val="275"/>
        </w:trPr>
        <w:tc>
          <w:tcPr>
            <w:tcW w:w="2400" w:type="dxa"/>
            <w:vAlign w:val="bottom"/>
            <w:shd w:val="clear" w:color="auto" w:fill="4F81BD"/>
          </w:tcPr>
          <w:p>
            <w:pPr>
              <w:ind w:left="100"/>
              <w:spacing w:after="0" w:line="266" w:lineRule="exact"/>
              <w:rPr>
                <w:sz w:val="20"/>
                <w:szCs w:val="20"/>
                <w:color w:val="auto"/>
              </w:rPr>
            </w:pPr>
            <w:r>
              <w:rPr>
                <w:rFonts w:ascii="Calibri" w:cs="Calibri" w:eastAsia="Calibri" w:hAnsi="Calibri"/>
                <w:sz w:val="22"/>
                <w:szCs w:val="22"/>
                <w:b w:val="1"/>
                <w:bCs w:val="1"/>
                <w:color w:val="FFFFFF"/>
              </w:rPr>
              <w:t>WPRO</w:t>
            </w:r>
          </w:p>
        </w:tc>
        <w:tc>
          <w:tcPr>
            <w:tcW w:w="20" w:type="dxa"/>
            <w:vAlign w:val="bottom"/>
          </w:tcPr>
          <w:p>
            <w:pPr>
              <w:spacing w:after="0"/>
              <w:rPr>
                <w:sz w:val="23"/>
                <w:szCs w:val="23"/>
                <w:color w:val="auto"/>
              </w:rPr>
            </w:pPr>
          </w:p>
        </w:tc>
        <w:tc>
          <w:tcPr>
            <w:tcW w:w="3550" w:type="dxa"/>
            <w:vAlign w:val="bottom"/>
            <w:shd w:val="clear" w:color="auto" w:fill="DBE5F1"/>
          </w:tcPr>
          <w:p>
            <w:pPr>
              <w:ind w:left="100"/>
              <w:spacing w:after="0" w:line="266" w:lineRule="exact"/>
              <w:rPr>
                <w:sz w:val="20"/>
                <w:szCs w:val="20"/>
                <w:color w:val="auto"/>
              </w:rPr>
            </w:pPr>
            <w:r>
              <w:rPr>
                <w:rFonts w:ascii="Calibri" w:cs="Calibri" w:eastAsia="Calibri" w:hAnsi="Calibri"/>
                <w:sz w:val="22"/>
                <w:szCs w:val="22"/>
                <w:color w:val="auto"/>
              </w:rPr>
              <w:t>China – Hubei Province</w:t>
            </w:r>
          </w:p>
        </w:tc>
        <w:tc>
          <w:tcPr>
            <w:tcW w:w="2830" w:type="dxa"/>
            <w:vAlign w:val="bottom"/>
            <w:shd w:val="clear" w:color="auto" w:fill="DBE5F1"/>
          </w:tcPr>
          <w:p>
            <w:pPr>
              <w:jc w:val="center"/>
              <w:ind w:right="500"/>
              <w:spacing w:after="0" w:line="266" w:lineRule="exact"/>
              <w:rPr>
                <w:sz w:val="20"/>
                <w:szCs w:val="20"/>
                <w:color w:val="auto"/>
              </w:rPr>
            </w:pPr>
            <w:r>
              <w:rPr>
                <w:rFonts w:ascii="Calibri" w:cs="Calibri" w:eastAsia="Calibri" w:hAnsi="Calibri"/>
                <w:sz w:val="22"/>
                <w:szCs w:val="22"/>
                <w:color w:val="auto"/>
                <w:w w:val="95"/>
              </w:rPr>
              <w:t>258</w:t>
            </w:r>
          </w:p>
        </w:tc>
      </w:tr>
      <w:tr>
        <w:trPr>
          <w:trHeight w:val="278"/>
        </w:trPr>
        <w:tc>
          <w:tcPr>
            <w:tcW w:w="240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line="266" w:lineRule="exact"/>
              <w:rPr>
                <w:sz w:val="20"/>
                <w:szCs w:val="20"/>
                <w:color w:val="auto"/>
              </w:rPr>
            </w:pPr>
            <w:r>
              <w:rPr>
                <w:rFonts w:ascii="Calibri" w:cs="Calibri" w:eastAsia="Calibri" w:hAnsi="Calibri"/>
                <w:sz w:val="22"/>
                <w:szCs w:val="22"/>
                <w:color w:val="auto"/>
              </w:rPr>
              <w:t>China – Guangdong</w:t>
            </w:r>
          </w:p>
        </w:tc>
        <w:tc>
          <w:tcPr>
            <w:tcW w:w="2830" w:type="dxa"/>
            <w:vAlign w:val="bottom"/>
            <w:shd w:val="clear" w:color="auto" w:fill="DBE5F1"/>
          </w:tcPr>
          <w:p>
            <w:pPr>
              <w:jc w:val="center"/>
              <w:ind w:right="500"/>
              <w:spacing w:after="0" w:line="266" w:lineRule="exact"/>
              <w:rPr>
                <w:sz w:val="20"/>
                <w:szCs w:val="20"/>
                <w:color w:val="auto"/>
              </w:rPr>
            </w:pPr>
            <w:r>
              <w:rPr>
                <w:rFonts w:ascii="Calibri" w:cs="Calibri" w:eastAsia="Calibri" w:hAnsi="Calibri"/>
                <w:sz w:val="22"/>
                <w:szCs w:val="22"/>
                <w:color w:val="auto"/>
              </w:rPr>
              <w:t>14</w:t>
            </w:r>
          </w:p>
        </w:tc>
      </w:tr>
      <w:tr>
        <w:trPr>
          <w:trHeight w:val="280"/>
        </w:trPr>
        <w:tc>
          <w:tcPr>
            <w:tcW w:w="240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rPr>
                <w:sz w:val="20"/>
                <w:szCs w:val="20"/>
                <w:color w:val="auto"/>
              </w:rPr>
            </w:pPr>
            <w:r>
              <w:rPr>
                <w:rFonts w:ascii="Calibri" w:cs="Calibri" w:eastAsia="Calibri" w:hAnsi="Calibri"/>
                <w:sz w:val="22"/>
                <w:szCs w:val="22"/>
                <w:color w:val="auto"/>
              </w:rPr>
              <w:t>China – Beijing Municipality</w:t>
            </w: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rPr>
              <w:t>5</w:t>
            </w:r>
          </w:p>
        </w:tc>
      </w:tr>
      <w:tr>
        <w:trPr>
          <w:trHeight w:val="278"/>
        </w:trPr>
        <w:tc>
          <w:tcPr>
            <w:tcW w:w="240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rPr>
                <w:sz w:val="20"/>
                <w:szCs w:val="20"/>
                <w:color w:val="auto"/>
              </w:rPr>
            </w:pPr>
            <w:r>
              <w:rPr>
                <w:rFonts w:ascii="Calibri" w:cs="Calibri" w:eastAsia="Calibri" w:hAnsi="Calibri"/>
                <w:sz w:val="22"/>
                <w:szCs w:val="22"/>
                <w:color w:val="auto"/>
              </w:rPr>
              <w:t>China – Shanghai Municipality</w:t>
            </w: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rPr>
              <w:t>1</w:t>
            </w:r>
          </w:p>
        </w:tc>
      </w:tr>
      <w:tr>
        <w:trPr>
          <w:trHeight w:val="278"/>
        </w:trPr>
        <w:tc>
          <w:tcPr>
            <w:tcW w:w="240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rPr>
                <w:sz w:val="20"/>
                <w:szCs w:val="20"/>
                <w:color w:val="auto"/>
              </w:rPr>
            </w:pPr>
            <w:r>
              <w:rPr>
                <w:rFonts w:ascii="Calibri" w:cs="Calibri" w:eastAsia="Calibri" w:hAnsi="Calibri"/>
                <w:sz w:val="22"/>
                <w:szCs w:val="22"/>
                <w:color w:val="auto"/>
              </w:rPr>
              <w:t>Japan</w:t>
            </w: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rPr>
              <w:t>1</w:t>
            </w:r>
          </w:p>
        </w:tc>
      </w:tr>
      <w:tr>
        <w:trPr>
          <w:trHeight w:val="278"/>
        </w:trPr>
        <w:tc>
          <w:tcPr>
            <w:tcW w:w="240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rPr>
                <w:sz w:val="20"/>
                <w:szCs w:val="20"/>
                <w:color w:val="auto"/>
              </w:rPr>
            </w:pPr>
            <w:r>
              <w:rPr>
                <w:rFonts w:ascii="Calibri" w:cs="Calibri" w:eastAsia="Calibri" w:hAnsi="Calibri"/>
                <w:sz w:val="22"/>
                <w:szCs w:val="22"/>
                <w:color w:val="auto"/>
              </w:rPr>
              <w:t>Republic of Korea</w:t>
            </w: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rPr>
              <w:t>1</w:t>
            </w:r>
          </w:p>
        </w:tc>
      </w:tr>
      <w:tr>
        <w:trPr>
          <w:trHeight w:val="278"/>
        </w:trPr>
        <w:tc>
          <w:tcPr>
            <w:tcW w:w="2400" w:type="dxa"/>
            <w:vAlign w:val="bottom"/>
            <w:shd w:val="clear" w:color="auto" w:fill="4F81BD"/>
          </w:tcPr>
          <w:p>
            <w:pPr>
              <w:ind w:left="100"/>
              <w:spacing w:after="0"/>
              <w:rPr>
                <w:sz w:val="20"/>
                <w:szCs w:val="20"/>
                <w:color w:val="auto"/>
              </w:rPr>
            </w:pPr>
            <w:r>
              <w:rPr>
                <w:rFonts w:ascii="Calibri" w:cs="Calibri" w:eastAsia="Calibri" w:hAnsi="Calibri"/>
                <w:sz w:val="22"/>
                <w:szCs w:val="22"/>
                <w:b w:val="1"/>
                <w:bCs w:val="1"/>
                <w:color w:val="FFFFFF"/>
              </w:rPr>
              <w:t>SEARO</w:t>
            </w:r>
          </w:p>
        </w:tc>
        <w:tc>
          <w:tcPr>
            <w:tcW w:w="20" w:type="dxa"/>
            <w:vAlign w:val="bottom"/>
          </w:tcPr>
          <w:p>
            <w:pPr>
              <w:spacing w:after="0"/>
              <w:rPr>
                <w:sz w:val="24"/>
                <w:szCs w:val="24"/>
                <w:color w:val="auto"/>
              </w:rPr>
            </w:pPr>
          </w:p>
        </w:tc>
        <w:tc>
          <w:tcPr>
            <w:tcW w:w="3550" w:type="dxa"/>
            <w:vAlign w:val="bottom"/>
            <w:shd w:val="clear" w:color="auto" w:fill="DBE5F1"/>
          </w:tcPr>
          <w:p>
            <w:pPr>
              <w:ind w:left="100"/>
              <w:spacing w:after="0"/>
              <w:rPr>
                <w:sz w:val="20"/>
                <w:szCs w:val="20"/>
                <w:color w:val="auto"/>
              </w:rPr>
            </w:pPr>
            <w:r>
              <w:rPr>
                <w:rFonts w:ascii="Calibri" w:cs="Calibri" w:eastAsia="Calibri" w:hAnsi="Calibri"/>
                <w:sz w:val="22"/>
                <w:szCs w:val="22"/>
                <w:color w:val="auto"/>
              </w:rPr>
              <w:t>Thailand</w:t>
            </w: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rPr>
              <w:t>2</w:t>
            </w:r>
          </w:p>
        </w:tc>
      </w:tr>
      <w:tr>
        <w:trPr>
          <w:trHeight w:val="269"/>
        </w:trPr>
        <w:tc>
          <w:tcPr>
            <w:tcW w:w="2400" w:type="dxa"/>
            <w:vAlign w:val="bottom"/>
            <w:shd w:val="clear" w:color="auto" w:fill="4F81BD"/>
          </w:tcPr>
          <w:p>
            <w:pPr>
              <w:ind w:left="100"/>
              <w:spacing w:after="0"/>
              <w:rPr>
                <w:sz w:val="20"/>
                <w:szCs w:val="20"/>
                <w:color w:val="auto"/>
              </w:rPr>
            </w:pPr>
            <w:r>
              <w:rPr>
                <w:rFonts w:ascii="Calibri" w:cs="Calibri" w:eastAsia="Calibri" w:hAnsi="Calibri"/>
                <w:sz w:val="22"/>
                <w:szCs w:val="22"/>
                <w:b w:val="1"/>
                <w:bCs w:val="1"/>
                <w:color w:val="FFFFFF"/>
              </w:rPr>
              <w:t>Total confirmed</w:t>
            </w:r>
          </w:p>
        </w:tc>
        <w:tc>
          <w:tcPr>
            <w:tcW w:w="20" w:type="dxa"/>
            <w:vAlign w:val="bottom"/>
          </w:tcPr>
          <w:p>
            <w:pPr>
              <w:spacing w:after="0"/>
              <w:rPr>
                <w:sz w:val="23"/>
                <w:szCs w:val="23"/>
                <w:color w:val="auto"/>
              </w:rPr>
            </w:pPr>
          </w:p>
        </w:tc>
        <w:tc>
          <w:tcPr>
            <w:tcW w:w="3550" w:type="dxa"/>
            <w:vAlign w:val="bottom"/>
            <w:shd w:val="clear" w:color="auto" w:fill="DBE5F1"/>
          </w:tcPr>
          <w:p>
            <w:pPr>
              <w:spacing w:after="0"/>
              <w:rPr>
                <w:sz w:val="23"/>
                <w:szCs w:val="23"/>
                <w:color w:val="auto"/>
              </w:rPr>
            </w:pPr>
          </w:p>
        </w:tc>
        <w:tc>
          <w:tcPr>
            <w:tcW w:w="2830" w:type="dxa"/>
            <w:vAlign w:val="bottom"/>
            <w:shd w:val="clear" w:color="auto" w:fill="DBE5F1"/>
          </w:tcPr>
          <w:p>
            <w:pPr>
              <w:jc w:val="center"/>
              <w:ind w:right="500"/>
              <w:spacing w:after="0"/>
              <w:rPr>
                <w:sz w:val="20"/>
                <w:szCs w:val="20"/>
                <w:color w:val="auto"/>
              </w:rPr>
            </w:pPr>
            <w:r>
              <w:rPr>
                <w:rFonts w:ascii="Calibri" w:cs="Calibri" w:eastAsia="Calibri" w:hAnsi="Calibri"/>
                <w:sz w:val="22"/>
                <w:szCs w:val="22"/>
                <w:color w:val="auto"/>
                <w:w w:val="95"/>
              </w:rPr>
              <w:t>282</w:t>
            </w:r>
          </w:p>
        </w:tc>
      </w:tr>
      <w:tr>
        <w:trPr>
          <w:trHeight w:val="275"/>
        </w:trPr>
        <w:tc>
          <w:tcPr>
            <w:tcW w:w="2400" w:type="dxa"/>
            <w:vAlign w:val="bottom"/>
            <w:shd w:val="clear" w:color="auto" w:fill="4F81BD"/>
          </w:tcPr>
          <w:p>
            <w:pPr>
              <w:ind w:left="100"/>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23"/>
                <w:szCs w:val="23"/>
                <w:color w:val="auto"/>
              </w:rPr>
            </w:pPr>
          </w:p>
        </w:tc>
        <w:tc>
          <w:tcPr>
            <w:tcW w:w="3550" w:type="dxa"/>
            <w:vAlign w:val="bottom"/>
            <w:shd w:val="clear" w:color="auto" w:fill="DBE5F1"/>
          </w:tcPr>
          <w:p>
            <w:pPr>
              <w:spacing w:after="0"/>
              <w:rPr>
                <w:sz w:val="23"/>
                <w:szCs w:val="23"/>
                <w:color w:val="auto"/>
              </w:rPr>
            </w:pPr>
          </w:p>
        </w:tc>
        <w:tc>
          <w:tcPr>
            <w:tcW w:w="2830" w:type="dxa"/>
            <w:vAlign w:val="bottom"/>
            <w:shd w:val="clear" w:color="auto" w:fill="DBE5F1"/>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-520700</wp:posOffset>
                </wp:positionV>
                <wp:extent cx="153479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479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1pt" to="121.35pt,-41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1547495</wp:posOffset>
                </wp:positionH>
                <wp:positionV relativeFrom="paragraph">
                  <wp:posOffset>-520700</wp:posOffset>
                </wp:positionV>
                <wp:extent cx="22218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2186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85pt,-41pt" to="296.8pt,-41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3775710</wp:posOffset>
                </wp:positionH>
                <wp:positionV relativeFrom="paragraph">
                  <wp:posOffset>-520700</wp:posOffset>
                </wp:positionV>
                <wp:extent cx="18230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308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3pt,-41pt" to="440.85pt,-41pt" o:allowincell="f" strokecolor="#FFFFFF" strokeweight="0.48pt"/>
            </w:pict>
          </mc:Fallback>
        </mc:AlternateContent>
      </w:r>
    </w:p>
    <w:p>
      <w:pPr>
        <w:spacing w:after="0" w:line="29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Details of cases reported on 20 January 2020:</w:t>
      </w:r>
    </w:p>
    <w:p>
      <w:pPr>
        <w:spacing w:after="0" w:line="140" w:lineRule="exact"/>
        <w:rPr>
          <w:sz w:val="20"/>
          <w:szCs w:val="20"/>
          <w:color w:val="auto"/>
        </w:rPr>
      </w:pPr>
    </w:p>
    <w:p>
      <w:pPr>
        <w:ind w:left="280" w:hanging="280"/>
        <w:spacing w:after="0"/>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Wuhan City:</w:t>
      </w:r>
    </w:p>
    <w:p>
      <w:pPr>
        <w:spacing w:after="0" w:line="90"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60 new confirmed cases including three deaths.</w:t>
      </w:r>
    </w:p>
    <w:p>
      <w:pPr>
        <w:spacing w:after="0" w:line="200" w:lineRule="exact"/>
        <w:rPr>
          <w:rFonts w:ascii="Arial" w:cs="Arial" w:eastAsia="Arial" w:hAnsi="Arial"/>
          <w:sz w:val="25"/>
          <w:szCs w:val="25"/>
          <w:color w:val="auto"/>
          <w:vertAlign w:val="superscript"/>
        </w:rPr>
      </w:pPr>
    </w:p>
    <w:p>
      <w:pPr>
        <w:ind w:left="280" w:hanging="280"/>
        <w:spacing w:after="0" w:line="198"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Guangdong Province:</w:t>
      </w:r>
    </w:p>
    <w:p>
      <w:pPr>
        <w:spacing w:after="0" w:line="90" w:lineRule="exact"/>
        <w:rPr>
          <w:rFonts w:ascii="Arial" w:cs="Arial" w:eastAsia="Arial" w:hAnsi="Arial"/>
          <w:sz w:val="44"/>
          <w:szCs w:val="44"/>
          <w:color w:val="auto"/>
          <w:vertAlign w:val="superscript"/>
        </w:rPr>
      </w:pPr>
    </w:p>
    <w:p>
      <w:pPr>
        <w:ind w:left="720" w:right="426" w:hanging="360"/>
        <w:spacing w:after="0" w:line="182" w:lineRule="auto"/>
        <w:tabs>
          <w:tab w:leader="none" w:pos="720" w:val="left"/>
        </w:tabs>
        <w:numPr>
          <w:ilvl w:val="1"/>
          <w:numId w:val="4"/>
        </w:numPr>
        <w:rPr>
          <w:rFonts w:ascii="Arial" w:cs="Arial" w:eastAsia="Arial" w:hAnsi="Arial"/>
          <w:sz w:val="39"/>
          <w:szCs w:val="39"/>
          <w:color w:val="auto"/>
          <w:vertAlign w:val="superscript"/>
        </w:rPr>
      </w:pPr>
      <w:r>
        <w:rPr>
          <w:rFonts w:ascii="Calibri" w:cs="Calibri" w:eastAsia="Calibri" w:hAnsi="Calibri"/>
          <w:sz w:val="20"/>
          <w:szCs w:val="20"/>
          <w:color w:val="auto"/>
        </w:rPr>
        <w:t>Fourteen confirmed cases (one case was confirmed on 19 January) including four severe cases, two critical cases, no deaths;</w:t>
      </w:r>
    </w:p>
    <w:p>
      <w:pPr>
        <w:spacing w:after="0" w:line="91" w:lineRule="exact"/>
        <w:rPr>
          <w:rFonts w:ascii="Arial" w:cs="Arial" w:eastAsia="Arial" w:hAnsi="Arial"/>
          <w:sz w:val="39"/>
          <w:szCs w:val="39"/>
          <w:color w:val="auto"/>
          <w:vertAlign w:val="superscript"/>
        </w:rPr>
      </w:pPr>
    </w:p>
    <w:p>
      <w:pPr>
        <w:ind w:left="720" w:right="6" w:hanging="360"/>
        <w:spacing w:after="0" w:line="183" w:lineRule="auto"/>
        <w:tabs>
          <w:tab w:leader="none" w:pos="720" w:val="left"/>
        </w:tabs>
        <w:numPr>
          <w:ilvl w:val="1"/>
          <w:numId w:val="4"/>
        </w:numPr>
        <w:rPr>
          <w:rFonts w:ascii="Arial" w:cs="Arial" w:eastAsia="Arial" w:hAnsi="Arial"/>
          <w:sz w:val="39"/>
          <w:szCs w:val="39"/>
          <w:color w:val="auto"/>
          <w:vertAlign w:val="superscript"/>
        </w:rPr>
      </w:pPr>
      <w:r>
        <w:rPr>
          <w:rFonts w:ascii="Calibri" w:cs="Calibri" w:eastAsia="Calibri" w:hAnsi="Calibri"/>
          <w:sz w:val="20"/>
          <w:szCs w:val="20"/>
          <w:color w:val="auto"/>
        </w:rPr>
        <w:t>Of the 14 confirmed cases, 12 had travel history to Wuhan and two cases had contact history with cases;</w:t>
      </w:r>
    </w:p>
    <w:p>
      <w:pPr>
        <w:spacing w:after="0" w:line="1" w:lineRule="exact"/>
        <w:rPr>
          <w:rFonts w:ascii="Arial" w:cs="Arial" w:eastAsia="Arial" w:hAnsi="Arial"/>
          <w:sz w:val="39"/>
          <w:szCs w:val="39"/>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35"/>
          <w:szCs w:val="35"/>
          <w:color w:val="auto"/>
          <w:vertAlign w:val="superscript"/>
        </w:rPr>
      </w:pPr>
      <w:r>
        <w:rPr>
          <w:rFonts w:ascii="Calibri" w:cs="Calibri" w:eastAsia="Calibri" w:hAnsi="Calibri"/>
          <w:sz w:val="19"/>
          <w:szCs w:val="19"/>
          <w:color w:val="auto"/>
        </w:rPr>
        <w:t>Nine were male and fives were female.</w:t>
      </w:r>
    </w:p>
    <w:p>
      <w:pPr>
        <w:spacing w:after="0" w:line="200" w:lineRule="exact"/>
        <w:rPr>
          <w:rFonts w:ascii="Arial" w:cs="Arial" w:eastAsia="Arial" w:hAnsi="Arial"/>
          <w:sz w:val="35"/>
          <w:szCs w:val="35"/>
          <w:color w:val="auto"/>
          <w:vertAlign w:val="superscript"/>
        </w:rPr>
      </w:pPr>
    </w:p>
    <w:p>
      <w:pPr>
        <w:ind w:left="280" w:hanging="280"/>
        <w:spacing w:after="0" w:line="198"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Beijing Municipality:</w:t>
      </w:r>
    </w:p>
    <w:p>
      <w:pPr>
        <w:spacing w:after="0" w:line="89"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Five confirmed cases (two cases were confirmed on 19 January);</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Of the three new confirmed cases on 20 Jan, two were male and one was a female;</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All five cases had a travel history to Wuhan and are currently asymptomatic.</w:t>
      </w:r>
    </w:p>
    <w:p>
      <w:pPr>
        <w:spacing w:after="0" w:line="200" w:lineRule="exact"/>
        <w:rPr>
          <w:rFonts w:ascii="Arial" w:cs="Arial" w:eastAsia="Arial" w:hAnsi="Arial"/>
          <w:sz w:val="25"/>
          <w:szCs w:val="25"/>
          <w:color w:val="auto"/>
          <w:vertAlign w:val="superscript"/>
        </w:rPr>
      </w:pPr>
    </w:p>
    <w:p>
      <w:pPr>
        <w:ind w:left="280" w:hanging="280"/>
        <w:spacing w:after="0" w:line="198"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Shanghai Municipality:</w:t>
      </w:r>
    </w:p>
    <w:p>
      <w:pPr>
        <w:spacing w:after="0" w:line="90"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female;</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Travelled to Shanghai from Wuhan on 12 January;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262890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7pt" to="144pt,20.7pt" o:allowincell="f" strokecolor="#000000" strokeweight="0.7199pt"/>
            </w:pict>
          </mc:Fallback>
        </mc:AlternateContent>
      </w:r>
    </w:p>
    <w:p>
      <w:pPr>
        <w:spacing w:after="0" w:line="200" w:lineRule="exact"/>
        <w:rPr>
          <w:sz w:val="20"/>
          <w:szCs w:val="20"/>
          <w:color w:val="auto"/>
        </w:rPr>
      </w:pPr>
    </w:p>
    <w:p>
      <w:pPr>
        <w:spacing w:after="0" w:line="224" w:lineRule="exact"/>
        <w:rPr>
          <w:sz w:val="20"/>
          <w:szCs w:val="20"/>
          <w:color w:val="auto"/>
        </w:rPr>
      </w:pPr>
    </w:p>
    <w:p>
      <w:pPr>
        <w:ind w:left="100" w:hanging="100"/>
        <w:spacing w:after="0"/>
        <w:tabs>
          <w:tab w:leader="none" w:pos="100" w:val="left"/>
        </w:tabs>
        <w:numPr>
          <w:ilvl w:val="0"/>
          <w:numId w:val="5"/>
        </w:numPr>
        <w:rPr>
          <w:rFonts w:ascii="Calibri" w:cs="Calibri" w:eastAsia="Calibri" w:hAnsi="Calibri"/>
          <w:sz w:val="24"/>
          <w:szCs w:val="24"/>
          <w:color w:val="auto"/>
          <w:vertAlign w:val="superscript"/>
        </w:rPr>
      </w:pPr>
      <w:r>
        <w:rPr>
          <w:rFonts w:ascii="Calibri" w:cs="Calibri" w:eastAsia="Calibri" w:hAnsi="Calibri"/>
          <w:sz w:val="18"/>
          <w:szCs w:val="18"/>
          <w:color w:val="auto"/>
        </w:rPr>
        <w:t>Severe illness: According to any of the following criteria:</w:t>
      </w:r>
    </w:p>
    <w:p>
      <w:pPr>
        <w:spacing w:after="0" w:line="39" w:lineRule="exact"/>
        <w:rPr>
          <w:sz w:val="20"/>
          <w:szCs w:val="20"/>
          <w:color w:val="auto"/>
        </w:rPr>
      </w:pPr>
    </w:p>
    <w:p>
      <w:pPr>
        <w:ind w:right="26"/>
        <w:spacing w:after="0" w:line="235" w:lineRule="auto"/>
        <w:tabs>
          <w:tab w:leader="none" w:pos="242" w:val="left"/>
        </w:tabs>
        <w:numPr>
          <w:ilvl w:val="0"/>
          <w:numId w:val="6"/>
        </w:numPr>
        <w:rPr>
          <w:rFonts w:ascii="Calibri" w:cs="Calibri" w:eastAsia="Calibri" w:hAnsi="Calibri"/>
          <w:sz w:val="18"/>
          <w:szCs w:val="18"/>
          <w:color w:val="auto"/>
        </w:rPr>
      </w:pPr>
      <w:r>
        <w:rPr>
          <w:rFonts w:ascii="Calibri" w:cs="Calibri" w:eastAsia="Calibri" w:hAnsi="Calibri"/>
          <w:sz w:val="18"/>
          <w:szCs w:val="18"/>
          <w:color w:val="auto"/>
        </w:rPr>
        <w:t>dyspnea; (2) respiratory rate more than 30 bpm; (3) hypoxemia; (4) chest X-ray with multi-lobar infiltrates or pulmonary infiltration progressed more than 50% within 24 - 48 hours.</w:t>
      </w:r>
    </w:p>
    <w:p>
      <w:pPr>
        <w:ind w:left="100" w:hanging="100"/>
        <w:spacing w:after="0" w:line="208" w:lineRule="auto"/>
        <w:tabs>
          <w:tab w:leader="none" w:pos="100" w:val="left"/>
        </w:tabs>
        <w:numPr>
          <w:ilvl w:val="0"/>
          <w:numId w:val="7"/>
        </w:numPr>
        <w:rPr>
          <w:rFonts w:ascii="Calibri" w:cs="Calibri" w:eastAsia="Calibri" w:hAnsi="Calibri"/>
          <w:sz w:val="24"/>
          <w:szCs w:val="24"/>
          <w:color w:val="auto"/>
          <w:vertAlign w:val="superscript"/>
        </w:rPr>
      </w:pPr>
      <w:r>
        <w:rPr>
          <w:rFonts w:ascii="Calibri" w:cs="Calibri" w:eastAsia="Calibri" w:hAnsi="Calibri"/>
          <w:sz w:val="18"/>
          <w:szCs w:val="18"/>
          <w:color w:val="auto"/>
        </w:rPr>
        <w:t>Critical condition: According to any of the following criteria:</w:t>
      </w:r>
    </w:p>
    <w:p>
      <w:pPr>
        <w:spacing w:after="0" w:line="2" w:lineRule="exact"/>
        <w:rPr>
          <w:sz w:val="20"/>
          <w:szCs w:val="20"/>
          <w:color w:val="auto"/>
        </w:rPr>
      </w:pPr>
    </w:p>
    <w:p>
      <w:pPr>
        <w:spacing w:after="0"/>
        <w:rPr>
          <w:sz w:val="20"/>
          <w:szCs w:val="20"/>
          <w:color w:val="auto"/>
        </w:rPr>
      </w:pPr>
      <w:r>
        <w:rPr>
          <w:rFonts w:ascii="Calibri" w:cs="Calibri" w:eastAsia="Calibri" w:hAnsi="Calibri"/>
          <w:sz w:val="18"/>
          <w:szCs w:val="18"/>
          <w:color w:val="auto"/>
        </w:rPr>
        <w:t>(1) respiratory failure; (2) septic shock; (3) other organ failure which requires Intensive Care Unit (ICU) admission.</w:t>
      </w:r>
    </w:p>
    <w:p>
      <w:pPr>
        <w:spacing w:after="0" w:line="169"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026"/>
          </w:cols>
          <w:pgMar w:left="1440" w:top="1440" w:right="1440" w:bottom="415" w:gutter="0" w:footer="0" w:header="0"/>
        </w:sectPr>
      </w:pPr>
    </w:p>
    <w:bookmarkStart w:id="2" w:name="page3"/>
    <w:bookmarkEnd w:id="2"/>
    <w:p>
      <w:pPr>
        <w:ind w:left="720" w:hanging="360"/>
        <w:spacing w:after="0"/>
        <w:tabs>
          <w:tab w:leader="none" w:pos="720" w:val="left"/>
        </w:tabs>
        <w:numPr>
          <w:ilvl w:val="1"/>
          <w:numId w:val="8"/>
        </w:numPr>
        <w:rPr>
          <w:rFonts w:ascii="Arial" w:cs="Arial" w:eastAsia="Arial" w:hAnsi="Arial"/>
          <w:sz w:val="44"/>
          <w:szCs w:val="44"/>
          <w:color w:val="auto"/>
          <w:vertAlign w:val="superscript"/>
        </w:rPr>
      </w:pPr>
      <w:r>
        <w:rPr>
          <w:rFonts w:ascii="Calibri" w:cs="Calibri" w:eastAsia="Calibri" w:hAnsi="Calibri"/>
          <w:sz w:val="22"/>
          <w:szCs w:val="22"/>
          <w:color w:val="auto"/>
        </w:rPr>
        <w:t>Two contacts have been identified for follow up.</w:t>
      </w:r>
    </w:p>
    <w:p>
      <w:pPr>
        <w:spacing w:after="0" w:line="200" w:lineRule="exact"/>
        <w:rPr>
          <w:rFonts w:ascii="Arial" w:cs="Arial" w:eastAsia="Arial" w:hAnsi="Arial"/>
          <w:sz w:val="44"/>
          <w:szCs w:val="44"/>
          <w:color w:val="auto"/>
          <w:vertAlign w:val="superscript"/>
        </w:rPr>
      </w:pPr>
    </w:p>
    <w:p>
      <w:pPr>
        <w:spacing w:after="0" w:line="200" w:lineRule="exact"/>
        <w:rPr>
          <w:rFonts w:ascii="Arial" w:cs="Arial" w:eastAsia="Arial" w:hAnsi="Arial"/>
          <w:sz w:val="44"/>
          <w:szCs w:val="44"/>
          <w:color w:val="auto"/>
          <w:vertAlign w:val="superscript"/>
        </w:rPr>
      </w:pPr>
    </w:p>
    <w:p>
      <w:pPr>
        <w:spacing w:after="0" w:line="257" w:lineRule="exact"/>
        <w:rPr>
          <w:rFonts w:ascii="Arial" w:cs="Arial" w:eastAsia="Arial" w:hAnsi="Arial"/>
          <w:sz w:val="44"/>
          <w:szCs w:val="44"/>
          <w:color w:val="auto"/>
          <w:vertAlign w:val="superscript"/>
        </w:rPr>
      </w:pPr>
    </w:p>
    <w:p>
      <w:pPr>
        <w:ind w:left="260" w:hanging="260"/>
        <w:spacing w:after="0"/>
        <w:tabs>
          <w:tab w:leader="none" w:pos="260" w:val="left"/>
        </w:tabs>
        <w:numPr>
          <w:ilvl w:val="0"/>
          <w:numId w:val="8"/>
        </w:numPr>
        <w:rPr>
          <w:rFonts w:ascii="Calibri" w:cs="Calibri" w:eastAsia="Calibri" w:hAnsi="Calibri"/>
          <w:sz w:val="26"/>
          <w:szCs w:val="26"/>
          <w:b w:val="1"/>
          <w:bCs w:val="1"/>
          <w:color w:val="0070C0"/>
        </w:rPr>
      </w:pPr>
      <w:r>
        <w:rPr>
          <w:rFonts w:ascii="Calibri" w:cs="Calibri" w:eastAsia="Calibri" w:hAnsi="Calibri"/>
          <w:sz w:val="26"/>
          <w:szCs w:val="26"/>
          <w:b w:val="1"/>
          <w:bCs w:val="1"/>
          <w:color w:val="0070C0"/>
        </w:rPr>
        <w:t>PREPAREDNESS AND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WHO:</w:t>
      </w:r>
    </w:p>
    <w:p>
      <w:pPr>
        <w:spacing w:after="0" w:line="289" w:lineRule="exact"/>
        <w:rPr>
          <w:sz w:val="20"/>
          <w:szCs w:val="20"/>
          <w:color w:val="auto"/>
        </w:rPr>
      </w:pPr>
    </w:p>
    <w:p>
      <w:pPr>
        <w:ind w:left="720" w:right="286" w:hanging="360"/>
        <w:spacing w:after="0" w:line="229"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Chinese as well as Japanese, Korean and Thai authorities since the reporting of these cases. The three countries have shared information with WHO under the International Health Regulations. WHO is also informing other countries about the situation and providing support as requested;</w:t>
      </w:r>
    </w:p>
    <w:p>
      <w:pPr>
        <w:spacing w:after="0" w:line="50" w:lineRule="exact"/>
        <w:rPr>
          <w:rFonts w:ascii="Arial" w:cs="Arial" w:eastAsia="Arial" w:hAnsi="Arial"/>
          <w:sz w:val="22"/>
          <w:szCs w:val="22"/>
          <w:color w:val="auto"/>
        </w:rPr>
      </w:pPr>
    </w:p>
    <w:p>
      <w:pPr>
        <w:ind w:left="720" w:right="486" w:hanging="360"/>
        <w:spacing w:after="0" w:line="218"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On 2 January, the incident management system was activated across the three levels of WHO (country office, regional office and headquarters);</w:t>
      </w:r>
    </w:p>
    <w:p>
      <w:pPr>
        <w:spacing w:after="0" w:line="49" w:lineRule="exact"/>
        <w:rPr>
          <w:rFonts w:ascii="Arial" w:cs="Arial" w:eastAsia="Arial" w:hAnsi="Arial"/>
          <w:sz w:val="22"/>
          <w:szCs w:val="22"/>
          <w:color w:val="auto"/>
        </w:rPr>
      </w:pPr>
    </w:p>
    <w:p>
      <w:pPr>
        <w:ind w:left="720" w:right="546" w:hanging="360"/>
        <w:spacing w:after="0" w:line="236"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Developed the surveillance case definitions for human infection with 2019-nCoV and is updating it as per the new information becomes available;</w:t>
      </w:r>
    </w:p>
    <w:p>
      <w:pPr>
        <w:spacing w:after="0" w:line="89" w:lineRule="exact"/>
        <w:rPr>
          <w:rFonts w:ascii="Arial" w:cs="Arial" w:eastAsia="Arial" w:hAnsi="Arial"/>
          <w:sz w:val="22"/>
          <w:szCs w:val="22"/>
          <w:color w:val="auto"/>
        </w:rPr>
      </w:pPr>
    </w:p>
    <w:p>
      <w:pPr>
        <w:ind w:left="720" w:right="766" w:hanging="360"/>
        <w:spacing w:after="0" w:line="254"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Developed interim guidance for laboratory diagnosis, clinical management, infection prevention and control in health care settings, home care for mild patients, risk communication and community engagement;</w:t>
      </w:r>
    </w:p>
    <w:p>
      <w:pPr>
        <w:spacing w:after="0" w:line="73" w:lineRule="exact"/>
        <w:rPr>
          <w:rFonts w:ascii="Arial" w:cs="Arial" w:eastAsia="Arial" w:hAnsi="Arial"/>
          <w:sz w:val="22"/>
          <w:szCs w:val="22"/>
          <w:color w:val="auto"/>
        </w:rPr>
      </w:pPr>
    </w:p>
    <w:p>
      <w:pPr>
        <w:ind w:left="720" w:right="1066" w:hanging="360"/>
        <w:spacing w:after="0" w:line="236"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Prepared disease commodity package for supplies necessary in identification and management of confirmed patients;</w:t>
      </w:r>
    </w:p>
    <w:p>
      <w:pPr>
        <w:spacing w:after="0" w:line="42" w:lineRule="exact"/>
        <w:rPr>
          <w:rFonts w:ascii="Arial" w:cs="Arial" w:eastAsia="Arial" w:hAnsi="Arial"/>
          <w:sz w:val="22"/>
          <w:szCs w:val="22"/>
          <w:color w:val="auto"/>
        </w:rPr>
      </w:pPr>
    </w:p>
    <w:p>
      <w:pPr>
        <w:ind w:left="720" w:hanging="360"/>
        <w:spacing w:after="0"/>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Provided recommendations to reduce risk of transmission from animals to humans;</w:t>
      </w:r>
    </w:p>
    <w:p>
      <w:pPr>
        <w:spacing w:after="0" w:line="87" w:lineRule="exact"/>
        <w:rPr>
          <w:rFonts w:ascii="Arial" w:cs="Arial" w:eastAsia="Arial" w:hAnsi="Arial"/>
          <w:sz w:val="22"/>
          <w:szCs w:val="22"/>
          <w:color w:val="auto"/>
        </w:rPr>
      </w:pPr>
    </w:p>
    <w:p>
      <w:pPr>
        <w:ind w:left="720" w:right="426" w:hanging="360"/>
        <w:spacing w:after="0" w:line="236"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Updated the travel advice for international travel in health in relation to the outbreak of pneumonia caused by a new coronavirus in China;</w:t>
      </w:r>
    </w:p>
    <w:p>
      <w:pPr>
        <w:spacing w:after="0" w:line="91" w:lineRule="exact"/>
        <w:rPr>
          <w:rFonts w:ascii="Arial" w:cs="Arial" w:eastAsia="Arial" w:hAnsi="Arial"/>
          <w:sz w:val="22"/>
          <w:szCs w:val="22"/>
          <w:color w:val="auto"/>
        </w:rPr>
      </w:pPr>
    </w:p>
    <w:p>
      <w:pPr>
        <w:ind w:left="720" w:right="306" w:hanging="360"/>
        <w:spacing w:after="0" w:line="235"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42" w:lineRule="exact"/>
        <w:rPr>
          <w:rFonts w:ascii="Arial" w:cs="Arial" w:eastAsia="Arial" w:hAnsi="Arial"/>
          <w:sz w:val="22"/>
          <w:szCs w:val="22"/>
          <w:color w:val="auto"/>
        </w:rPr>
      </w:pPr>
    </w:p>
    <w:p>
      <w:pPr>
        <w:ind w:left="720" w:hanging="360"/>
        <w:spacing w:after="0"/>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720" w:right="106" w:hanging="360"/>
        <w:spacing w:after="0" w:line="228" w:lineRule="auto"/>
        <w:tabs>
          <w:tab w:leader="none" w:pos="720" w:val="left"/>
        </w:tabs>
        <w:numPr>
          <w:ilvl w:val="1"/>
          <w:numId w:val="9"/>
        </w:numPr>
        <w:rPr>
          <w:rFonts w:ascii="Arial" w:cs="Arial" w:eastAsia="Arial" w:hAnsi="Arial"/>
          <w:sz w:val="22"/>
          <w:szCs w:val="22"/>
          <w:color w:val="auto"/>
        </w:rPr>
      </w:pPr>
      <w:r>
        <w:rPr>
          <w:rFonts w:ascii="Calibri" w:cs="Calibri" w:eastAsia="Calibri" w:hAnsi="Calibri"/>
          <w:sz w:val="22"/>
          <w:szCs w:val="22"/>
          <w:color w:val="auto"/>
        </w:rPr>
        <w:t>WHO is working with our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68" w:lineRule="exact"/>
        <w:rPr>
          <w:rFonts w:ascii="Arial" w:cs="Arial" w:eastAsia="Arial" w:hAnsi="Arial"/>
          <w:sz w:val="22"/>
          <w:szCs w:val="22"/>
          <w:color w:val="auto"/>
        </w:rPr>
      </w:pPr>
    </w:p>
    <w:p>
      <w:pPr>
        <w:ind w:left="340" w:hanging="340"/>
        <w:spacing w:after="0"/>
        <w:tabs>
          <w:tab w:leader="none" w:pos="340" w:val="left"/>
        </w:tabs>
        <w:numPr>
          <w:ilvl w:val="0"/>
          <w:numId w:val="9"/>
        </w:numPr>
        <w:rPr>
          <w:rFonts w:ascii="Calibri" w:cs="Calibri" w:eastAsia="Calibri" w:hAnsi="Calibri"/>
          <w:sz w:val="26"/>
          <w:szCs w:val="26"/>
          <w:b w:val="1"/>
          <w:bCs w:val="1"/>
          <w:color w:val="0070C0"/>
        </w:rPr>
      </w:pPr>
      <w:r>
        <w:rPr>
          <w:rFonts w:ascii="Calibri" w:cs="Calibri" w:eastAsia="Calibri" w:hAnsi="Calibri"/>
          <w:sz w:val="26"/>
          <w:szCs w:val="26"/>
          <w:b w:val="1"/>
          <w:bCs w:val="1"/>
          <w:color w:val="0070C0"/>
        </w:rPr>
        <w:t>COUNTRY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252" w:lineRule="exact"/>
        <w:rPr>
          <w:sz w:val="20"/>
          <w:szCs w:val="20"/>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102" w:lineRule="exact"/>
        <w:rPr>
          <w:rFonts w:ascii="Arial" w:cs="Arial" w:eastAsia="Arial" w:hAnsi="Arial"/>
          <w:sz w:val="22"/>
          <w:szCs w:val="22"/>
          <w:color w:val="auto"/>
        </w:rPr>
      </w:pPr>
    </w:p>
    <w:p>
      <w:pPr>
        <w:ind w:left="720" w:right="386" w:hanging="360"/>
        <w:spacing w:after="0" w:line="236"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Since 14 January 2020, 35 infrared thermometers have been installed in airports, railway stations, long-distance bus stations, and ferry terminals;</w:t>
      </w:r>
    </w:p>
    <w:p>
      <w:pPr>
        <w:spacing w:after="0" w:line="51"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 City;</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 City;</w:t>
      </w:r>
    </w:p>
    <w:p>
      <w:pPr>
        <w:spacing w:after="0" w:line="99" w:lineRule="exact"/>
        <w:rPr>
          <w:rFonts w:ascii="Arial" w:cs="Arial" w:eastAsia="Arial" w:hAnsi="Arial"/>
          <w:sz w:val="22"/>
          <w:szCs w:val="22"/>
          <w:color w:val="auto"/>
        </w:rPr>
      </w:pPr>
    </w:p>
    <w:p>
      <w:pPr>
        <w:ind w:left="720" w:right="46" w:hanging="360"/>
        <w:spacing w:after="0" w:line="236"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city was closed on 1 January 2020 for environmental sanitation and disinfection. Market inspection in expansion to other markets;</w:t>
      </w:r>
    </w:p>
    <w:p>
      <w:pPr>
        <w:spacing w:after="0" w:line="103" w:lineRule="exact"/>
        <w:rPr>
          <w:rFonts w:ascii="Arial" w:cs="Arial" w:eastAsia="Arial" w:hAnsi="Arial"/>
          <w:sz w:val="22"/>
          <w:szCs w:val="22"/>
          <w:color w:val="auto"/>
        </w:rPr>
      </w:pPr>
    </w:p>
    <w:p>
      <w:pPr>
        <w:ind w:left="720" w:right="146" w:hanging="360"/>
        <w:spacing w:after="0" w:line="235"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Public education on disease prevention and environmental hygiene further strengthened in public places across the city, farmers’ markets in particular.</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026"/>
          </w:cols>
          <w:pgMar w:left="1440" w:top="1196" w:right="1440" w:bottom="415" w:gutter="0" w:footer="0" w:header="0"/>
        </w:sectPr>
      </w:pPr>
    </w:p>
    <w:bookmarkStart w:id="3" w:name="page4"/>
    <w:bookmarkEnd w:id="3"/>
    <w:p>
      <w:pPr>
        <w:spacing w:after="0"/>
        <w:rPr>
          <w:sz w:val="20"/>
          <w:szCs w:val="20"/>
          <w:color w:val="auto"/>
        </w:rPr>
      </w:pPr>
      <w:r>
        <w:rPr>
          <w:rFonts w:ascii="Calibri" w:cs="Calibri" w:eastAsia="Calibri" w:hAnsi="Calibri"/>
          <w:sz w:val="22"/>
          <w:szCs w:val="22"/>
          <w:b w:val="1"/>
          <w:bCs w:val="1"/>
          <w:color w:val="0070C0"/>
        </w:rPr>
        <w:t>Thailand:</w:t>
      </w:r>
    </w:p>
    <w:p>
      <w:pPr>
        <w:spacing w:after="0" w:line="302" w:lineRule="exact"/>
        <w:rPr>
          <w:sz w:val="20"/>
          <w:szCs w:val="20"/>
          <w:color w:val="auto"/>
        </w:rPr>
      </w:pPr>
    </w:p>
    <w:p>
      <w:pPr>
        <w:ind w:left="720" w:right="46" w:hanging="360"/>
        <w:spacing w:after="0" w:line="261"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The Department of Disease Control has been implementing its surveillance protocol by fever screening of travellers from all direct flights from Wuhan, China to the Suvarnabhumi, Don Mueang, Chiang Mai, Phuket and Krabi airports, with the screening protocol starting at Krabi Airport started on 17 January 2020;</w:t>
      </w:r>
    </w:p>
    <w:p>
      <w:pPr>
        <w:spacing w:after="0" w:line="79" w:lineRule="exact"/>
        <w:rPr>
          <w:rFonts w:ascii="Arial" w:cs="Arial" w:eastAsia="Arial" w:hAnsi="Arial"/>
          <w:sz w:val="22"/>
          <w:szCs w:val="22"/>
          <w:color w:val="auto"/>
        </w:rPr>
      </w:pPr>
    </w:p>
    <w:p>
      <w:pPr>
        <w:ind w:left="720" w:right="466" w:hanging="360"/>
        <w:spacing w:after="0" w:line="235"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From 3 to 20 January 2020, among 116 flights, 18,383 passengers and aircrew members were screened for respiratory symptoms and febrile illness;</w:t>
      </w:r>
    </w:p>
    <w:p>
      <w:pPr>
        <w:spacing w:after="0" w:line="102" w:lineRule="exact"/>
        <w:rPr>
          <w:rFonts w:ascii="Arial" w:cs="Arial" w:eastAsia="Arial" w:hAnsi="Arial"/>
          <w:sz w:val="22"/>
          <w:szCs w:val="22"/>
          <w:color w:val="auto"/>
        </w:rPr>
      </w:pPr>
    </w:p>
    <w:p>
      <w:pPr>
        <w:ind w:left="720" w:right="286" w:hanging="360"/>
        <w:spacing w:after="0" w:line="253"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As of 20 January 2020, the Department of Disease Control, Ministry of Public Health, Thailand has scaled up the Emergency Operations Center to Level 2 to closely monitor the ongoing situation both at the national and international levels;</w:t>
      </w:r>
    </w:p>
    <w:p>
      <w:pPr>
        <w:spacing w:after="0" w:line="89" w:lineRule="exact"/>
        <w:rPr>
          <w:rFonts w:ascii="Arial" w:cs="Arial" w:eastAsia="Arial" w:hAnsi="Arial"/>
          <w:sz w:val="22"/>
          <w:szCs w:val="22"/>
          <w:color w:val="auto"/>
        </w:rPr>
      </w:pPr>
    </w:p>
    <w:p>
      <w:pPr>
        <w:ind w:left="720" w:right="366" w:hanging="360"/>
        <w:spacing w:after="0" w:line="225"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Risk communication guidance has been shared with the public and a hotline has been established by the Department of Disease Control for people returning from the affected area in China with related symptoms.</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Japan:</w:t>
      </w:r>
    </w:p>
    <w:p>
      <w:pPr>
        <w:spacing w:after="0" w:line="301" w:lineRule="exact"/>
        <w:rPr>
          <w:sz w:val="20"/>
          <w:szCs w:val="20"/>
          <w:color w:val="auto"/>
        </w:rPr>
      </w:pPr>
    </w:p>
    <w:p>
      <w:pPr>
        <w:ind w:left="720" w:right="286" w:hanging="360"/>
        <w:spacing w:after="0" w:line="235"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Contact tracing and other epidemiological investigations are underway by the local health authorities in Japan;</w:t>
      </w:r>
    </w:p>
    <w:p>
      <w:pPr>
        <w:spacing w:after="0" w:line="102" w:lineRule="exact"/>
        <w:rPr>
          <w:rFonts w:ascii="Arial" w:cs="Arial" w:eastAsia="Arial" w:hAnsi="Arial"/>
          <w:sz w:val="22"/>
          <w:szCs w:val="22"/>
          <w:color w:val="auto"/>
        </w:rPr>
      </w:pPr>
    </w:p>
    <w:p>
      <w:pPr>
        <w:ind w:left="720" w:right="106" w:hanging="360"/>
        <w:spacing w:after="0" w:line="253"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As of 20 January 2020, 41 contacts have been followed. Of the 41 contacts, 37 have not shown any symptoms, three have left the country and efforts have been made to reach one contact;</w:t>
      </w:r>
    </w:p>
    <w:p>
      <w:pPr>
        <w:spacing w:after="0" w:line="89" w:lineRule="exact"/>
        <w:rPr>
          <w:rFonts w:ascii="Arial" w:cs="Arial" w:eastAsia="Arial" w:hAnsi="Arial"/>
          <w:sz w:val="22"/>
          <w:szCs w:val="22"/>
          <w:color w:val="auto"/>
        </w:rPr>
      </w:pPr>
    </w:p>
    <w:p>
      <w:pPr>
        <w:ind w:left="720" w:right="246" w:hanging="360"/>
        <w:spacing w:after="0" w:line="236"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The Japanese Government has scaled up a whole-of-government coordination mechanism on the 16 January;</w:t>
      </w:r>
    </w:p>
    <w:p>
      <w:pPr>
        <w:spacing w:after="0" w:line="101" w:lineRule="exact"/>
        <w:rPr>
          <w:rFonts w:ascii="Arial" w:cs="Arial" w:eastAsia="Arial" w:hAnsi="Arial"/>
          <w:sz w:val="22"/>
          <w:szCs w:val="22"/>
          <w:color w:val="auto"/>
        </w:rPr>
      </w:pPr>
    </w:p>
    <w:p>
      <w:pPr>
        <w:ind w:left="720" w:right="846" w:hanging="360"/>
        <w:spacing w:after="0" w:line="218"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The MHLW has strengthened surveillance for undiagnosed severe acute respiratory illnesses since the report of undiagnosed pneumonia in Wuhan, China;</w:t>
      </w:r>
    </w:p>
    <w:p>
      <w:pPr>
        <w:spacing w:after="0" w:line="61" w:lineRule="exact"/>
        <w:rPr>
          <w:rFonts w:ascii="Arial" w:cs="Arial" w:eastAsia="Arial" w:hAnsi="Arial"/>
          <w:sz w:val="22"/>
          <w:szCs w:val="22"/>
          <w:color w:val="auto"/>
        </w:rPr>
      </w:pPr>
    </w:p>
    <w:p>
      <w:pPr>
        <w:ind w:left="720" w:right="946" w:hanging="360"/>
        <w:spacing w:after="0" w:line="224"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From 6 January, MHLW requested local health governments to be aware of the respiratory illnesses in Wuhan by using the existing surveillance system for serious infectious illness with unknown etiology;</w:t>
      </w:r>
    </w:p>
    <w:p>
      <w:pPr>
        <w:spacing w:after="0" w:line="64" w:lineRule="exact"/>
        <w:rPr>
          <w:rFonts w:ascii="Arial" w:cs="Arial" w:eastAsia="Arial" w:hAnsi="Arial"/>
          <w:sz w:val="22"/>
          <w:szCs w:val="22"/>
          <w:color w:val="auto"/>
        </w:rPr>
      </w:pPr>
    </w:p>
    <w:p>
      <w:pPr>
        <w:ind w:left="720" w:right="766" w:hanging="360"/>
        <w:spacing w:after="0" w:line="218"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NIID is supporting local authorities on epidemiologic investigations including contact tracing;</w:t>
      </w:r>
    </w:p>
    <w:p>
      <w:pPr>
        <w:spacing w:after="0" w:line="61" w:lineRule="exact"/>
        <w:rPr>
          <w:rFonts w:ascii="Arial" w:cs="Arial" w:eastAsia="Arial" w:hAnsi="Arial"/>
          <w:sz w:val="22"/>
          <w:szCs w:val="22"/>
          <w:color w:val="auto"/>
        </w:rPr>
      </w:pPr>
    </w:p>
    <w:p>
      <w:pPr>
        <w:ind w:left="720" w:right="466" w:hanging="360"/>
        <w:spacing w:after="0" w:line="218"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city at the point of entries since 7 January;</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NIID established an in-house PCR assay for nCoV on 16 January;</w:t>
      </w:r>
    </w:p>
    <w:p>
      <w:pPr>
        <w:spacing w:after="0" w:line="58"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Revision of the risk assessment by NIID is being conducted, including case definition of close contacts;</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The public risk communication has been enhanced;</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A hotline has been established among the different ministries in the government;</w:t>
      </w:r>
    </w:p>
    <w:p>
      <w:pPr>
        <w:spacing w:after="0" w:line="61" w:lineRule="exact"/>
        <w:rPr>
          <w:rFonts w:ascii="Arial" w:cs="Arial" w:eastAsia="Arial" w:hAnsi="Arial"/>
          <w:sz w:val="22"/>
          <w:szCs w:val="22"/>
          <w:color w:val="auto"/>
        </w:rPr>
      </w:pPr>
    </w:p>
    <w:p>
      <w:pPr>
        <w:ind w:left="720" w:right="866" w:hanging="360"/>
        <w:spacing w:after="0" w:line="217"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The MHLW is working closely with WHO and other related Member States to foster mutual investigations and information sharing.</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Republic of Korea:</w:t>
      </w:r>
    </w:p>
    <w:p>
      <w:pPr>
        <w:spacing w:after="0" w:line="252" w:lineRule="exact"/>
        <w:rPr>
          <w:sz w:val="20"/>
          <w:szCs w:val="20"/>
          <w:color w:val="auto"/>
        </w:rPr>
      </w:pPr>
    </w:p>
    <w:p>
      <w:pPr>
        <w:ind w:left="720" w:hanging="360"/>
        <w:spacing w:after="0"/>
        <w:tabs>
          <w:tab w:leader="none" w:pos="72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Contact tracing and other epidemiological investigation are underway;</w:t>
      </w:r>
    </w:p>
    <w:p>
      <w:pPr>
        <w:spacing w:after="0" w:line="58" w:lineRule="exact"/>
        <w:rPr>
          <w:rFonts w:ascii="Arial" w:cs="Arial" w:eastAsia="Arial" w:hAnsi="Arial"/>
          <w:sz w:val="22"/>
          <w:szCs w:val="22"/>
          <w:color w:val="auto"/>
        </w:rPr>
      </w:pPr>
    </w:p>
    <w:p>
      <w:pPr>
        <w:ind w:left="720" w:right="386" w:hanging="360"/>
        <w:spacing w:after="0" w:line="218" w:lineRule="auto"/>
        <w:tabs>
          <w:tab w:leader="none" w:pos="72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The government of the Republic of Korea has scaled up the national alert level from Blue (Level 1) to Yellow (Level 2 out of 4-level national crisis management system);</w:t>
      </w:r>
    </w:p>
    <w:p>
      <w:pPr>
        <w:spacing w:after="0" w:line="200" w:lineRule="exact"/>
        <w:rPr>
          <w:sz w:val="20"/>
          <w:szCs w:val="20"/>
          <w:color w:val="auto"/>
        </w:rPr>
      </w:pPr>
    </w:p>
    <w:p>
      <w:pPr>
        <w:spacing w:after="0" w:line="310"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026"/>
          </w:cols>
          <w:pgMar w:left="1440" w:top="1434" w:right="1440" w:bottom="415" w:gutter="0" w:footer="0" w:header="0"/>
        </w:sectPr>
      </w:pPr>
    </w:p>
    <w:bookmarkStart w:id="4" w:name="page5"/>
    <w:bookmarkEnd w:id="4"/>
    <w:p>
      <w:pPr>
        <w:spacing w:after="0" w:line="55" w:lineRule="exact"/>
        <w:rPr>
          <w:sz w:val="20"/>
          <w:szCs w:val="20"/>
          <w:color w:val="auto"/>
        </w:rPr>
      </w:pPr>
    </w:p>
    <w:p>
      <w:pPr>
        <w:ind w:left="720" w:right="746" w:hanging="360"/>
        <w:spacing w:after="0" w:line="218" w:lineRule="auto"/>
        <w:tabs>
          <w:tab w:leader="none" w:pos="720" w:val="left"/>
        </w:tabs>
        <w:numPr>
          <w:ilvl w:val="0"/>
          <w:numId w:val="14"/>
        </w:numPr>
        <w:rPr>
          <w:rFonts w:ascii="Arial" w:cs="Arial" w:eastAsia="Arial" w:hAnsi="Arial"/>
          <w:sz w:val="22"/>
          <w:szCs w:val="22"/>
          <w:color w:val="auto"/>
        </w:rPr>
      </w:pPr>
      <w:r>
        <w:rPr>
          <w:rFonts w:ascii="Calibri" w:cs="Calibri" w:eastAsia="Calibri" w:hAnsi="Calibri"/>
          <w:sz w:val="22"/>
          <w:szCs w:val="22"/>
          <w:color w:val="auto"/>
        </w:rPr>
        <w:t>The Republic of Korea health authority has strengthened surveillance for pneumonia cases in health facilities nationwide since 3 January 2020;</w:t>
      </w:r>
    </w:p>
    <w:p>
      <w:pPr>
        <w:spacing w:after="0" w:line="59"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14"/>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at the point of entries (PoE) since 3 January 2020;</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4"/>
        </w:numPr>
        <w:rPr>
          <w:rFonts w:ascii="Arial" w:cs="Arial" w:eastAsia="Arial" w:hAnsi="Arial"/>
          <w:sz w:val="22"/>
          <w:szCs w:val="22"/>
          <w:color w:val="auto"/>
        </w:rPr>
      </w:pPr>
      <w:r>
        <w:rPr>
          <w:rFonts w:ascii="Calibri" w:cs="Calibri" w:eastAsia="Calibri" w:hAnsi="Calibri"/>
          <w:sz w:val="22"/>
          <w:szCs w:val="22"/>
          <w:color w:val="auto"/>
        </w:rPr>
        <w:t>Public risk communication has been enhanced.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721360</wp:posOffset>
            </wp:positionV>
            <wp:extent cx="5664200" cy="45713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5664200" cy="4571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20"/>
        <w:spacing w:after="0"/>
        <w:rPr>
          <w:sz w:val="20"/>
          <w:szCs w:val="20"/>
          <w:color w:val="auto"/>
        </w:rPr>
      </w:pPr>
      <w:r>
        <w:rPr>
          <w:rFonts w:ascii="Calibri" w:cs="Calibri" w:eastAsia="Calibri" w:hAnsi="Calibri"/>
          <w:sz w:val="22"/>
          <w:szCs w:val="22"/>
          <w:b w:val="1"/>
          <w:bCs w:val="1"/>
          <w:color w:val="FFFFFF"/>
        </w:rPr>
        <w:t>Resources:</w:t>
      </w:r>
    </w:p>
    <w:p>
      <w:pPr>
        <w:spacing w:after="0" w:line="30" w:lineRule="exact"/>
        <w:rPr>
          <w:sz w:val="20"/>
          <w:szCs w:val="20"/>
          <w:color w:val="auto"/>
        </w:rPr>
      </w:pPr>
    </w:p>
    <w:p>
      <w:pPr>
        <w:ind w:left="940" w:right="3506" w:hanging="364"/>
        <w:spacing w:after="0" w:line="245"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Technical interim guidance for novel coronavirus, WHO: </w:t>
      </w:r>
      <w:hyperlink r:id="rId10">
        <w:r>
          <w:rPr>
            <w:rFonts w:ascii="Times New Roman" w:cs="Times New Roman" w:eastAsia="Times New Roman" w:hAnsi="Times New Roman"/>
            <w:sz w:val="20"/>
            <w:szCs w:val="20"/>
            <w:color w:val="FFFFFF"/>
          </w:rPr>
          <w:t>https://www.who.int/health-topics/coronavirus</w:t>
        </w:r>
      </w:hyperlink>
    </w:p>
    <w:p>
      <w:pPr>
        <w:spacing w:after="0" w:line="40" w:lineRule="exact"/>
        <w:rPr>
          <w:rFonts w:ascii="Times New Roman" w:cs="Times New Roman" w:eastAsia="Times New Roman" w:hAnsi="Times New Roman"/>
          <w:sz w:val="20"/>
          <w:szCs w:val="20"/>
          <w:color w:val="FFFFFF"/>
        </w:rPr>
      </w:pPr>
    </w:p>
    <w:p>
      <w:pPr>
        <w:ind w:left="940" w:right="626" w:hanging="364"/>
        <w:spacing w:after="0" w:line="245" w:lineRule="auto"/>
        <w:tabs>
          <w:tab w:leader="none" w:pos="940" w:val="left"/>
        </w:tabs>
        <w:numPr>
          <w:ilvl w:val="0"/>
          <w:numId w:val="15"/>
        </w:numPr>
        <w:rPr>
          <w:rFonts w:ascii="Arial" w:cs="Arial" w:eastAsia="Arial" w:hAnsi="Arial"/>
          <w:sz w:val="20"/>
          <w:szCs w:val="20"/>
          <w:color w:val="FFFFFF"/>
        </w:rPr>
      </w:pPr>
      <w:r>
        <w:rPr>
          <w:rFonts w:ascii="Times New Roman" w:cs="Times New Roman" w:eastAsia="Times New Roman" w:hAnsi="Times New Roman"/>
          <w:sz w:val="20"/>
          <w:szCs w:val="20"/>
          <w:color w:val="FFFFFF"/>
        </w:rPr>
        <w:t>WHO travel advice for international travel and trade in relation to the outbreak of pneumonia caused by a new coronavirus in China:</w:t>
      </w:r>
    </w:p>
    <w:p>
      <w:pPr>
        <w:spacing w:after="0" w:line="13"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11">
        <w:r>
          <w:rPr>
            <w:rFonts w:ascii="Times New Roman" w:cs="Times New Roman" w:eastAsia="Times New Roman" w:hAnsi="Times New Roman"/>
            <w:sz w:val="20"/>
            <w:szCs w:val="20"/>
            <w:color w:val="FFFFFF"/>
          </w:rPr>
          <w:t>https://www.who.int/ith/2020-</w:t>
        </w:r>
      </w:hyperlink>
    </w:p>
    <w:p>
      <w:pPr>
        <w:spacing w:after="0" w:line="19" w:lineRule="exact"/>
        <w:rPr>
          <w:rFonts w:ascii="Times New Roman" w:cs="Times New Roman" w:eastAsia="Times New Roman" w:hAnsi="Times New Roman"/>
          <w:sz w:val="20"/>
          <w:szCs w:val="20"/>
          <w:color w:val="FFFFFF"/>
        </w:rPr>
      </w:pPr>
    </w:p>
    <w:p>
      <w:pPr>
        <w:ind w:left="940"/>
        <w:spacing w:after="0"/>
        <w:rPr>
          <w:rFonts w:ascii="Times New Roman" w:cs="Times New Roman" w:eastAsia="Times New Roman" w:hAnsi="Times New Roman"/>
          <w:sz w:val="20"/>
          <w:szCs w:val="20"/>
          <w:color w:val="FFFFFF"/>
        </w:rPr>
      </w:pPr>
      <w:hyperlink r:id="rId11">
        <w:r>
          <w:rPr>
            <w:rFonts w:ascii="Times New Roman" w:cs="Times New Roman" w:eastAsia="Times New Roman" w:hAnsi="Times New Roman"/>
            <w:sz w:val="20"/>
            <w:szCs w:val="20"/>
            <w:color w:val="FFFFFF"/>
          </w:rPr>
          <w:t>0901_outbreak_of_Pneumonia_caused_by_a_new_coronavirus_in_C/en/</w:t>
        </w:r>
      </w:hyperlink>
    </w:p>
    <w:p>
      <w:pPr>
        <w:spacing w:after="0" w:line="42" w:lineRule="exact"/>
        <w:rPr>
          <w:rFonts w:ascii="Times New Roman" w:cs="Times New Roman" w:eastAsia="Times New Roman" w:hAnsi="Times New Roman"/>
          <w:sz w:val="20"/>
          <w:szCs w:val="20"/>
          <w:color w:val="FFFFFF"/>
        </w:rPr>
      </w:pPr>
    </w:p>
    <w:p>
      <w:pPr>
        <w:ind w:left="940" w:right="146" w:hanging="364"/>
        <w:spacing w:after="0" w:line="272" w:lineRule="auto"/>
        <w:tabs>
          <w:tab w:leader="none" w:pos="940" w:val="left"/>
        </w:tabs>
        <w:numPr>
          <w:ilvl w:val="0"/>
          <w:numId w:val="15"/>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Press statement by KCDC (in Korean): </w:t>
      </w:r>
      <w:hyperlink r:id="rId12">
        <w:r>
          <w:rPr>
            <w:rFonts w:ascii="Times New Roman" w:cs="Times New Roman" w:eastAsia="Times New Roman" w:hAnsi="Times New Roman"/>
            <w:sz w:val="19"/>
            <w:szCs w:val="19"/>
            <w:color w:val="FFFFFF"/>
          </w:rPr>
          <w:t>https://www.cdc.go.kr/board/board.es?mid=a20501000000&amp;bid=0015&amp;list_no=365794&amp;act=view</w:t>
        </w:r>
      </w:hyperlink>
    </w:p>
    <w:p>
      <w:pPr>
        <w:ind w:left="940"/>
        <w:spacing w:after="0"/>
        <w:rPr>
          <w:rFonts w:ascii="Times New Roman" w:cs="Times New Roman" w:eastAsia="Times New Roman" w:hAnsi="Times New Roman"/>
          <w:sz w:val="20"/>
          <w:szCs w:val="20"/>
          <w:color w:val="FFFFFF"/>
        </w:rPr>
      </w:pPr>
      <w:hyperlink r:id="rId12">
        <w:r>
          <w:rPr>
            <w:rFonts w:ascii="Times New Roman" w:cs="Times New Roman" w:eastAsia="Times New Roman" w:hAnsi="Times New Roman"/>
            <w:sz w:val="20"/>
            <w:szCs w:val="20"/>
            <w:color w:val="FFFFFF"/>
          </w:rPr>
          <w:t>#</w:t>
        </w:r>
      </w:hyperlink>
    </w:p>
    <w:p>
      <w:pPr>
        <w:spacing w:after="0" w:line="42" w:lineRule="exact"/>
        <w:rPr>
          <w:rFonts w:ascii="Times New Roman" w:cs="Times New Roman" w:eastAsia="Times New Roman" w:hAnsi="Times New Roman"/>
          <w:sz w:val="20"/>
          <w:szCs w:val="20"/>
          <w:color w:val="FFFFFF"/>
        </w:rPr>
      </w:pPr>
    </w:p>
    <w:p>
      <w:pPr>
        <w:ind w:left="940" w:right="146" w:hanging="364"/>
        <w:spacing w:after="0" w:line="272" w:lineRule="auto"/>
        <w:tabs>
          <w:tab w:leader="none" w:pos="940" w:val="left"/>
        </w:tabs>
        <w:numPr>
          <w:ilvl w:val="0"/>
          <w:numId w:val="15"/>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Second Press statement by KCDC (in Korean): </w:t>
      </w:r>
      <w:hyperlink r:id="rId13">
        <w:r>
          <w:rPr>
            <w:rFonts w:ascii="Times New Roman" w:cs="Times New Roman" w:eastAsia="Times New Roman" w:hAnsi="Times New Roman"/>
            <w:sz w:val="19"/>
            <w:szCs w:val="19"/>
            <w:color w:val="FFFFFF"/>
          </w:rPr>
          <w:t>https://www.cdc.go.kr/board/board.es?mid=a20501000000&amp;bid=0015&amp;list_no=365805&amp;act=view</w:t>
        </w:r>
      </w:hyperlink>
    </w:p>
    <w:p>
      <w:pPr>
        <w:ind w:left="940"/>
        <w:spacing w:after="0"/>
        <w:rPr>
          <w:rFonts w:ascii="Times New Roman" w:cs="Times New Roman" w:eastAsia="Times New Roman" w:hAnsi="Times New Roman"/>
          <w:sz w:val="20"/>
          <w:szCs w:val="20"/>
          <w:color w:val="FFFFFF"/>
        </w:rPr>
      </w:pPr>
      <w:hyperlink r:id="rId13">
        <w:r>
          <w:rPr>
            <w:rFonts w:ascii="Times New Roman" w:cs="Times New Roman" w:eastAsia="Times New Roman" w:hAnsi="Times New Roman"/>
            <w:sz w:val="20"/>
            <w:szCs w:val="20"/>
            <w:color w:val="FFFFFF"/>
          </w:rPr>
          <w:t>#</w:t>
        </w:r>
      </w:hyperlink>
    </w:p>
    <w:p>
      <w:pPr>
        <w:spacing w:after="0" w:line="44" w:lineRule="exact"/>
        <w:rPr>
          <w:rFonts w:ascii="Times New Roman" w:cs="Times New Roman" w:eastAsia="Times New Roman" w:hAnsi="Times New Roman"/>
          <w:sz w:val="20"/>
          <w:szCs w:val="20"/>
          <w:color w:val="FFFFFF"/>
        </w:rPr>
      </w:pPr>
    </w:p>
    <w:p>
      <w:pPr>
        <w:ind w:left="940" w:right="886" w:hanging="364"/>
        <w:spacing w:after="0" w:line="245" w:lineRule="auto"/>
        <w:tabs>
          <w:tab w:leader="none" w:pos="940" w:val="left"/>
        </w:tabs>
        <w:numPr>
          <w:ilvl w:val="0"/>
          <w:numId w:val="15"/>
        </w:numPr>
        <w:rPr>
          <w:rFonts w:ascii="Arial" w:cs="Arial" w:eastAsia="Arial" w:hAnsi="Arial"/>
          <w:sz w:val="20"/>
          <w:szCs w:val="20"/>
          <w:color w:val="FFFFFF"/>
        </w:rPr>
      </w:pPr>
      <w:r>
        <w:rPr>
          <w:rFonts w:ascii="Times New Roman" w:cs="Times New Roman" w:eastAsia="Times New Roman" w:hAnsi="Times New Roman"/>
          <w:sz w:val="20"/>
          <w:szCs w:val="20"/>
          <w:color w:val="FFFFFF"/>
        </w:rPr>
        <w:t>Wuhan Municipal Health Commission's briefing on the pneumonia epidemic situation, (in Chinese):</w:t>
      </w:r>
    </w:p>
    <w:p>
      <w:pPr>
        <w:spacing w:after="0" w:line="15"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14">
        <w:r>
          <w:rPr>
            <w:rFonts w:ascii="Times New Roman" w:cs="Times New Roman" w:eastAsia="Times New Roman" w:hAnsi="Times New Roman"/>
            <w:sz w:val="20"/>
            <w:szCs w:val="20"/>
            <w:color w:val="FFFFFF"/>
          </w:rPr>
          <w:t>http://wjw.wuhan.gov.cn/front/web/list2nd/no/710</w:t>
        </w:r>
      </w:hyperlink>
    </w:p>
    <w:p>
      <w:pPr>
        <w:spacing w:after="0" w:line="42" w:lineRule="exact"/>
        <w:rPr>
          <w:rFonts w:ascii="Times New Roman" w:cs="Times New Roman" w:eastAsia="Times New Roman" w:hAnsi="Times New Roman"/>
          <w:sz w:val="20"/>
          <w:szCs w:val="20"/>
          <w:color w:val="FFFFFF"/>
        </w:rPr>
      </w:pPr>
    </w:p>
    <w:p>
      <w:pPr>
        <w:ind w:left="940" w:right="4566" w:hanging="364"/>
        <w:spacing w:after="0" w:line="245"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Disease outbreak news, Novel Coronavirus: </w:t>
      </w:r>
      <w:hyperlink r:id="rId15">
        <w:r>
          <w:rPr>
            <w:rFonts w:ascii="Times New Roman" w:cs="Times New Roman" w:eastAsia="Times New Roman" w:hAnsi="Times New Roman"/>
            <w:sz w:val="20"/>
            <w:szCs w:val="20"/>
            <w:color w:val="FFFFFF"/>
          </w:rPr>
          <w:t>https://www.who.int/csr/don/en/</w:t>
        </w:r>
      </w:hyperlink>
    </w:p>
    <w:p>
      <w:pPr>
        <w:spacing w:after="0" w:line="40" w:lineRule="exact"/>
        <w:rPr>
          <w:rFonts w:ascii="Times New Roman" w:cs="Times New Roman" w:eastAsia="Times New Roman" w:hAnsi="Times New Roman"/>
          <w:sz w:val="20"/>
          <w:szCs w:val="20"/>
          <w:color w:val="FFFFFF"/>
        </w:rPr>
      </w:pPr>
    </w:p>
    <w:p>
      <w:pPr>
        <w:ind w:left="940" w:right="106" w:hanging="364"/>
        <w:spacing w:after="0" w:line="246"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Thailand Ministry of Public Health situation update on novel coronavirus (in Thai): </w:t>
      </w:r>
      <w:hyperlink r:id="rId16">
        <w:r>
          <w:rPr>
            <w:rFonts w:ascii="Times New Roman" w:cs="Times New Roman" w:eastAsia="Times New Roman" w:hAnsi="Times New Roman"/>
            <w:sz w:val="20"/>
            <w:szCs w:val="20"/>
            <w:color w:val="FFFFFF"/>
          </w:rPr>
          <w:t>https://ddc.moph.go.th/viralpneumonia/index.html</w:t>
        </w:r>
      </w:hyperlink>
    </w:p>
    <w:p>
      <w:pPr>
        <w:spacing w:after="0" w:line="39"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16 January 2020 (in Japanese): </w:t>
      </w:r>
      <w:hyperlink r:id="rId17">
        <w:r>
          <w:rPr>
            <w:rFonts w:ascii="Times New Roman" w:cs="Times New Roman" w:eastAsia="Times New Roman" w:hAnsi="Times New Roman"/>
            <w:sz w:val="20"/>
            <w:szCs w:val="20"/>
            <w:color w:val="FFFFFF"/>
          </w:rPr>
          <w:t>https://www.mhlw.go.jp/stf/newpage_08906.html</w:t>
        </w:r>
      </w:hyperlink>
    </w:p>
    <w:p>
      <w:pPr>
        <w:spacing w:after="0" w:line="38" w:lineRule="exact"/>
        <w:rPr>
          <w:rFonts w:ascii="Times New Roman" w:cs="Times New Roman" w:eastAsia="Times New Roman" w:hAnsi="Times New Roman"/>
          <w:sz w:val="20"/>
          <w:szCs w:val="20"/>
          <w:color w:val="FFFFFF"/>
        </w:rPr>
      </w:pPr>
    </w:p>
    <w:p>
      <w:pPr>
        <w:ind w:left="940" w:right="126" w:hanging="364"/>
        <w:spacing w:after="0" w:line="245"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6 January 2020 (in Japanese): </w:t>
      </w:r>
      <w:hyperlink r:id="rId18">
        <w:r>
          <w:rPr>
            <w:rFonts w:ascii="Times New Roman" w:cs="Times New Roman" w:eastAsia="Times New Roman" w:hAnsi="Times New Roman"/>
            <w:sz w:val="20"/>
            <w:szCs w:val="20"/>
            <w:color w:val="FFFFFF"/>
          </w:rPr>
          <w:t>https://www.mhlw.go.jp/stf/newpage_08767.html</w:t>
        </w:r>
      </w:hyperlink>
    </w:p>
    <w:p>
      <w:pPr>
        <w:spacing w:after="0" w:line="23" w:lineRule="exact"/>
        <w:rPr>
          <w:rFonts w:ascii="Times New Roman" w:cs="Times New Roman" w:eastAsia="Times New Roman" w:hAnsi="Times New Roman"/>
          <w:sz w:val="20"/>
          <w:szCs w:val="20"/>
          <w:color w:val="FFFFFF"/>
        </w:rPr>
      </w:pPr>
    </w:p>
    <w:p>
      <w:pPr>
        <w:ind w:left="940" w:right="106" w:hanging="364"/>
        <w:spacing w:after="0" w:line="255" w:lineRule="auto"/>
        <w:tabs>
          <w:tab w:leader="none" w:pos="940" w:val="left"/>
        </w:tabs>
        <w:numPr>
          <w:ilvl w:val="0"/>
          <w:numId w:val="15"/>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Notice sent out from Health and Food Safety Planning Division, Quarantine Station Operation Management Office (in Japanese): </w:t>
      </w:r>
      <w:hyperlink r:id="rId19">
        <w:r>
          <w:rPr>
            <w:rFonts w:ascii="Times New Roman" w:cs="Times New Roman" w:eastAsia="Times New Roman" w:hAnsi="Times New Roman"/>
            <w:sz w:val="20"/>
            <w:szCs w:val="20"/>
            <w:color w:val="FFFFFF"/>
          </w:rPr>
          <w:t>https://www.mhlw.go.jp/content/10900000/000582967.pdf</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93"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5</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
      <w:numFmt w:val="bullet"/>
      <w:start w:val="1"/>
    </w:lvl>
  </w:abstractNum>
  <w:abstractNum w:abstractNumId="1">
    <w:nsid w:val="515F007C"/>
    <w:multiLevelType w:val="hybridMultilevel"/>
    <w:lvl w:ilvl="0">
      <w:lvlJc w:val="left"/>
      <w:lvlText w:val="•"/>
      <w:numFmt w:val="bullet"/>
      <w:start w:val="1"/>
    </w:lvl>
  </w:abstractNum>
  <w:abstractNum w:abstractNumId="2">
    <w:nsid w:val="5BD062C2"/>
    <w:multiLevelType w:val="hybridMultilevel"/>
    <w:lvl w:ilvl="0">
      <w:lvlJc w:val="left"/>
      <w:lvlText w:val="%1."/>
      <w:numFmt w:val="upperLetter"/>
      <w:start w:val="8"/>
    </w:lvl>
    <w:lvl w:ilvl="1">
      <w:lvlJc w:val="left"/>
      <w:lvlText w:val="•"/>
      <w:numFmt w:val="bullet"/>
      <w:start w:val="1"/>
    </w:lvl>
  </w:abstractNum>
  <w:abstractNum w:abstractNumId="3">
    <w:nsid w:val="12200854"/>
    <w:multiLevelType w:val="hybridMultilevel"/>
    <w:lvl w:ilvl="0">
      <w:lvlJc w:val="left"/>
      <w:lvlText w:val="▪"/>
      <w:numFmt w:val="bullet"/>
      <w:start w:val="1"/>
    </w:lvl>
    <w:lvl w:ilvl="1">
      <w:lvlJc w:val="left"/>
      <w:lvlText w:val="▪"/>
      <w:numFmt w:val="bullet"/>
      <w:start w:val="1"/>
    </w:lvl>
  </w:abstractNum>
  <w:abstractNum w:abstractNumId="4">
    <w:nsid w:val="4DB127F8"/>
    <w:multiLevelType w:val="hybridMultilevel"/>
    <w:lvl w:ilvl="0">
      <w:lvlJc w:val="left"/>
      <w:lvlText w:val="%1"/>
      <w:numFmt w:val="decimal"/>
      <w:start w:val="1"/>
    </w:lvl>
  </w:abstractNum>
  <w:abstractNum w:abstractNumId="5">
    <w:nsid w:val="216231B"/>
    <w:multiLevelType w:val="hybridMultilevel"/>
    <w:lvl w:ilvl="0">
      <w:lvlJc w:val="left"/>
      <w:lvlText w:val="(%1)"/>
      <w:numFmt w:val="decimal"/>
      <w:start w:val="1"/>
    </w:lvl>
  </w:abstractNum>
  <w:abstractNum w:abstractNumId="6">
    <w:nsid w:val="1F16E9E8"/>
    <w:multiLevelType w:val="hybridMultilevel"/>
    <w:lvl w:ilvl="0">
      <w:lvlJc w:val="left"/>
      <w:lvlText w:val="%1"/>
      <w:numFmt w:val="decimal"/>
      <w:start w:val="2"/>
    </w:lvl>
  </w:abstractNum>
  <w:abstractNum w:abstractNumId="7">
    <w:nsid w:val="1190CDE7"/>
    <w:multiLevelType w:val="hybridMultilevel"/>
    <w:lvl w:ilvl="0">
      <w:lvlJc w:val="left"/>
      <w:lvlText w:val="%1."/>
      <w:numFmt w:val="upperLetter"/>
      <w:start w:val="34"/>
    </w:lvl>
    <w:lvl w:ilvl="1">
      <w:lvlJc w:val="left"/>
      <w:lvlText w:val="▪"/>
      <w:numFmt w:val="bullet"/>
      <w:start w:val="1"/>
    </w:lvl>
  </w:abstractNum>
  <w:abstractNum w:abstractNumId="8">
    <w:nsid w:val="66EF438D"/>
    <w:multiLevelType w:val="hybridMultilevel"/>
    <w:lvl w:ilvl="0">
      <w:lvlJc w:val="left"/>
      <w:lvlText w:val="%1."/>
      <w:numFmt w:val="upperLetter"/>
      <w:start w:val="60"/>
    </w:lvl>
    <w:lvl w:ilvl="1">
      <w:lvlJc w:val="left"/>
      <w:lvlText w:val="•"/>
      <w:numFmt w:val="bullet"/>
      <w:start w:val="1"/>
    </w:lvl>
  </w:abstractNum>
  <w:abstractNum w:abstractNumId="9">
    <w:nsid w:val="140E0F76"/>
    <w:multiLevelType w:val="hybridMultilevel"/>
    <w:lvl w:ilvl="0">
      <w:lvlJc w:val="left"/>
      <w:lvlText w:val="•"/>
      <w:numFmt w:val="bullet"/>
      <w:start w:val="1"/>
    </w:lvl>
  </w:abstractNum>
  <w:abstractNum w:abstractNumId="10">
    <w:nsid w:val="3352255A"/>
    <w:multiLevelType w:val="hybridMultilevel"/>
    <w:lvl w:ilvl="0">
      <w:lvlJc w:val="left"/>
      <w:lvlText w:val="•"/>
      <w:numFmt w:val="bullet"/>
      <w:start w:val="1"/>
    </w:lvl>
  </w:abstractNum>
  <w:abstractNum w:abstractNumId="11">
    <w:nsid w:val="109CF92E"/>
    <w:multiLevelType w:val="hybridMultilevel"/>
    <w:lvl w:ilvl="0">
      <w:lvlJc w:val="left"/>
      <w:lvlText w:val="•"/>
      <w:numFmt w:val="bullet"/>
      <w:start w:val="1"/>
    </w:lvl>
  </w:abstractNum>
  <w:abstractNum w:abstractNumId="12">
    <w:nsid w:val="DED7263"/>
    <w:multiLevelType w:val="hybridMultilevel"/>
    <w:lvl w:ilvl="0">
      <w:lvlJc w:val="left"/>
      <w:lvlText w:val="•"/>
      <w:numFmt w:val="bullet"/>
      <w:start w:val="1"/>
    </w:lvl>
  </w:abstractNum>
  <w:abstractNum w:abstractNumId="13">
    <w:nsid w:val="7FDCC233"/>
    <w:multiLevelType w:val="hybridMultilevel"/>
    <w:lvl w:ilvl="0">
      <w:lvlJc w:val="left"/>
      <w:lvlText w:val="•"/>
      <w:numFmt w:val="bullet"/>
      <w:start w:val="1"/>
    </w:lvl>
  </w:abstractNum>
  <w:abstractNum w:abstractNumId="14">
    <w:nsid w:val="1BEFD79F"/>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who.int/health-topics/coronavirus" TargetMode="External"/><Relationship Id="rId11" Type="http://schemas.openxmlformats.org/officeDocument/2006/relationships/hyperlink" Target="https://www.who.int/ith/2020-%200901_outbreak_of_Pneumonia_caused_by_a_new_coronavirus_in_C/en/" TargetMode="External"/><Relationship Id="rId12" Type="http://schemas.openxmlformats.org/officeDocument/2006/relationships/hyperlink" Target="https://www.cdc.go.kr/board/board.es?mid=a20501000000&amp;bid=0015&amp;list_no=365794&amp;act=view" TargetMode="External"/><Relationship Id="rId13" Type="http://schemas.openxmlformats.org/officeDocument/2006/relationships/hyperlink" Target="https://www.cdc.go.kr/board/board.es?mid=a20501000000&amp;bid=0015&amp;list_no=365805&amp;act=view" TargetMode="External"/><Relationship Id="rId14" Type="http://schemas.openxmlformats.org/officeDocument/2006/relationships/hyperlink" Target="http://wjw.wuhan.gov.cn/front/web/list2nd/no/710" TargetMode="External"/><Relationship Id="rId15" Type="http://schemas.openxmlformats.org/officeDocument/2006/relationships/hyperlink" Target="https://www.who.int/csr/don/en/" TargetMode="External"/><Relationship Id="rId16" Type="http://schemas.openxmlformats.org/officeDocument/2006/relationships/hyperlink" Target="https://ddc.moph.go.th/viralpneumonia/index.html" TargetMode="External"/><Relationship Id="rId17" Type="http://schemas.openxmlformats.org/officeDocument/2006/relationships/hyperlink" Target="https://www.mhlw.go.jp/stf/newpage_08906.html" TargetMode="External"/><Relationship Id="rId18" Type="http://schemas.openxmlformats.org/officeDocument/2006/relationships/hyperlink" Target="https://www.mhlw.go.jp/stf/newpage_08767.html" TargetMode="External"/><Relationship Id="rId19" Type="http://schemas.openxmlformats.org/officeDocument/2006/relationships/hyperlink" Target="https://www.mhlw.go.jp/content/10900000/000582967.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2020-03-10T16:41:25Z</dcterms:created>
  <dcterms:modified xsi:type="dcterms:W3CDTF">2020-03-10T16:41:25Z</dcterms:modified>
</cp:coreProperties>
</file>