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900"/>
        <w:spacing w:after="0"/>
        <w:rPr>
          <w:sz w:val="20"/>
          <w:szCs w:val="20"/>
          <w:color w:val="auto"/>
        </w:rPr>
      </w:pPr>
      <w:r>
        <w:rPr>
          <w:rFonts w:ascii="Times New Roman" w:cs="Times New Roman" w:eastAsia="Times New Roman" w:hAnsi="Times New Roman"/>
          <w:sz w:val="36"/>
          <w:szCs w:val="36"/>
          <w:b w:val="1"/>
          <w:bCs w:val="1"/>
          <w:color w:val="0070C0"/>
        </w:rPr>
        <w:drawing>
          <wp:anchor simplePos="0" relativeHeight="251657728" behindDoc="1" locked="0" layoutInCell="0" allowOverlap="1">
            <wp:simplePos x="0" y="0"/>
            <wp:positionH relativeFrom="page">
              <wp:posOffset>982980</wp:posOffset>
            </wp:positionH>
            <wp:positionV relativeFrom="page">
              <wp:posOffset>283845</wp:posOffset>
            </wp:positionV>
            <wp:extent cx="5729605" cy="22510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5729605" cy="2251075"/>
                    </a:xfrm>
                    <a:prstGeom prst="rect">
                      <a:avLst/>
                    </a:prstGeom>
                    <a:noFill/>
                  </pic:spPr>
                </pic:pic>
              </a:graphicData>
            </a:graphic>
          </wp:anchor>
        </w:drawing>
        <w:t>ZIKA VIRUS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3" w:lineRule="exact"/>
        <w:rPr>
          <w:sz w:val="24"/>
          <w:szCs w:val="24"/>
          <w:color w:val="auto"/>
        </w:rPr>
      </w:pPr>
    </w:p>
    <w:p>
      <w:pPr>
        <w:ind w:left="3480"/>
        <w:spacing w:after="0"/>
        <w:rPr>
          <w:sz w:val="20"/>
          <w:szCs w:val="20"/>
          <w:color w:val="auto"/>
        </w:rPr>
      </w:pPr>
      <w:r>
        <w:rPr>
          <w:rFonts w:ascii="Times New Roman" w:cs="Times New Roman" w:eastAsia="Times New Roman" w:hAnsi="Times New Roman"/>
          <w:sz w:val="40"/>
          <w:szCs w:val="40"/>
          <w:b w:val="1"/>
          <w:bCs w:val="1"/>
          <w:color w:val="FFFFFF"/>
        </w:rPr>
        <w:t>Novel Coronavirus (2019-nCoV)</w:t>
      </w:r>
    </w:p>
    <w:p>
      <w:pPr>
        <w:jc w:val="right"/>
        <w:ind w:right="20"/>
        <w:spacing w:after="0" w:line="238" w:lineRule="auto"/>
        <w:rPr>
          <w:sz w:val="20"/>
          <w:szCs w:val="20"/>
          <w:color w:val="auto"/>
        </w:rPr>
      </w:pPr>
      <w:r>
        <w:rPr>
          <w:rFonts w:ascii="Times New Roman" w:cs="Times New Roman" w:eastAsia="Times New Roman" w:hAnsi="Times New Roman"/>
          <w:sz w:val="30"/>
          <w:szCs w:val="30"/>
          <w:b w:val="1"/>
          <w:bCs w:val="1"/>
          <w:color w:val="FFFFFF"/>
        </w:rPr>
        <w:t>SITUATION REPORT - 4</w:t>
      </w:r>
    </w:p>
    <w:p>
      <w:pPr>
        <w:spacing w:after="0" w:line="1" w:lineRule="exact"/>
        <w:rPr>
          <w:sz w:val="24"/>
          <w:szCs w:val="24"/>
          <w:color w:val="auto"/>
        </w:rPr>
      </w:pPr>
    </w:p>
    <w:p>
      <w:pPr>
        <w:jc w:val="right"/>
        <w:ind w:right="20"/>
        <w:spacing w:after="0"/>
        <w:rPr>
          <w:sz w:val="20"/>
          <w:szCs w:val="20"/>
          <w:color w:val="auto"/>
        </w:rPr>
      </w:pPr>
      <w:r>
        <w:rPr>
          <w:rFonts w:ascii="Times New Roman" w:cs="Times New Roman" w:eastAsia="Times New Roman" w:hAnsi="Times New Roman"/>
          <w:sz w:val="30"/>
          <w:szCs w:val="30"/>
          <w:b w:val="1"/>
          <w:bCs w:val="1"/>
          <w:color w:val="FFFFFF"/>
        </w:rPr>
        <w:t>24 JANUARY 2020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7" w:lineRule="exact"/>
        <w:rPr>
          <w:sz w:val="24"/>
          <w:szCs w:val="24"/>
          <w:color w:val="auto"/>
        </w:rPr>
      </w:pPr>
    </w:p>
    <w:p>
      <w:pPr>
        <w:spacing w:after="0"/>
        <w:rPr>
          <w:sz w:val="20"/>
          <w:szCs w:val="20"/>
          <w:color w:val="auto"/>
        </w:rPr>
      </w:pPr>
      <w:r>
        <w:rPr>
          <w:rFonts w:ascii="Calibri" w:cs="Calibri" w:eastAsia="Calibri" w:hAnsi="Calibri"/>
          <w:sz w:val="24"/>
          <w:szCs w:val="24"/>
          <w:b w:val="1"/>
          <w:bCs w:val="1"/>
          <w:color w:val="0070C0"/>
        </w:rPr>
        <w:t>Data as reported by: 24 January 2020</w:t>
      </w:r>
      <w:r>
        <w:rPr>
          <w:rFonts w:ascii="Calibri" w:cs="Calibri" w:eastAsia="Calibri" w:hAnsi="Calibri"/>
          <w:sz w:val="32"/>
          <w:szCs w:val="32"/>
          <w:b w:val="1"/>
          <w:bCs w:val="1"/>
          <w:color w:val="0070C0"/>
          <w:vertAlign w:val="superscript"/>
        </w:rPr>
        <w:t>1</w:t>
      </w:r>
    </w:p>
    <w:p>
      <w:pPr>
        <w:spacing w:after="0" w:line="282" w:lineRule="exact"/>
        <w:rPr>
          <w:sz w:val="24"/>
          <w:szCs w:val="24"/>
          <w:color w:val="auto"/>
        </w:rPr>
      </w:pPr>
    </w:p>
    <w:p>
      <w:pPr>
        <w:spacing w:after="0"/>
        <w:rPr>
          <w:sz w:val="20"/>
          <w:szCs w:val="20"/>
          <w:color w:val="auto"/>
        </w:rPr>
      </w:pPr>
      <w:r>
        <w:rPr>
          <w:rFonts w:ascii="Calibri" w:cs="Calibri" w:eastAsia="Calibri" w:hAnsi="Calibri"/>
          <w:sz w:val="26"/>
          <w:szCs w:val="26"/>
          <w:b w:val="1"/>
          <w:bCs w:val="1"/>
          <w:color w:val="0070C0"/>
        </w:rPr>
        <w:t>SUMMARY</w:t>
      </w:r>
    </w:p>
    <w:p>
      <w:pPr>
        <w:spacing w:after="0" w:line="168" w:lineRule="exact"/>
        <w:rPr>
          <w:sz w:val="24"/>
          <w:szCs w:val="24"/>
          <w:color w:val="auto"/>
        </w:rPr>
      </w:pPr>
    </w:p>
    <w:p>
      <w:pPr>
        <w:spacing w:after="0"/>
        <w:rPr>
          <w:sz w:val="20"/>
          <w:szCs w:val="20"/>
          <w:color w:val="auto"/>
        </w:rPr>
      </w:pPr>
      <w:r>
        <w:rPr>
          <w:rFonts w:ascii="Calibri" w:cs="Calibri" w:eastAsia="Calibri" w:hAnsi="Calibri"/>
          <w:sz w:val="22"/>
          <w:szCs w:val="22"/>
          <w:b w:val="1"/>
          <w:bCs w:val="1"/>
          <w:color w:val="0070C0"/>
        </w:rPr>
        <w:t>Situation update:</w:t>
      </w:r>
    </w:p>
    <w:p>
      <w:pPr>
        <w:spacing w:after="0" w:line="173" w:lineRule="exact"/>
        <w:rPr>
          <w:sz w:val="24"/>
          <w:szCs w:val="24"/>
          <w:color w:val="auto"/>
        </w:rPr>
      </w:pPr>
    </w:p>
    <w:p>
      <w:pPr>
        <w:ind w:left="360" w:hanging="360"/>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A total of 846 confirmed cases have been reported for novel coronavirus (2019-nCoV) globally;</w:t>
      </w:r>
    </w:p>
    <w:p>
      <w:pPr>
        <w:spacing w:after="0" w:line="50" w:lineRule="exact"/>
        <w:rPr>
          <w:rFonts w:ascii="Arial" w:cs="Arial" w:eastAsia="Arial" w:hAnsi="Arial"/>
          <w:sz w:val="22"/>
          <w:szCs w:val="22"/>
          <w:color w:val="auto"/>
        </w:rPr>
      </w:pPr>
    </w:p>
    <w:p>
      <w:pPr>
        <w:ind w:left="360" w:hanging="360"/>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846 cases reported, 830 cases were reported from China;</w:t>
      </w:r>
    </w:p>
    <w:p>
      <w:pPr>
        <w:spacing w:after="0" w:line="53" w:lineRule="exact"/>
        <w:rPr>
          <w:rFonts w:ascii="Arial" w:cs="Arial" w:eastAsia="Arial" w:hAnsi="Arial"/>
          <w:sz w:val="22"/>
          <w:szCs w:val="22"/>
          <w:color w:val="auto"/>
        </w:rPr>
      </w:pPr>
    </w:p>
    <w:p>
      <w:pPr>
        <w:ind w:left="360" w:hanging="360"/>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Eleven confirmed cases have been reported outside of China in six countries (see table-1),</w:t>
      </w:r>
    </w:p>
    <w:p>
      <w:pPr>
        <w:spacing w:after="0" w:line="53" w:lineRule="exact"/>
        <w:rPr>
          <w:rFonts w:ascii="Arial" w:cs="Arial" w:eastAsia="Arial" w:hAnsi="Arial"/>
          <w:sz w:val="22"/>
          <w:szCs w:val="22"/>
          <w:color w:val="auto"/>
        </w:rPr>
      </w:pPr>
    </w:p>
    <w:p>
      <w:pPr>
        <w:ind w:left="360" w:hanging="360"/>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these 11 confirmed cases, 10 had travel history to Wuhan;</w:t>
      </w:r>
    </w:p>
    <w:p>
      <w:pPr>
        <w:spacing w:after="0" w:line="99" w:lineRule="exact"/>
        <w:rPr>
          <w:rFonts w:ascii="Arial" w:cs="Arial" w:eastAsia="Arial" w:hAnsi="Arial"/>
          <w:sz w:val="22"/>
          <w:szCs w:val="22"/>
          <w:color w:val="auto"/>
        </w:rPr>
      </w:pPr>
    </w:p>
    <w:p>
      <w:pPr>
        <w:jc w:val="both"/>
        <w:ind w:left="360" w:right="20" w:hanging="360"/>
        <w:spacing w:after="0" w:line="253"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One confirmed case in Vietnam had no travel history to any part of China but was a family member of a confirmed case who visited Wuhan. This suggests an instance of human to human transmission that occurred in Vietnam.</w:t>
      </w:r>
    </w:p>
    <w:p>
      <w:pPr>
        <w:spacing w:after="0" w:line="40" w:lineRule="exact"/>
        <w:rPr>
          <w:rFonts w:ascii="Arial" w:cs="Arial" w:eastAsia="Arial" w:hAnsi="Arial"/>
          <w:sz w:val="22"/>
          <w:szCs w:val="22"/>
          <w:color w:val="auto"/>
        </w:rPr>
      </w:pPr>
    </w:p>
    <w:p>
      <w:pPr>
        <w:ind w:left="360" w:hanging="360"/>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830 confirmed cases in China, 375 cases were confirmed from Hubei Province;</w:t>
      </w:r>
    </w:p>
    <w:p>
      <w:pPr>
        <w:spacing w:after="0" w:line="49" w:lineRule="exact"/>
        <w:rPr>
          <w:rFonts w:ascii="Arial" w:cs="Arial" w:eastAsia="Arial" w:hAnsi="Arial"/>
          <w:sz w:val="22"/>
          <w:szCs w:val="22"/>
          <w:color w:val="auto"/>
        </w:rPr>
      </w:pPr>
    </w:p>
    <w:p>
      <w:pPr>
        <w:ind w:left="360" w:hanging="360"/>
        <w:spacing w:after="0"/>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Of the 830 cases, 177 cases have been reported as severely ill</w:t>
      </w:r>
      <w:r>
        <w:rPr>
          <w:rFonts w:ascii="Calibri" w:cs="Calibri" w:eastAsia="Calibri" w:hAnsi="Calibri"/>
          <w:sz w:val="27"/>
          <w:szCs w:val="27"/>
          <w:color w:val="auto"/>
          <w:vertAlign w:val="superscript"/>
        </w:rPr>
        <w:t>2</w:t>
      </w:r>
      <w:r>
        <w:rPr>
          <w:rFonts w:ascii="Calibri" w:cs="Calibri" w:eastAsia="Calibri" w:hAnsi="Calibri"/>
          <w:sz w:val="22"/>
          <w:szCs w:val="22"/>
          <w:color w:val="auto"/>
        </w:rPr>
        <w:t xml:space="preserve"> ;</w:t>
      </w:r>
    </w:p>
    <w:p>
      <w:pPr>
        <w:ind w:left="360" w:hanging="360"/>
        <w:spacing w:after="0" w:line="234"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Twenty-five deaths have been reported to date</w:t>
      </w:r>
    </w:p>
    <w:p>
      <w:pPr>
        <w:spacing w:after="0" w:line="102" w:lineRule="exact"/>
        <w:rPr>
          <w:rFonts w:ascii="Arial" w:cs="Arial" w:eastAsia="Arial" w:hAnsi="Arial"/>
          <w:sz w:val="22"/>
          <w:szCs w:val="22"/>
          <w:color w:val="auto"/>
        </w:rPr>
      </w:pPr>
    </w:p>
    <w:p>
      <w:pPr>
        <w:jc w:val="both"/>
        <w:ind w:left="360" w:hanging="360"/>
        <w:spacing w:after="0" w:line="253" w:lineRule="auto"/>
        <w:tabs>
          <w:tab w:leader="none" w:pos="36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 24 January 2020, the number of reported confirmed cases of 2019-nCoV has increased by 265 cases since the last situation report published on 23 January 2020, including China which reported additional 259 confirmed cases.</w:t>
      </w:r>
    </w:p>
    <w:p>
      <w:pPr>
        <w:spacing w:after="0" w:line="384" w:lineRule="exact"/>
        <w:rPr>
          <w:sz w:val="24"/>
          <w:szCs w:val="24"/>
          <w:color w:val="auto"/>
        </w:rPr>
      </w:pPr>
    </w:p>
    <w:p>
      <w:pPr>
        <w:ind w:right="60"/>
        <w:spacing w:after="0" w:line="271" w:lineRule="auto"/>
        <w:rPr>
          <w:sz w:val="20"/>
          <w:szCs w:val="20"/>
          <w:color w:val="auto"/>
        </w:rPr>
      </w:pPr>
      <w:r>
        <w:rPr>
          <w:rFonts w:ascii="Calibri" w:cs="Calibri" w:eastAsia="Calibri" w:hAnsi="Calibri"/>
          <w:sz w:val="22"/>
          <w:szCs w:val="22"/>
          <w:color w:val="auto"/>
        </w:rPr>
        <w:t>New epidemiological information reinforces the evidence that the 2019-nCoV can be transmitted from one individual to another. During previous outbreaks due to other coronavirus (</w:t>
      </w:r>
      <w:r>
        <w:rPr>
          <w:rFonts w:ascii="Calibri" w:cs="Calibri" w:eastAsia="Calibri" w:hAnsi="Calibri"/>
          <w:sz w:val="22"/>
          <w:szCs w:val="22"/>
          <w:color w:val="333333"/>
        </w:rPr>
        <w:t>Middle-East</w:t>
      </w:r>
      <w:r>
        <w:rPr>
          <w:rFonts w:ascii="Calibri" w:cs="Calibri" w:eastAsia="Calibri" w:hAnsi="Calibri"/>
          <w:sz w:val="22"/>
          <w:szCs w:val="22"/>
          <w:color w:val="auto"/>
        </w:rPr>
        <w:t xml:space="preserve"> </w:t>
      </w:r>
      <w:r>
        <w:rPr>
          <w:rFonts w:ascii="Calibri" w:cs="Calibri" w:eastAsia="Calibri" w:hAnsi="Calibri"/>
          <w:sz w:val="22"/>
          <w:szCs w:val="22"/>
          <w:color w:val="333333"/>
        </w:rPr>
        <w:t>Respiratory Syndrome (MERS) and the Severe Acute Respiratory Syndrome (SARS))</w:t>
      </w:r>
      <w:r>
        <w:rPr>
          <w:rFonts w:ascii="Calibri" w:cs="Calibri" w:eastAsia="Calibri" w:hAnsi="Calibri"/>
          <w:sz w:val="22"/>
          <w:szCs w:val="22"/>
          <w:color w:val="000000"/>
        </w:rPr>
        <w:t>, human to</w:t>
      </w:r>
      <w:r>
        <w:rPr>
          <w:rFonts w:ascii="Calibri" w:cs="Calibri" w:eastAsia="Calibri" w:hAnsi="Calibri"/>
          <w:sz w:val="22"/>
          <w:szCs w:val="22"/>
          <w:color w:val="333333"/>
        </w:rPr>
        <w:t xml:space="preserve"> </w:t>
      </w:r>
      <w:r>
        <w:rPr>
          <w:rFonts w:ascii="Calibri" w:cs="Calibri" w:eastAsia="Calibri" w:hAnsi="Calibri"/>
          <w:sz w:val="22"/>
          <w:szCs w:val="22"/>
          <w:color w:val="000000"/>
        </w:rPr>
        <w:t>human transmission occurred through droplets, contact and fomites, suggesting that the transmission mode of the 2019-nCoV can be similar. The strategic objectives of the response are to interrupt the transmission of the virus from one person to another in China, to prevent exportation of cases from China to other countries and territories, and to prevent further transmission from exported case if they were to happen. This can be achieved through a combination of public health measures, such as rapid identification, diagnosis and management of the cases, identification and follow up of the contacts, infection prevention and control in healthcare settings, implementation of health measures for travellers, awareness raising in the population, risk communication. WHO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327660</wp:posOffset>
                </wp:positionV>
                <wp:extent cx="1828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5.8pt" to="144pt,25.8pt" o:allowincell="f" strokecolor="#000000" strokeweight="0.7199pt"/>
            </w:pict>
          </mc:Fallback>
        </mc:AlternateContent>
      </w:r>
    </w:p>
    <w:p>
      <w:pPr>
        <w:spacing w:after="0" w:line="200" w:lineRule="exact"/>
        <w:rPr>
          <w:sz w:val="24"/>
          <w:szCs w:val="24"/>
          <w:color w:val="auto"/>
        </w:rPr>
      </w:pPr>
    </w:p>
    <w:p>
      <w:pPr>
        <w:spacing w:after="0" w:line="337" w:lineRule="exact"/>
        <w:rPr>
          <w:sz w:val="24"/>
          <w:szCs w:val="24"/>
          <w:color w:val="auto"/>
        </w:rPr>
      </w:pPr>
    </w:p>
    <w:p>
      <w:pPr>
        <w:ind w:left="120" w:hanging="120"/>
        <w:spacing w:after="0"/>
        <w:tabs>
          <w:tab w:leader="none" w:pos="120" w:val="left"/>
        </w:tabs>
        <w:numPr>
          <w:ilvl w:val="0"/>
          <w:numId w:val="2"/>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 xml:space="preserve">The situation report includes </w:t>
      </w:r>
      <w:r>
        <w:rPr>
          <w:rFonts w:ascii="Calibri" w:cs="Calibri" w:eastAsia="Calibri" w:hAnsi="Calibri"/>
          <w:sz w:val="18"/>
          <w:szCs w:val="18"/>
          <w:color w:val="auto"/>
        </w:rPr>
        <w:t>information reported to WHO Geneva by 10 AM CET</w:t>
      </w:r>
    </w:p>
    <w:p>
      <w:pPr>
        <w:spacing w:after="0" w:line="41" w:lineRule="exact"/>
        <w:rPr>
          <w:rFonts w:ascii="Times New Roman" w:cs="Times New Roman" w:eastAsia="Times New Roman" w:hAnsi="Times New Roman"/>
          <w:sz w:val="26"/>
          <w:szCs w:val="26"/>
          <w:color w:val="auto"/>
          <w:vertAlign w:val="superscript"/>
        </w:rPr>
      </w:pPr>
    </w:p>
    <w:p>
      <w:pPr>
        <w:ind w:left="100" w:hanging="100"/>
        <w:spacing w:after="0" w:line="185" w:lineRule="auto"/>
        <w:tabs>
          <w:tab w:leader="none" w:pos="100" w:val="left"/>
        </w:tabs>
        <w:numPr>
          <w:ilvl w:val="0"/>
          <w:numId w:val="2"/>
        </w:numPr>
        <w:rPr>
          <w:rFonts w:ascii="Calibri" w:cs="Calibri" w:eastAsia="Calibri" w:hAnsi="Calibri"/>
          <w:sz w:val="19"/>
          <w:szCs w:val="19"/>
          <w:color w:val="auto"/>
          <w:vertAlign w:val="superscript"/>
        </w:rPr>
      </w:pPr>
      <w:r>
        <w:rPr>
          <w:rFonts w:ascii="Calibri" w:cs="Calibri" w:eastAsia="Calibri" w:hAnsi="Calibri"/>
          <w:sz w:val="15"/>
          <w:szCs w:val="15"/>
          <w:color w:val="auto"/>
        </w:rPr>
        <w:t>Severe illness: According to any of the following criteria:</w:t>
      </w:r>
    </w:p>
    <w:p>
      <w:pPr>
        <w:spacing w:after="0" w:line="40" w:lineRule="exact"/>
        <w:rPr>
          <w:sz w:val="24"/>
          <w:szCs w:val="24"/>
          <w:color w:val="auto"/>
        </w:rPr>
      </w:pPr>
    </w:p>
    <w:p>
      <w:pPr>
        <w:ind w:left="280" w:right="80" w:hanging="280"/>
        <w:spacing w:after="0" w:line="218" w:lineRule="auto"/>
        <w:tabs>
          <w:tab w:leader="none" w:pos="239" w:val="left"/>
        </w:tabs>
        <w:numPr>
          <w:ilvl w:val="0"/>
          <w:numId w:val="3"/>
        </w:numPr>
        <w:rPr>
          <w:rFonts w:ascii="Calibri" w:cs="Calibri" w:eastAsia="Calibri" w:hAnsi="Calibri"/>
          <w:sz w:val="18"/>
          <w:szCs w:val="18"/>
          <w:color w:val="auto"/>
        </w:rPr>
      </w:pPr>
      <w:r>
        <w:rPr>
          <w:rFonts w:ascii="Calibri" w:cs="Calibri" w:eastAsia="Calibri" w:hAnsi="Calibri"/>
          <w:sz w:val="18"/>
          <w:szCs w:val="18"/>
          <w:color w:val="auto"/>
        </w:rPr>
        <w:t>dyspnea; (2) respiratory rate more than 30 bpm; (3) hypoxemia; (4) chest X-ray with multi-lobar infiltrates or pulmonary infiltration progressed more than 50% within 24 - 48 hours.</w:t>
      </w:r>
    </w:p>
    <w:p>
      <w:pPr>
        <w:spacing w:after="0" w:line="170" w:lineRule="exact"/>
        <w:rPr>
          <w:sz w:val="24"/>
          <w:szCs w:val="24"/>
          <w:color w:val="auto"/>
        </w:rPr>
      </w:pPr>
    </w:p>
    <w:p>
      <w:pPr>
        <w:ind w:left="8900"/>
        <w:spacing w:after="0"/>
        <w:rPr>
          <w:sz w:val="20"/>
          <w:szCs w:val="20"/>
          <w:color w:val="auto"/>
        </w:rPr>
      </w:pPr>
      <w:r>
        <w:rPr>
          <w:rFonts w:ascii="Calibri" w:cs="Calibri" w:eastAsia="Calibri" w:hAnsi="Calibri"/>
          <w:sz w:val="24"/>
          <w:szCs w:val="24"/>
          <w:color w:val="auto"/>
        </w:rPr>
        <w:t>1</w:t>
      </w:r>
    </w:p>
    <w:p>
      <w:pPr>
        <w:sectPr>
          <w:pgSz w:w="11900" w:h="16838" w:orient="portrait"/>
          <w:cols w:equalWidth="0" w:num="1">
            <w:col w:w="9040"/>
          </w:cols>
          <w:pgMar w:left="1440" w:top="446" w:right="1426" w:bottom="415" w:gutter="0" w:footer="0" w:header="0"/>
        </w:sectPr>
      </w:pPr>
    </w:p>
    <w:bookmarkStart w:id="1" w:name="page2"/>
    <w:bookmarkEnd w:id="1"/>
    <w:p>
      <w:pPr>
        <w:spacing w:after="0" w:line="43" w:lineRule="exact"/>
        <w:rPr>
          <w:sz w:val="20"/>
          <w:szCs w:val="20"/>
          <w:color w:val="auto"/>
        </w:rPr>
      </w:pPr>
    </w:p>
    <w:p>
      <w:pPr>
        <w:ind w:right="946"/>
        <w:spacing w:after="0" w:line="236" w:lineRule="auto"/>
        <w:rPr>
          <w:sz w:val="20"/>
          <w:szCs w:val="20"/>
          <w:color w:val="auto"/>
        </w:rPr>
      </w:pPr>
      <w:r>
        <w:rPr>
          <w:rFonts w:ascii="Calibri" w:cs="Calibri" w:eastAsia="Calibri" w:hAnsi="Calibri"/>
          <w:sz w:val="22"/>
          <w:szCs w:val="22"/>
          <w:color w:val="auto"/>
        </w:rPr>
        <w:t>continuously updates guidance and works closely with Member States to implement these measures.</w:t>
      </w:r>
    </w:p>
    <w:p>
      <w:pPr>
        <w:spacing w:after="0" w:line="291" w:lineRule="exact"/>
        <w:rPr>
          <w:sz w:val="20"/>
          <w:szCs w:val="20"/>
          <w:color w:val="auto"/>
        </w:rPr>
      </w:pPr>
    </w:p>
    <w:p>
      <w:pPr>
        <w:ind w:right="366"/>
        <w:spacing w:after="0" w:line="253" w:lineRule="auto"/>
        <w:rPr>
          <w:rFonts w:ascii="Calibri" w:cs="Calibri" w:eastAsia="Calibri" w:hAnsi="Calibri"/>
          <w:sz w:val="22"/>
          <w:szCs w:val="22"/>
          <w:color w:val="3C4245"/>
        </w:rPr>
      </w:pPr>
      <w:r>
        <w:rPr>
          <w:rFonts w:ascii="Calibri" w:cs="Calibri" w:eastAsia="Calibri" w:hAnsi="Calibri"/>
          <w:sz w:val="22"/>
          <w:szCs w:val="22"/>
          <w:color w:val="3C4245"/>
        </w:rPr>
        <w:t xml:space="preserve">On 22 and 23 January, WHO Director-General convened an Emergency Committee under the International Health Regulations (IHR) (2005) regarding the outbreak of novel coronavirus (2019-nCoV). The details are available </w:t>
      </w:r>
      <w:hyperlink r:id="rId9">
        <w:r>
          <w:rPr>
            <w:rFonts w:ascii="Calibri" w:cs="Calibri" w:eastAsia="Calibri" w:hAnsi="Calibri"/>
            <w:sz w:val="22"/>
            <w:szCs w:val="22"/>
            <w:u w:val="single" w:color="auto"/>
            <w:color w:val="0000FF"/>
          </w:rPr>
          <w:t>here</w:t>
        </w:r>
        <w:r>
          <w:rPr>
            <w:rFonts w:ascii="Calibri" w:cs="Calibri" w:eastAsia="Calibri" w:hAnsi="Calibri"/>
            <w:sz w:val="22"/>
            <w:szCs w:val="22"/>
            <w:u w:val="single" w:color="auto"/>
            <w:color w:val="3C4245"/>
          </w:rPr>
          <w:t>.</w:t>
        </w:r>
      </w:hyperlink>
    </w:p>
    <w:p>
      <w:pPr>
        <w:spacing w:after="0" w:line="276" w:lineRule="exact"/>
        <w:rPr>
          <w:sz w:val="20"/>
          <w:szCs w:val="20"/>
          <w:color w:val="auto"/>
        </w:rPr>
      </w:pPr>
    </w:p>
    <w:p>
      <w:pPr>
        <w:ind w:right="6"/>
        <w:spacing w:after="0" w:line="235" w:lineRule="auto"/>
        <w:rPr>
          <w:sz w:val="20"/>
          <w:szCs w:val="20"/>
          <w:color w:val="auto"/>
        </w:rPr>
      </w:pPr>
      <w:r>
        <w:rPr>
          <w:rFonts w:ascii="Calibri" w:cs="Calibri" w:eastAsia="Calibri" w:hAnsi="Calibri"/>
          <w:sz w:val="22"/>
          <w:szCs w:val="22"/>
          <w:color w:val="auto"/>
        </w:rPr>
        <w:t>WHO assesses the risk of this event to be very high in China, high at the regional level and high at the global level.</w:t>
      </w:r>
      <w:r>
        <w:rPr>
          <w:rFonts w:ascii="Calibri" w:cs="Calibri" w:eastAsia="Calibri" w:hAnsi="Calibri"/>
          <w:sz w:val="27"/>
          <w:szCs w:val="27"/>
          <w:color w:val="auto"/>
          <w:vertAlign w:val="superscript"/>
        </w:rPr>
        <w:t>3</w:t>
      </w: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right="266"/>
        <w:spacing w:after="0" w:line="235" w:lineRule="auto"/>
        <w:rPr>
          <w:sz w:val="20"/>
          <w:szCs w:val="20"/>
          <w:color w:val="auto"/>
        </w:rPr>
      </w:pPr>
      <w:r>
        <w:rPr>
          <w:rFonts w:ascii="Calibri" w:cs="Calibri" w:eastAsia="Calibri" w:hAnsi="Calibri"/>
          <w:sz w:val="22"/>
          <w:szCs w:val="22"/>
          <w:b w:val="1"/>
          <w:bCs w:val="1"/>
          <w:color w:val="auto"/>
        </w:rPr>
        <w:t>Figure 1. Countries, territories or areas with reported confirmed cases of 2019-nCoV, 24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6064250</wp:posOffset>
                </wp:positionV>
                <wp:extent cx="18288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7.5pt" to="144pt,477.5pt" o:allowincell="f" strokecolor="#000000" strokeweight="0.72pt"/>
            </w:pict>
          </mc:Fallback>
        </mc:AlternateContent>
        <w:drawing>
          <wp:anchor simplePos="0" relativeHeight="251657728" behindDoc="1" locked="0" layoutInCell="0" allowOverlap="1">
            <wp:simplePos x="0" y="0"/>
            <wp:positionH relativeFrom="column">
              <wp:posOffset>0</wp:posOffset>
            </wp:positionH>
            <wp:positionV relativeFrom="paragraph">
              <wp:posOffset>226695</wp:posOffset>
            </wp:positionV>
            <wp:extent cx="5730875" cy="39084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5730875" cy="3908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280" w:right="186" w:hanging="280"/>
        <w:spacing w:after="0" w:line="203" w:lineRule="auto"/>
        <w:tabs>
          <w:tab w:leader="none" w:pos="162" w:val="left"/>
        </w:tabs>
        <w:numPr>
          <w:ilvl w:val="0"/>
          <w:numId w:val="4"/>
        </w:numPr>
        <w:rPr>
          <w:rFonts w:ascii="Times New Roman" w:cs="Times New Roman" w:eastAsia="Times New Roman" w:hAnsi="Times New Roman"/>
          <w:sz w:val="26"/>
          <w:szCs w:val="26"/>
          <w:color w:val="auto"/>
          <w:vertAlign w:val="superscript"/>
        </w:rPr>
      </w:pPr>
      <w:r>
        <w:rPr>
          <w:rFonts w:ascii="Times New Roman" w:cs="Times New Roman" w:eastAsia="Times New Roman" w:hAnsi="Times New Roman"/>
          <w:sz w:val="20"/>
          <w:szCs w:val="20"/>
          <w:color w:val="auto"/>
        </w:rPr>
        <w:t>Note: Error in situation reports published on 23,24 and 25 January as originally published, which incorrectly summarized the risk for global level to be moderate.</w:t>
      </w:r>
    </w:p>
    <w:p>
      <w:pPr>
        <w:spacing w:after="0" w:line="169" w:lineRule="exact"/>
        <w:rPr>
          <w:sz w:val="20"/>
          <w:szCs w:val="20"/>
          <w:color w:val="auto"/>
        </w:rPr>
      </w:pPr>
    </w:p>
    <w:p>
      <w:pPr>
        <w:jc w:val="right"/>
        <w:ind w:right="6"/>
        <w:spacing w:after="0"/>
        <w:rPr>
          <w:sz w:val="20"/>
          <w:szCs w:val="20"/>
          <w:color w:val="auto"/>
        </w:rPr>
      </w:pPr>
      <w:r>
        <w:rPr>
          <w:rFonts w:ascii="Calibri" w:cs="Calibri" w:eastAsia="Calibri" w:hAnsi="Calibri"/>
          <w:sz w:val="24"/>
          <w:szCs w:val="24"/>
          <w:color w:val="auto"/>
        </w:rPr>
        <w:t>2</w:t>
      </w:r>
    </w:p>
    <w:p>
      <w:pPr>
        <w:sectPr>
          <w:pgSz w:w="11900" w:h="16838" w:orient="portrait"/>
          <w:cols w:equalWidth="0" w:num="1">
            <w:col w:w="9026"/>
          </w:cols>
          <w:pgMar w:left="1440" w:top="1440" w:right="1440" w:bottom="415" w:gutter="0" w:footer="0" w:header="0"/>
        </w:sectPr>
      </w:pPr>
    </w:p>
    <w:bookmarkStart w:id="2" w:name="page3"/>
    <w:bookmarkEnd w:id="2"/>
    <w:p>
      <w:pPr>
        <w:spacing w:after="0"/>
        <w:rPr>
          <w:sz w:val="20"/>
          <w:szCs w:val="20"/>
          <w:color w:val="auto"/>
        </w:rPr>
      </w:pPr>
      <w:r>
        <w:rPr>
          <w:rFonts w:ascii="Calibri" w:cs="Calibri" w:eastAsia="Calibri" w:hAnsi="Calibri"/>
          <w:sz w:val="26"/>
          <w:szCs w:val="26"/>
          <w:b w:val="1"/>
          <w:bCs w:val="1"/>
          <w:color w:val="0070C0"/>
        </w:rPr>
        <w:t>I. SURVEILLANCE</w:t>
      </w:r>
    </w:p>
    <w:p>
      <w:pPr>
        <w:spacing w:after="0" w:line="16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Reported incidence of confirmed 2019-nCoV cases</w:t>
      </w:r>
    </w:p>
    <w:p>
      <w:pPr>
        <w:spacing w:after="0" w:line="210" w:lineRule="exact"/>
        <w:rPr>
          <w:sz w:val="20"/>
          <w:szCs w:val="20"/>
          <w:color w:val="auto"/>
        </w:rPr>
      </w:pPr>
    </w:p>
    <w:p>
      <w:pPr>
        <w:ind w:right="940"/>
        <w:spacing w:after="0" w:line="235" w:lineRule="auto"/>
        <w:rPr>
          <w:sz w:val="20"/>
          <w:szCs w:val="20"/>
          <w:color w:val="auto"/>
        </w:rPr>
      </w:pPr>
      <w:r>
        <w:rPr>
          <w:rFonts w:ascii="Calibri" w:cs="Calibri" w:eastAsia="Calibri" w:hAnsi="Calibri"/>
          <w:sz w:val="22"/>
          <w:szCs w:val="22"/>
          <w:b w:val="1"/>
          <w:bCs w:val="1"/>
          <w:color w:val="auto"/>
        </w:rPr>
        <w:t>Table 1. Countries, territories or areas with reported confirmed cases of 2019-nCoV, 24 January 2020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1530350</wp:posOffset>
                </wp:positionH>
                <wp:positionV relativeFrom="paragraph">
                  <wp:posOffset>29845</wp:posOffset>
                </wp:positionV>
                <wp:extent cx="0" cy="42354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2354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pt,2.35pt" to="120.5pt,35.7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5290820</wp:posOffset>
                </wp:positionH>
                <wp:positionV relativeFrom="paragraph">
                  <wp:posOffset>41910</wp:posOffset>
                </wp:positionV>
                <wp:extent cx="0" cy="41148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1148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6pt,3.3pt" to="416.6pt,35.7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5972810</wp:posOffset>
                </wp:positionV>
                <wp:extent cx="610933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1093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0.3pt" to="481.05pt,470.3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6350</wp:posOffset>
                </wp:positionH>
                <wp:positionV relativeFrom="paragraph">
                  <wp:posOffset>29845</wp:posOffset>
                </wp:positionV>
                <wp:extent cx="0" cy="639254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92545"/>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5pt,2.35pt" to="0.5pt,505.7pt" o:allowincell="f" strokecolor="#FFFFFF" strokeweight="0.9599pt"/>
            </w:pict>
          </mc:Fallback>
        </mc:AlternateContent>
      </w:r>
    </w:p>
    <w:p>
      <w:pPr>
        <w:spacing w:after="0" w:line="47" w:lineRule="exact"/>
        <w:rPr>
          <w:sz w:val="20"/>
          <w:szCs w:val="20"/>
          <w:color w:val="auto"/>
        </w:rPr>
      </w:pPr>
    </w:p>
    <w:tbl>
      <w:tblPr>
        <w:tblLayout w:type="fixed"/>
        <w:tblInd w:w="20" w:type="dxa"/>
        <w:tblCellMar>
          <w:top w:w="0" w:type="dxa"/>
          <w:left w:w="0" w:type="dxa"/>
          <w:bottom w:w="0" w:type="dxa"/>
          <w:right w:w="0" w:type="dxa"/>
        </w:tblCellMar>
      </w:tblPr>
      <w:tr>
        <w:trPr>
          <w:trHeight w:val="280"/>
        </w:trPr>
        <w:tc>
          <w:tcPr>
            <w:tcW w:w="238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WHO Regional Office</w:t>
            </w:r>
          </w:p>
        </w:tc>
        <w:tc>
          <w:tcPr>
            <w:tcW w:w="20" w:type="dxa"/>
            <w:vAlign w:val="bottom"/>
          </w:tcPr>
          <w:p>
            <w:pPr>
              <w:spacing w:after="0"/>
              <w:rPr>
                <w:sz w:val="24"/>
                <w:szCs w:val="24"/>
                <w:color w:val="auto"/>
              </w:rPr>
            </w:pPr>
          </w:p>
        </w:tc>
        <w:tc>
          <w:tcPr>
            <w:tcW w:w="244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Country/Territory/Area</w:t>
            </w:r>
          </w:p>
        </w:tc>
        <w:tc>
          <w:tcPr>
            <w:tcW w:w="20" w:type="dxa"/>
            <w:vAlign w:val="bottom"/>
            <w:shd w:val="clear" w:color="auto" w:fill="4F81BD"/>
          </w:tcPr>
          <w:p>
            <w:pPr>
              <w:spacing w:after="0"/>
              <w:rPr>
                <w:sz w:val="24"/>
                <w:szCs w:val="24"/>
                <w:color w:val="auto"/>
              </w:rPr>
            </w:pPr>
          </w:p>
        </w:tc>
        <w:tc>
          <w:tcPr>
            <w:tcW w:w="344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Confirmed</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54"/>
        </w:trPr>
        <w:tc>
          <w:tcPr>
            <w:tcW w:w="2380" w:type="dxa"/>
            <w:vAlign w:val="bottom"/>
            <w:vMerge w:val="continue"/>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440" w:type="dxa"/>
            <w:vAlign w:val="bottom"/>
            <w:vMerge w:val="continue"/>
            <w:shd w:val="clear" w:color="auto" w:fill="4F81BD"/>
          </w:tcPr>
          <w:p>
            <w:pPr>
              <w:spacing w:after="0"/>
              <w:rPr>
                <w:sz w:val="13"/>
                <w:szCs w:val="13"/>
                <w:color w:val="auto"/>
              </w:rPr>
            </w:pPr>
          </w:p>
        </w:tc>
        <w:tc>
          <w:tcPr>
            <w:tcW w:w="20" w:type="dxa"/>
            <w:vAlign w:val="bottom"/>
            <w:shd w:val="clear" w:color="auto" w:fill="4F81BD"/>
          </w:tcPr>
          <w:p>
            <w:pPr>
              <w:spacing w:after="0"/>
              <w:rPr>
                <w:sz w:val="13"/>
                <w:szCs w:val="13"/>
                <w:color w:val="auto"/>
              </w:rPr>
            </w:pPr>
          </w:p>
        </w:tc>
        <w:tc>
          <w:tcPr>
            <w:tcW w:w="344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126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Cases</w:t>
            </w: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238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440" w:type="dxa"/>
            <w:vAlign w:val="bottom"/>
            <w:shd w:val="clear" w:color="auto" w:fill="4F81BD"/>
          </w:tcPr>
          <w:p>
            <w:pPr>
              <w:spacing w:after="0"/>
              <w:rPr>
                <w:sz w:val="13"/>
                <w:szCs w:val="13"/>
                <w:color w:val="auto"/>
              </w:rPr>
            </w:pPr>
          </w:p>
        </w:tc>
        <w:tc>
          <w:tcPr>
            <w:tcW w:w="20" w:type="dxa"/>
            <w:vAlign w:val="bottom"/>
            <w:shd w:val="clear" w:color="auto" w:fill="4F81BD"/>
          </w:tcPr>
          <w:p>
            <w:pPr>
              <w:spacing w:after="0"/>
              <w:rPr>
                <w:sz w:val="13"/>
                <w:szCs w:val="13"/>
                <w:color w:val="auto"/>
              </w:rPr>
            </w:pPr>
          </w:p>
        </w:tc>
        <w:tc>
          <w:tcPr>
            <w:tcW w:w="344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1260" w:type="dxa"/>
            <w:vAlign w:val="bottom"/>
            <w:vMerge w:val="continue"/>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7"/>
        </w:trPr>
        <w:tc>
          <w:tcPr>
            <w:tcW w:w="238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244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shd w:val="clear" w:color="auto" w:fill="4F81BD"/>
          </w:tcPr>
          <w:p>
            <w:pPr>
              <w:spacing w:after="0"/>
              <w:rPr>
                <w:sz w:val="4"/>
                <w:szCs w:val="4"/>
                <w:color w:val="auto"/>
              </w:rPr>
            </w:pPr>
          </w:p>
        </w:tc>
        <w:tc>
          <w:tcPr>
            <w:tcW w:w="344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1260" w:type="dxa"/>
            <w:vAlign w:val="bottom"/>
            <w:tcBorders>
              <w:bottom w:val="single" w:sz="8" w:color="4F81BD"/>
            </w:tcBorders>
            <w:shd w:val="clear" w:color="auto" w:fill="4F81BD"/>
          </w:tcPr>
          <w:p>
            <w:pPr>
              <w:spacing w:after="0"/>
              <w:rPr>
                <w:sz w:val="4"/>
                <w:szCs w:val="4"/>
                <w:color w:val="auto"/>
              </w:rPr>
            </w:pPr>
          </w:p>
        </w:tc>
        <w:tc>
          <w:tcPr>
            <w:tcW w:w="20" w:type="dxa"/>
            <w:vAlign w:val="bottom"/>
            <w:tcBorders>
              <w:bottom w:val="single" w:sz="8" w:color="4F81BD"/>
            </w:tcBorders>
          </w:tcPr>
          <w:p>
            <w:pPr>
              <w:spacing w:after="0"/>
              <w:rPr>
                <w:sz w:val="4"/>
                <w:szCs w:val="4"/>
                <w:color w:val="auto"/>
              </w:rPr>
            </w:pPr>
          </w:p>
        </w:tc>
        <w:tc>
          <w:tcPr>
            <w:tcW w:w="0" w:type="dxa"/>
            <w:vAlign w:val="bottom"/>
          </w:tcPr>
          <w:p>
            <w:pPr>
              <w:spacing w:after="0"/>
              <w:rPr>
                <w:sz w:val="1"/>
                <w:szCs w:val="1"/>
                <w:color w:val="auto"/>
              </w:rPr>
            </w:pPr>
          </w:p>
        </w:tc>
      </w:tr>
      <w:tr>
        <w:trPr>
          <w:trHeight w:val="54"/>
        </w:trPr>
        <w:tc>
          <w:tcPr>
            <w:tcW w:w="2380" w:type="dxa"/>
            <w:vAlign w:val="bottom"/>
          </w:tcPr>
          <w:p>
            <w:pPr>
              <w:spacing w:after="0"/>
              <w:rPr>
                <w:sz w:val="4"/>
                <w:szCs w:val="4"/>
                <w:color w:val="auto"/>
              </w:rPr>
            </w:pPr>
          </w:p>
        </w:tc>
        <w:tc>
          <w:tcPr>
            <w:tcW w:w="20" w:type="dxa"/>
            <w:vAlign w:val="bottom"/>
          </w:tcPr>
          <w:p>
            <w:pPr>
              <w:spacing w:after="0"/>
              <w:rPr>
                <w:sz w:val="4"/>
                <w:szCs w:val="4"/>
                <w:color w:val="auto"/>
              </w:rPr>
            </w:pPr>
          </w:p>
        </w:tc>
        <w:tc>
          <w:tcPr>
            <w:tcW w:w="2440" w:type="dxa"/>
            <w:vAlign w:val="bottom"/>
          </w:tcPr>
          <w:p>
            <w:pPr>
              <w:spacing w:after="0"/>
              <w:rPr>
                <w:sz w:val="4"/>
                <w:szCs w:val="4"/>
                <w:color w:val="auto"/>
              </w:rPr>
            </w:pPr>
          </w:p>
        </w:tc>
        <w:tc>
          <w:tcPr>
            <w:tcW w:w="20" w:type="dxa"/>
            <w:vAlign w:val="bottom"/>
          </w:tcPr>
          <w:p>
            <w:pPr>
              <w:spacing w:after="0"/>
              <w:rPr>
                <w:sz w:val="4"/>
                <w:szCs w:val="4"/>
                <w:color w:val="auto"/>
              </w:rPr>
            </w:pPr>
          </w:p>
        </w:tc>
        <w:tc>
          <w:tcPr>
            <w:tcW w:w="3440" w:type="dxa"/>
            <w:vAlign w:val="bottom"/>
          </w:tcPr>
          <w:p>
            <w:pPr>
              <w:spacing w:after="0"/>
              <w:rPr>
                <w:sz w:val="4"/>
                <w:szCs w:val="4"/>
                <w:color w:val="auto"/>
              </w:rPr>
            </w:pPr>
          </w:p>
        </w:tc>
        <w:tc>
          <w:tcPr>
            <w:tcW w:w="1280" w:type="dxa"/>
            <w:vAlign w:val="bottom"/>
            <w:gridSpan w:val="2"/>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18"/>
        </w:trPr>
        <w:tc>
          <w:tcPr>
            <w:tcW w:w="2380" w:type="dxa"/>
            <w:vAlign w:val="bottom"/>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shd w:val="clear" w:color="auto" w:fill="D0D8E8"/>
          </w:tcPr>
          <w:p>
            <w:pPr>
              <w:spacing w:after="0"/>
              <w:rPr>
                <w:sz w:val="20"/>
                <w:szCs w:val="20"/>
                <w:color w:val="auto"/>
              </w:rPr>
            </w:pPr>
            <w:r>
              <w:rPr>
                <w:rFonts w:ascii="Calibri" w:cs="Calibri" w:eastAsia="Calibri" w:hAnsi="Calibri"/>
                <w:sz w:val="22"/>
                <w:szCs w:val="22"/>
                <w:b w:val="1"/>
                <w:bCs w:val="1"/>
                <w:color w:val="auto"/>
              </w:rPr>
              <w:t>China</w:t>
            </w:r>
          </w:p>
        </w:tc>
        <w:tc>
          <w:tcPr>
            <w:tcW w:w="20" w:type="dxa"/>
            <w:vAlign w:val="bottom"/>
          </w:tcPr>
          <w:p>
            <w:pPr>
              <w:spacing w:after="0"/>
              <w:rPr>
                <w:sz w:val="24"/>
                <w:szCs w:val="24"/>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b w:val="1"/>
                <w:bCs w:val="1"/>
                <w:color w:val="auto"/>
              </w:rPr>
              <w:t>Total</w:t>
            </w:r>
          </w:p>
        </w:tc>
        <w:tc>
          <w:tcPr>
            <w:tcW w:w="20" w:type="dxa"/>
            <w:vAlign w:val="bottom"/>
          </w:tcPr>
          <w:p>
            <w:pPr>
              <w:spacing w:after="0"/>
              <w:rPr>
                <w:sz w:val="24"/>
                <w:szCs w:val="24"/>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b w:val="1"/>
                <w:bCs w:val="1"/>
                <w:color w:val="auto"/>
                <w:w w:val="98"/>
              </w:rPr>
              <w:t>830*</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3"/>
        </w:trPr>
        <w:tc>
          <w:tcPr>
            <w:tcW w:w="2380" w:type="dxa"/>
            <w:vAlign w:val="bottom"/>
            <w:tcBorders>
              <w:bottom w:val="single" w:sz="8" w:color="4F81BD"/>
            </w:tcBorders>
            <w:shd w:val="clear" w:color="auto" w:fill="4F81BD"/>
          </w:tcPr>
          <w:p>
            <w:pPr>
              <w:spacing w:after="0"/>
              <w:rPr>
                <w:sz w:val="7"/>
                <w:szCs w:val="7"/>
                <w:color w:val="auto"/>
              </w:rPr>
            </w:pPr>
          </w:p>
        </w:tc>
        <w:tc>
          <w:tcPr>
            <w:tcW w:w="20" w:type="dxa"/>
            <w:vAlign w:val="bottom"/>
          </w:tcPr>
          <w:p>
            <w:pPr>
              <w:spacing w:after="0"/>
              <w:rPr>
                <w:sz w:val="7"/>
                <w:szCs w:val="7"/>
                <w:color w:val="auto"/>
              </w:rPr>
            </w:pPr>
          </w:p>
        </w:tc>
        <w:tc>
          <w:tcPr>
            <w:tcW w:w="2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344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1260" w:type="dxa"/>
            <w:vAlign w:val="bottom"/>
            <w:tcBorders>
              <w:bottom w:val="single" w:sz="8" w:color="D0D8E8"/>
            </w:tcBorders>
            <w:shd w:val="clear" w:color="auto" w:fill="D0D8E8"/>
          </w:tcPr>
          <w:p>
            <w:pPr>
              <w:spacing w:after="0"/>
              <w:rPr>
                <w:sz w:val="7"/>
                <w:szCs w:val="7"/>
                <w:color w:val="auto"/>
              </w:rPr>
            </w:pPr>
          </w:p>
        </w:tc>
        <w:tc>
          <w:tcPr>
            <w:tcW w:w="20" w:type="dxa"/>
            <w:vAlign w:val="bottom"/>
            <w:tcBorders>
              <w:bottom w:val="single" w:sz="8" w:color="D0D8E8"/>
            </w:tcBorders>
          </w:tcPr>
          <w:p>
            <w:pPr>
              <w:spacing w:after="0"/>
              <w:rPr>
                <w:sz w:val="7"/>
                <w:szCs w:val="7"/>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20"/>
        </w:trPr>
        <w:tc>
          <w:tcPr>
            <w:tcW w:w="2380" w:type="dxa"/>
            <w:vAlign w:val="bottom"/>
            <w:tcBorders>
              <w:bottom w:val="single" w:sz="8" w:color="4F81BD"/>
            </w:tcBorders>
            <w:shd w:val="clear" w:color="auto" w:fill="4F81BD"/>
          </w:tcPr>
          <w:p>
            <w:pPr>
              <w:spacing w:after="0"/>
              <w:rPr>
                <w:sz w:val="24"/>
                <w:szCs w:val="24"/>
                <w:color w:val="auto"/>
              </w:rPr>
            </w:pPr>
          </w:p>
        </w:tc>
        <w:tc>
          <w:tcPr>
            <w:tcW w:w="20" w:type="dxa"/>
            <w:vAlign w:val="bottom"/>
          </w:tcPr>
          <w:p>
            <w:pPr>
              <w:spacing w:after="0"/>
              <w:rPr>
                <w:sz w:val="24"/>
                <w:szCs w:val="24"/>
                <w:color w:val="auto"/>
              </w:rPr>
            </w:pPr>
          </w:p>
        </w:tc>
        <w:tc>
          <w:tcPr>
            <w:tcW w:w="2440" w:type="dxa"/>
            <w:vAlign w:val="bottom"/>
            <w:tcBorders>
              <w:bottom w:val="single" w:sz="8" w:color="E9EDF4"/>
            </w:tcBorders>
            <w:shd w:val="clear" w:color="auto" w:fill="E9EDF4"/>
          </w:tcPr>
          <w:p>
            <w:pPr>
              <w:spacing w:after="0"/>
              <w:rPr>
                <w:sz w:val="24"/>
                <w:szCs w:val="24"/>
                <w:color w:val="auto"/>
              </w:rPr>
            </w:pPr>
          </w:p>
        </w:tc>
        <w:tc>
          <w:tcPr>
            <w:tcW w:w="20" w:type="dxa"/>
            <w:vAlign w:val="bottom"/>
            <w:tcBorders>
              <w:bottom w:val="single" w:sz="8" w:color="E9EDF4"/>
            </w:tcBorders>
          </w:tcPr>
          <w:p>
            <w:pPr>
              <w:spacing w:after="0"/>
              <w:rPr>
                <w:sz w:val="24"/>
                <w:szCs w:val="24"/>
                <w:color w:val="auto"/>
              </w:rPr>
            </w:pPr>
          </w:p>
        </w:tc>
        <w:tc>
          <w:tcPr>
            <w:tcW w:w="3440" w:type="dxa"/>
            <w:vAlign w:val="bottom"/>
            <w:tcBorders>
              <w:bottom w:val="single" w:sz="8" w:color="E9EDF4"/>
            </w:tcBorders>
            <w:shd w:val="clear" w:color="auto" w:fill="E9EDF4"/>
          </w:tcPr>
          <w:p>
            <w:pPr>
              <w:spacing w:after="0" w:line="320" w:lineRule="exact"/>
              <w:rPr>
                <w:sz w:val="20"/>
                <w:szCs w:val="20"/>
                <w:color w:val="auto"/>
              </w:rPr>
            </w:pPr>
            <w:r>
              <w:rPr>
                <w:rFonts w:ascii="Calibri" w:cs="Calibri" w:eastAsia="Calibri" w:hAnsi="Calibri"/>
                <w:sz w:val="22"/>
                <w:szCs w:val="22"/>
                <w:color w:val="auto"/>
              </w:rPr>
              <w:t>Unspecified</w:t>
            </w:r>
            <w:r>
              <w:rPr>
                <w:rFonts w:ascii="Calibri" w:cs="Calibri" w:eastAsia="Calibri" w:hAnsi="Calibri"/>
                <w:sz w:val="27"/>
                <w:szCs w:val="27"/>
                <w:color w:val="auto"/>
                <w:vertAlign w:val="superscript"/>
              </w:rPr>
              <w:t>4</w:t>
            </w:r>
          </w:p>
        </w:tc>
        <w:tc>
          <w:tcPr>
            <w:tcW w:w="20" w:type="dxa"/>
            <w:vAlign w:val="bottom"/>
            <w:tcBorders>
              <w:bottom w:val="single" w:sz="8" w:color="E9EDF4"/>
            </w:tcBorders>
          </w:tcPr>
          <w:p>
            <w:pPr>
              <w:spacing w:after="0"/>
              <w:rPr>
                <w:sz w:val="24"/>
                <w:szCs w:val="24"/>
                <w:color w:val="auto"/>
              </w:rPr>
            </w:pPr>
          </w:p>
        </w:tc>
        <w:tc>
          <w:tcPr>
            <w:tcW w:w="1260" w:type="dxa"/>
            <w:vAlign w:val="bottom"/>
            <w:tcBorders>
              <w:bottom w:val="single" w:sz="8" w:color="E9EDF4"/>
            </w:tcBorders>
            <w:shd w:val="clear" w:color="auto" w:fill="E9EDF4"/>
          </w:tcPr>
          <w:p>
            <w:pPr>
              <w:jc w:val="center"/>
              <w:spacing w:after="0"/>
              <w:rPr>
                <w:sz w:val="20"/>
                <w:szCs w:val="20"/>
                <w:color w:val="auto"/>
              </w:rPr>
            </w:pPr>
            <w:r>
              <w:rPr>
                <w:rFonts w:ascii="Calibri" w:cs="Calibri" w:eastAsia="Calibri" w:hAnsi="Calibri"/>
                <w:sz w:val="22"/>
                <w:szCs w:val="22"/>
                <w:color w:val="auto"/>
              </w:rPr>
              <w:t>384</w:t>
            </w:r>
          </w:p>
        </w:tc>
        <w:tc>
          <w:tcPr>
            <w:tcW w:w="20" w:type="dxa"/>
            <w:vAlign w:val="bottom"/>
            <w:tcBorders>
              <w:bottom w:val="single" w:sz="8" w:color="E9EDF4"/>
            </w:tcBorders>
          </w:tcPr>
          <w:p>
            <w:pPr>
              <w:spacing w:after="0"/>
              <w:rPr>
                <w:sz w:val="24"/>
                <w:szCs w:val="24"/>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3"/>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Hubei Province</w:t>
            </w: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375</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Guangdong Province</w:t>
            </w:r>
          </w:p>
        </w:tc>
        <w:tc>
          <w:tcPr>
            <w:tcW w:w="20" w:type="dxa"/>
            <w:vAlign w:val="bottom"/>
          </w:tcPr>
          <w:p>
            <w:pPr>
              <w:spacing w:after="0"/>
              <w:rPr>
                <w:sz w:val="23"/>
                <w:szCs w:val="23"/>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98"/>
              </w:rPr>
              <w:t>32</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4"/>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Beijing Municipality</w:t>
            </w: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98"/>
              </w:rPr>
              <w:t>10</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Shanghai Municipality</w:t>
            </w:r>
          </w:p>
        </w:tc>
        <w:tc>
          <w:tcPr>
            <w:tcW w:w="20" w:type="dxa"/>
            <w:vAlign w:val="bottom"/>
          </w:tcPr>
          <w:p>
            <w:pPr>
              <w:spacing w:after="0"/>
              <w:rPr>
                <w:sz w:val="23"/>
                <w:szCs w:val="23"/>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9</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3"/>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Chongqing Municipality</w:t>
            </w: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5</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Zhejiang Province</w:t>
            </w:r>
          </w:p>
        </w:tc>
        <w:tc>
          <w:tcPr>
            <w:tcW w:w="20" w:type="dxa"/>
            <w:vAlign w:val="bottom"/>
          </w:tcPr>
          <w:p>
            <w:pPr>
              <w:spacing w:after="0"/>
              <w:rPr>
                <w:sz w:val="23"/>
                <w:szCs w:val="23"/>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5</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3"/>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Jiangxi Province</w:t>
            </w: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Sichuan Province</w:t>
            </w:r>
          </w:p>
        </w:tc>
        <w:tc>
          <w:tcPr>
            <w:tcW w:w="20" w:type="dxa"/>
            <w:vAlign w:val="bottom"/>
          </w:tcPr>
          <w:p>
            <w:pPr>
              <w:spacing w:after="0"/>
              <w:rPr>
                <w:sz w:val="23"/>
                <w:szCs w:val="23"/>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3"/>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Tianjin Municipality</w:t>
            </w: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WHO WPRO Region</w:t>
            </w: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vMerge w:val="continue"/>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1"/>
        </w:trPr>
        <w:tc>
          <w:tcPr>
            <w:tcW w:w="2380" w:type="dxa"/>
            <w:vAlign w:val="bottom"/>
            <w:vMerge w:val="continue"/>
            <w:shd w:val="clear" w:color="auto" w:fill="4F81BD"/>
          </w:tcPr>
          <w:p>
            <w:pPr>
              <w:spacing w:after="0"/>
              <w:rPr>
                <w:sz w:val="18"/>
                <w:szCs w:val="18"/>
                <w:color w:val="auto"/>
              </w:rPr>
            </w:pPr>
          </w:p>
        </w:tc>
        <w:tc>
          <w:tcPr>
            <w:tcW w:w="20" w:type="dxa"/>
            <w:vAlign w:val="bottom"/>
          </w:tcPr>
          <w:p>
            <w:pPr>
              <w:spacing w:after="0"/>
              <w:rPr>
                <w:sz w:val="18"/>
                <w:szCs w:val="18"/>
                <w:color w:val="auto"/>
              </w:rPr>
            </w:pPr>
          </w:p>
        </w:tc>
        <w:tc>
          <w:tcPr>
            <w:tcW w:w="2440" w:type="dxa"/>
            <w:vAlign w:val="bottom"/>
            <w:shd w:val="clear" w:color="auto" w:fill="D0D8E8"/>
          </w:tcPr>
          <w:p>
            <w:pPr>
              <w:spacing w:after="0"/>
              <w:rPr>
                <w:sz w:val="18"/>
                <w:szCs w:val="18"/>
                <w:color w:val="auto"/>
              </w:rPr>
            </w:pPr>
          </w:p>
        </w:tc>
        <w:tc>
          <w:tcPr>
            <w:tcW w:w="20" w:type="dxa"/>
            <w:vAlign w:val="bottom"/>
          </w:tcPr>
          <w:p>
            <w:pPr>
              <w:spacing w:after="0"/>
              <w:rPr>
                <w:sz w:val="18"/>
                <w:szCs w:val="18"/>
                <w:color w:val="auto"/>
              </w:rPr>
            </w:pPr>
          </w:p>
        </w:tc>
        <w:tc>
          <w:tcPr>
            <w:tcW w:w="3440" w:type="dxa"/>
            <w:vAlign w:val="bottom"/>
            <w:vMerge w:val="restart"/>
            <w:shd w:val="clear" w:color="auto" w:fill="D0D8E8"/>
          </w:tcPr>
          <w:p>
            <w:pPr>
              <w:spacing w:after="0" w:line="258" w:lineRule="exact"/>
              <w:rPr>
                <w:sz w:val="20"/>
                <w:szCs w:val="20"/>
                <w:color w:val="auto"/>
              </w:rPr>
            </w:pPr>
            <w:r>
              <w:rPr>
                <w:rFonts w:ascii="Calibri" w:cs="Calibri" w:eastAsia="Calibri" w:hAnsi="Calibri"/>
                <w:sz w:val="22"/>
                <w:szCs w:val="22"/>
                <w:color w:val="auto"/>
              </w:rPr>
              <w:t>Henan Province</w:t>
            </w:r>
          </w:p>
        </w:tc>
        <w:tc>
          <w:tcPr>
            <w:tcW w:w="20" w:type="dxa"/>
            <w:vAlign w:val="bottom"/>
          </w:tcPr>
          <w:p>
            <w:pPr>
              <w:spacing w:after="0"/>
              <w:rPr>
                <w:sz w:val="18"/>
                <w:szCs w:val="18"/>
                <w:color w:val="auto"/>
              </w:rPr>
            </w:pPr>
          </w:p>
        </w:tc>
        <w:tc>
          <w:tcPr>
            <w:tcW w:w="1260" w:type="dxa"/>
            <w:vAlign w:val="bottom"/>
            <w:vMerge w:val="restart"/>
            <w:shd w:val="clear" w:color="auto" w:fill="D0D8E8"/>
          </w:tcPr>
          <w:p>
            <w:pPr>
              <w:jc w:val="center"/>
              <w:spacing w:after="0" w:line="258" w:lineRule="exact"/>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47"/>
        </w:trPr>
        <w:tc>
          <w:tcPr>
            <w:tcW w:w="2380" w:type="dxa"/>
            <w:vAlign w:val="bottom"/>
            <w:shd w:val="clear" w:color="auto" w:fill="4F81BD"/>
          </w:tcPr>
          <w:p>
            <w:pPr>
              <w:spacing w:after="0"/>
              <w:rPr>
                <w:sz w:val="4"/>
                <w:szCs w:val="4"/>
                <w:color w:val="auto"/>
              </w:rPr>
            </w:pPr>
          </w:p>
        </w:tc>
        <w:tc>
          <w:tcPr>
            <w:tcW w:w="20" w:type="dxa"/>
            <w:vAlign w:val="bottom"/>
          </w:tcPr>
          <w:p>
            <w:pPr>
              <w:spacing w:after="0"/>
              <w:rPr>
                <w:sz w:val="4"/>
                <w:szCs w:val="4"/>
                <w:color w:val="auto"/>
              </w:rPr>
            </w:pPr>
          </w:p>
        </w:tc>
        <w:tc>
          <w:tcPr>
            <w:tcW w:w="2440" w:type="dxa"/>
            <w:vAlign w:val="bottom"/>
            <w:shd w:val="clear" w:color="auto" w:fill="D0D8E8"/>
          </w:tcPr>
          <w:p>
            <w:pPr>
              <w:spacing w:after="0"/>
              <w:rPr>
                <w:sz w:val="4"/>
                <w:szCs w:val="4"/>
                <w:color w:val="auto"/>
              </w:rPr>
            </w:pPr>
          </w:p>
        </w:tc>
        <w:tc>
          <w:tcPr>
            <w:tcW w:w="20" w:type="dxa"/>
            <w:vAlign w:val="bottom"/>
          </w:tcPr>
          <w:p>
            <w:pPr>
              <w:spacing w:after="0"/>
              <w:rPr>
                <w:sz w:val="4"/>
                <w:szCs w:val="4"/>
                <w:color w:val="auto"/>
              </w:rPr>
            </w:pPr>
          </w:p>
        </w:tc>
        <w:tc>
          <w:tcPr>
            <w:tcW w:w="3440" w:type="dxa"/>
            <w:vAlign w:val="bottom"/>
            <w:vMerge w:val="continue"/>
            <w:shd w:val="clear" w:color="auto" w:fill="D0D8E8"/>
          </w:tcPr>
          <w:p>
            <w:pPr>
              <w:spacing w:after="0"/>
              <w:rPr>
                <w:sz w:val="4"/>
                <w:szCs w:val="4"/>
                <w:color w:val="auto"/>
              </w:rPr>
            </w:pPr>
          </w:p>
        </w:tc>
        <w:tc>
          <w:tcPr>
            <w:tcW w:w="20" w:type="dxa"/>
            <w:vAlign w:val="bottom"/>
          </w:tcPr>
          <w:p>
            <w:pPr>
              <w:spacing w:after="0"/>
              <w:rPr>
                <w:sz w:val="4"/>
                <w:szCs w:val="4"/>
                <w:color w:val="auto"/>
              </w:rPr>
            </w:pPr>
          </w:p>
        </w:tc>
        <w:tc>
          <w:tcPr>
            <w:tcW w:w="1260" w:type="dxa"/>
            <w:vAlign w:val="bottom"/>
            <w:vMerge w:val="continue"/>
            <w:shd w:val="clear" w:color="auto" w:fill="D0D8E8"/>
          </w:tcPr>
          <w:p>
            <w:pPr>
              <w:spacing w:after="0"/>
              <w:rPr>
                <w:sz w:val="4"/>
                <w:szCs w:val="4"/>
                <w:color w:val="auto"/>
              </w:rPr>
            </w:pPr>
          </w:p>
        </w:tc>
        <w:tc>
          <w:tcPr>
            <w:tcW w:w="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2"/>
        </w:trPr>
        <w:tc>
          <w:tcPr>
            <w:tcW w:w="2380" w:type="dxa"/>
            <w:vAlign w:val="bottom"/>
            <w:tcBorders>
              <w:bottom w:val="single" w:sz="8" w:color="4F81BD"/>
            </w:tcBorders>
            <w:shd w:val="clear" w:color="auto" w:fill="4F81BD"/>
          </w:tcPr>
          <w:p>
            <w:pPr>
              <w:spacing w:after="0"/>
              <w:rPr>
                <w:sz w:val="5"/>
                <w:szCs w:val="5"/>
                <w:color w:val="auto"/>
              </w:rPr>
            </w:pPr>
          </w:p>
        </w:tc>
        <w:tc>
          <w:tcPr>
            <w:tcW w:w="20" w:type="dxa"/>
            <w:vAlign w:val="bottom"/>
          </w:tcPr>
          <w:p>
            <w:pPr>
              <w:spacing w:after="0"/>
              <w:rPr>
                <w:sz w:val="5"/>
                <w:szCs w:val="5"/>
                <w:color w:val="auto"/>
              </w:rPr>
            </w:pPr>
          </w:p>
        </w:tc>
        <w:tc>
          <w:tcPr>
            <w:tcW w:w="2440" w:type="dxa"/>
            <w:vAlign w:val="bottom"/>
            <w:tcBorders>
              <w:bottom w:val="single" w:sz="8" w:color="D0D8E8"/>
            </w:tcBorders>
            <w:shd w:val="clear" w:color="auto" w:fill="D0D8E8"/>
          </w:tcPr>
          <w:p>
            <w:pPr>
              <w:spacing w:after="0"/>
              <w:rPr>
                <w:sz w:val="5"/>
                <w:szCs w:val="5"/>
                <w:color w:val="auto"/>
              </w:rPr>
            </w:pPr>
          </w:p>
        </w:tc>
        <w:tc>
          <w:tcPr>
            <w:tcW w:w="20" w:type="dxa"/>
            <w:vAlign w:val="bottom"/>
            <w:tcBorders>
              <w:bottom w:val="single" w:sz="8" w:color="D0D8E8"/>
            </w:tcBorders>
          </w:tcPr>
          <w:p>
            <w:pPr>
              <w:spacing w:after="0"/>
              <w:rPr>
                <w:sz w:val="5"/>
                <w:szCs w:val="5"/>
                <w:color w:val="auto"/>
              </w:rPr>
            </w:pPr>
          </w:p>
        </w:tc>
        <w:tc>
          <w:tcPr>
            <w:tcW w:w="3440" w:type="dxa"/>
            <w:vAlign w:val="bottom"/>
            <w:tcBorders>
              <w:bottom w:val="single" w:sz="8" w:color="D0D8E8"/>
            </w:tcBorders>
            <w:shd w:val="clear" w:color="auto" w:fill="D0D8E8"/>
          </w:tcPr>
          <w:p>
            <w:pPr>
              <w:spacing w:after="0"/>
              <w:rPr>
                <w:sz w:val="5"/>
                <w:szCs w:val="5"/>
                <w:color w:val="auto"/>
              </w:rPr>
            </w:pPr>
          </w:p>
        </w:tc>
        <w:tc>
          <w:tcPr>
            <w:tcW w:w="20" w:type="dxa"/>
            <w:vAlign w:val="bottom"/>
            <w:tcBorders>
              <w:bottom w:val="single" w:sz="8" w:color="D0D8E8"/>
            </w:tcBorders>
          </w:tcPr>
          <w:p>
            <w:pPr>
              <w:spacing w:after="0"/>
              <w:rPr>
                <w:sz w:val="5"/>
                <w:szCs w:val="5"/>
                <w:color w:val="auto"/>
              </w:rPr>
            </w:pPr>
          </w:p>
        </w:tc>
        <w:tc>
          <w:tcPr>
            <w:tcW w:w="1260" w:type="dxa"/>
            <w:vAlign w:val="bottom"/>
            <w:tcBorders>
              <w:bottom w:val="single" w:sz="8" w:color="D0D8E8"/>
            </w:tcBorders>
            <w:shd w:val="clear" w:color="auto" w:fill="D0D8E8"/>
          </w:tcPr>
          <w:p>
            <w:pPr>
              <w:spacing w:after="0"/>
              <w:rPr>
                <w:sz w:val="5"/>
                <w:szCs w:val="5"/>
                <w:color w:val="auto"/>
              </w:rPr>
            </w:pPr>
          </w:p>
        </w:tc>
        <w:tc>
          <w:tcPr>
            <w:tcW w:w="20" w:type="dxa"/>
            <w:vAlign w:val="bottom"/>
            <w:tcBorders>
              <w:bottom w:val="single" w:sz="8" w:color="D0D8E8"/>
            </w:tcBorders>
          </w:tcPr>
          <w:p>
            <w:pPr>
              <w:spacing w:after="0"/>
              <w:rPr>
                <w:sz w:val="5"/>
                <w:szCs w:val="5"/>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3"/>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Hunan Province</w:t>
            </w: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Shandong Province</w:t>
            </w:r>
          </w:p>
        </w:tc>
        <w:tc>
          <w:tcPr>
            <w:tcW w:w="20" w:type="dxa"/>
            <w:vAlign w:val="bottom"/>
          </w:tcPr>
          <w:p>
            <w:pPr>
              <w:spacing w:after="0"/>
              <w:rPr>
                <w:sz w:val="23"/>
                <w:szCs w:val="23"/>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4"/>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0"/>
                <w:szCs w:val="20"/>
                <w:color w:val="auto"/>
              </w:rPr>
            </w:pPr>
            <w:r>
              <w:rPr>
                <w:rFonts w:ascii="Calibri" w:cs="Calibri" w:eastAsia="Calibri" w:hAnsi="Calibri"/>
                <w:sz w:val="22"/>
                <w:szCs w:val="22"/>
                <w:color w:val="auto"/>
              </w:rPr>
              <w:t>Yunnan Province</w:t>
            </w: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Taipei Municipality</w:t>
            </w:r>
          </w:p>
        </w:tc>
        <w:tc>
          <w:tcPr>
            <w:tcW w:w="20" w:type="dxa"/>
            <w:vAlign w:val="bottom"/>
          </w:tcPr>
          <w:p>
            <w:pPr>
              <w:spacing w:after="0"/>
              <w:rPr>
                <w:sz w:val="23"/>
                <w:szCs w:val="23"/>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3"/>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rPr>
              <w:t>Hong Kong Special Administrative</w:t>
            </w:r>
          </w:p>
        </w:tc>
        <w:tc>
          <w:tcPr>
            <w:tcW w:w="20" w:type="dxa"/>
            <w:vAlign w:val="bottom"/>
          </w:tcPr>
          <w:p>
            <w:pPr>
              <w:spacing w:after="0"/>
              <w:rPr>
                <w:sz w:val="23"/>
                <w:szCs w:val="23"/>
                <w:color w:val="auto"/>
              </w:rPr>
            </w:pPr>
          </w:p>
        </w:tc>
        <w:tc>
          <w:tcPr>
            <w:tcW w:w="1260" w:type="dxa"/>
            <w:vAlign w:val="bottom"/>
            <w:vMerge w:val="restart"/>
            <w:shd w:val="clear" w:color="auto" w:fill="D0D8E8"/>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56"/>
        </w:trPr>
        <w:tc>
          <w:tcPr>
            <w:tcW w:w="238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440" w:type="dxa"/>
            <w:vAlign w:val="bottom"/>
            <w:shd w:val="clear" w:color="auto" w:fill="D0D8E8"/>
          </w:tcPr>
          <w:p>
            <w:pPr>
              <w:spacing w:after="0"/>
              <w:rPr>
                <w:sz w:val="13"/>
                <w:szCs w:val="13"/>
                <w:color w:val="auto"/>
              </w:rPr>
            </w:pPr>
          </w:p>
        </w:tc>
        <w:tc>
          <w:tcPr>
            <w:tcW w:w="20" w:type="dxa"/>
            <w:vAlign w:val="bottom"/>
          </w:tcPr>
          <w:p>
            <w:pPr>
              <w:spacing w:after="0"/>
              <w:rPr>
                <w:sz w:val="13"/>
                <w:szCs w:val="13"/>
                <w:color w:val="auto"/>
              </w:rPr>
            </w:pPr>
          </w:p>
        </w:tc>
        <w:tc>
          <w:tcPr>
            <w:tcW w:w="3440" w:type="dxa"/>
            <w:vAlign w:val="bottom"/>
            <w:vMerge w:val="restart"/>
            <w:shd w:val="clear" w:color="auto" w:fill="D0D8E8"/>
          </w:tcPr>
          <w:p>
            <w:pPr>
              <w:spacing w:after="0"/>
              <w:rPr>
                <w:sz w:val="20"/>
                <w:szCs w:val="20"/>
                <w:color w:val="auto"/>
              </w:rPr>
            </w:pPr>
            <w:r>
              <w:rPr>
                <w:rFonts w:ascii="Calibri" w:cs="Calibri" w:eastAsia="Calibri" w:hAnsi="Calibri"/>
                <w:sz w:val="22"/>
                <w:szCs w:val="22"/>
                <w:color w:val="auto"/>
              </w:rPr>
              <w:t>Region</w:t>
            </w:r>
          </w:p>
        </w:tc>
        <w:tc>
          <w:tcPr>
            <w:tcW w:w="20" w:type="dxa"/>
            <w:vAlign w:val="bottom"/>
          </w:tcPr>
          <w:p>
            <w:pPr>
              <w:spacing w:after="0"/>
              <w:rPr>
                <w:sz w:val="13"/>
                <w:szCs w:val="13"/>
                <w:color w:val="auto"/>
              </w:rPr>
            </w:pPr>
          </w:p>
        </w:tc>
        <w:tc>
          <w:tcPr>
            <w:tcW w:w="1260" w:type="dxa"/>
            <w:vAlign w:val="bottom"/>
            <w:vMerge w:val="continue"/>
            <w:shd w:val="clear" w:color="auto" w:fill="D0D8E8"/>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54"/>
        </w:trPr>
        <w:tc>
          <w:tcPr>
            <w:tcW w:w="2380" w:type="dxa"/>
            <w:vAlign w:val="bottom"/>
            <w:shd w:val="clear" w:color="auto" w:fill="4F81BD"/>
          </w:tcPr>
          <w:p>
            <w:pPr>
              <w:spacing w:after="0"/>
              <w:rPr>
                <w:sz w:val="13"/>
                <w:szCs w:val="13"/>
                <w:color w:val="auto"/>
              </w:rPr>
            </w:pPr>
          </w:p>
        </w:tc>
        <w:tc>
          <w:tcPr>
            <w:tcW w:w="20" w:type="dxa"/>
            <w:vAlign w:val="bottom"/>
          </w:tcPr>
          <w:p>
            <w:pPr>
              <w:spacing w:after="0"/>
              <w:rPr>
                <w:sz w:val="13"/>
                <w:szCs w:val="13"/>
                <w:color w:val="auto"/>
              </w:rPr>
            </w:pPr>
          </w:p>
        </w:tc>
        <w:tc>
          <w:tcPr>
            <w:tcW w:w="2440" w:type="dxa"/>
            <w:vAlign w:val="bottom"/>
            <w:shd w:val="clear" w:color="auto" w:fill="D0D8E8"/>
          </w:tcPr>
          <w:p>
            <w:pPr>
              <w:spacing w:after="0"/>
              <w:rPr>
                <w:sz w:val="13"/>
                <w:szCs w:val="13"/>
                <w:color w:val="auto"/>
              </w:rPr>
            </w:pPr>
          </w:p>
        </w:tc>
        <w:tc>
          <w:tcPr>
            <w:tcW w:w="20" w:type="dxa"/>
            <w:vAlign w:val="bottom"/>
          </w:tcPr>
          <w:p>
            <w:pPr>
              <w:spacing w:after="0"/>
              <w:rPr>
                <w:sz w:val="13"/>
                <w:szCs w:val="13"/>
                <w:color w:val="auto"/>
              </w:rPr>
            </w:pPr>
          </w:p>
        </w:tc>
        <w:tc>
          <w:tcPr>
            <w:tcW w:w="3440" w:type="dxa"/>
            <w:vAlign w:val="bottom"/>
            <w:vMerge w:val="continue"/>
            <w:shd w:val="clear" w:color="auto" w:fill="D0D8E8"/>
          </w:tcPr>
          <w:p>
            <w:pPr>
              <w:spacing w:after="0"/>
              <w:rPr>
                <w:sz w:val="13"/>
                <w:szCs w:val="13"/>
                <w:color w:val="auto"/>
              </w:rPr>
            </w:pPr>
          </w:p>
        </w:tc>
        <w:tc>
          <w:tcPr>
            <w:tcW w:w="20" w:type="dxa"/>
            <w:vAlign w:val="bottom"/>
          </w:tcPr>
          <w:p>
            <w:pPr>
              <w:spacing w:after="0"/>
              <w:rPr>
                <w:sz w:val="13"/>
                <w:szCs w:val="13"/>
                <w:color w:val="auto"/>
              </w:rPr>
            </w:pPr>
          </w:p>
        </w:tc>
        <w:tc>
          <w:tcPr>
            <w:tcW w:w="1260" w:type="dxa"/>
            <w:vAlign w:val="bottom"/>
            <w:shd w:val="clear" w:color="auto" w:fill="D0D8E8"/>
          </w:tcPr>
          <w:p>
            <w:pPr>
              <w:spacing w:after="0"/>
              <w:rPr>
                <w:sz w:val="13"/>
                <w:szCs w:val="13"/>
                <w:color w:val="auto"/>
              </w:rPr>
            </w:pPr>
          </w:p>
        </w:tc>
        <w:tc>
          <w:tcPr>
            <w:tcW w:w="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0"/>
                <w:szCs w:val="20"/>
                <w:color w:val="auto"/>
              </w:rPr>
            </w:pPr>
            <w:r>
              <w:rPr>
                <w:rFonts w:ascii="Calibri" w:cs="Calibri" w:eastAsia="Calibri" w:hAnsi="Calibri"/>
                <w:sz w:val="22"/>
                <w:szCs w:val="22"/>
                <w:color w:val="auto"/>
                <w:highlight w:val="lightGray"/>
              </w:rPr>
              <w:t>Macau Special Administrative Region</w:t>
            </w:r>
          </w:p>
        </w:tc>
        <w:tc>
          <w:tcPr>
            <w:tcW w:w="20" w:type="dxa"/>
            <w:vAlign w:val="bottom"/>
          </w:tcPr>
          <w:p>
            <w:pPr>
              <w:spacing w:after="0"/>
              <w:rPr>
                <w:sz w:val="23"/>
                <w:szCs w:val="23"/>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3"/>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Japan</w:t>
            </w: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0"/>
                <w:szCs w:val="20"/>
                <w:color w:val="auto"/>
              </w:rPr>
            </w:pPr>
            <w:r>
              <w:rPr>
                <w:rFonts w:ascii="Calibri" w:cs="Calibri" w:eastAsia="Calibri" w:hAnsi="Calibri"/>
                <w:sz w:val="22"/>
                <w:szCs w:val="22"/>
                <w:color w:val="auto"/>
              </w:rPr>
              <w:t>Republic of Korea</w:t>
            </w: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3"/>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0"/>
                <w:szCs w:val="20"/>
                <w:color w:val="auto"/>
              </w:rPr>
            </w:pPr>
            <w:r>
              <w:rPr>
                <w:rFonts w:ascii="Calibri" w:cs="Calibri" w:eastAsia="Calibri" w:hAnsi="Calibri"/>
                <w:sz w:val="22"/>
                <w:szCs w:val="22"/>
                <w:color w:val="auto"/>
              </w:rPr>
              <w:t>Viet Nam</w:t>
            </w: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2</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shd w:val="clear" w:color="auto" w:fill="4F81BD"/>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3"/>
                <w:szCs w:val="23"/>
                <w:color w:val="auto"/>
              </w:rPr>
            </w:pPr>
          </w:p>
        </w:tc>
        <w:tc>
          <w:tcPr>
            <w:tcW w:w="20" w:type="dxa"/>
            <w:vAlign w:val="bottom"/>
          </w:tcPr>
          <w:p>
            <w:pPr>
              <w:spacing w:after="0"/>
              <w:rPr>
                <w:sz w:val="23"/>
                <w:szCs w:val="23"/>
                <w:color w:val="auto"/>
              </w:rPr>
            </w:pPr>
          </w:p>
        </w:tc>
        <w:tc>
          <w:tcPr>
            <w:tcW w:w="2440" w:type="dxa"/>
            <w:vAlign w:val="bottom"/>
            <w:shd w:val="clear" w:color="auto" w:fill="D0D8E8"/>
          </w:tcPr>
          <w:p>
            <w:pPr>
              <w:spacing w:after="0"/>
              <w:rPr>
                <w:sz w:val="20"/>
                <w:szCs w:val="20"/>
                <w:color w:val="auto"/>
              </w:rPr>
            </w:pPr>
            <w:r>
              <w:rPr>
                <w:rFonts w:ascii="Calibri" w:cs="Calibri" w:eastAsia="Calibri" w:hAnsi="Calibri"/>
                <w:sz w:val="22"/>
                <w:szCs w:val="22"/>
                <w:color w:val="auto"/>
              </w:rPr>
              <w:t>Republic of Singapore</w:t>
            </w:r>
          </w:p>
        </w:tc>
        <w:tc>
          <w:tcPr>
            <w:tcW w:w="20" w:type="dxa"/>
            <w:vAlign w:val="bottom"/>
          </w:tcPr>
          <w:p>
            <w:pPr>
              <w:spacing w:after="0"/>
              <w:rPr>
                <w:sz w:val="23"/>
                <w:szCs w:val="23"/>
                <w:color w:val="auto"/>
              </w:rPr>
            </w:pPr>
          </w:p>
        </w:tc>
        <w:tc>
          <w:tcPr>
            <w:tcW w:w="3440" w:type="dxa"/>
            <w:vAlign w:val="bottom"/>
            <w:shd w:val="clear" w:color="auto" w:fill="D0D8E8"/>
          </w:tcPr>
          <w:p>
            <w:pPr>
              <w:spacing w:after="0"/>
              <w:rPr>
                <w:sz w:val="23"/>
                <w:szCs w:val="23"/>
                <w:color w:val="auto"/>
              </w:rPr>
            </w:pPr>
          </w:p>
        </w:tc>
        <w:tc>
          <w:tcPr>
            <w:tcW w:w="20" w:type="dxa"/>
            <w:vAlign w:val="bottom"/>
          </w:tcPr>
          <w:p>
            <w:pPr>
              <w:spacing w:after="0"/>
              <w:rPr>
                <w:sz w:val="23"/>
                <w:szCs w:val="23"/>
                <w:color w:val="auto"/>
              </w:rPr>
            </w:pPr>
          </w:p>
        </w:tc>
        <w:tc>
          <w:tcPr>
            <w:tcW w:w="1260" w:type="dxa"/>
            <w:vAlign w:val="bottom"/>
            <w:shd w:val="clear" w:color="auto" w:fill="D0D8E8"/>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Pr>
          <w:p>
            <w:pPr>
              <w:spacing w:after="0"/>
              <w:rPr>
                <w:sz w:val="3"/>
                <w:szCs w:val="3"/>
                <w:color w:val="auto"/>
              </w:rPr>
            </w:pPr>
          </w:p>
        </w:tc>
        <w:tc>
          <w:tcPr>
            <w:tcW w:w="2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344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1260" w:type="dxa"/>
            <w:vAlign w:val="bottom"/>
            <w:tcBorders>
              <w:bottom w:val="single" w:sz="8" w:color="D0D8E8"/>
            </w:tcBorders>
            <w:shd w:val="clear" w:color="auto" w:fill="D0D8E8"/>
          </w:tcPr>
          <w:p>
            <w:pPr>
              <w:spacing w:after="0"/>
              <w:rPr>
                <w:sz w:val="3"/>
                <w:szCs w:val="3"/>
                <w:color w:val="auto"/>
              </w:rPr>
            </w:pPr>
          </w:p>
        </w:tc>
        <w:tc>
          <w:tcPr>
            <w:tcW w:w="20" w:type="dxa"/>
            <w:vAlign w:val="bottom"/>
            <w:tcBorders>
              <w:bottom w:val="single" w:sz="8" w:color="D0D8E8"/>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3"/>
        </w:trPr>
        <w:tc>
          <w:tcPr>
            <w:tcW w:w="238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WHO SEARO Region</w:t>
            </w: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Thailand</w:t>
            </w: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4</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Borders>
              <w:bottom w:val="single" w:sz="8" w:color="4F81BD"/>
            </w:tcBorders>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6"/>
        </w:trPr>
        <w:tc>
          <w:tcPr>
            <w:tcW w:w="238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WHO AMRO Region</w:t>
            </w:r>
          </w:p>
        </w:tc>
        <w:tc>
          <w:tcPr>
            <w:tcW w:w="20" w:type="dxa"/>
            <w:vAlign w:val="bottom"/>
          </w:tcPr>
          <w:p>
            <w:pPr>
              <w:spacing w:after="0"/>
              <w:rPr>
                <w:sz w:val="24"/>
                <w:szCs w:val="24"/>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United States of America</w:t>
            </w:r>
          </w:p>
        </w:tc>
        <w:tc>
          <w:tcPr>
            <w:tcW w:w="20" w:type="dxa"/>
            <w:vAlign w:val="bottom"/>
          </w:tcPr>
          <w:p>
            <w:pPr>
              <w:spacing w:after="0"/>
              <w:rPr>
                <w:sz w:val="24"/>
                <w:szCs w:val="24"/>
                <w:color w:val="auto"/>
              </w:rPr>
            </w:pPr>
          </w:p>
        </w:tc>
        <w:tc>
          <w:tcPr>
            <w:tcW w:w="3440" w:type="dxa"/>
            <w:vAlign w:val="bottom"/>
            <w:shd w:val="clear" w:color="auto" w:fill="E9EDF4"/>
          </w:tcPr>
          <w:p>
            <w:pPr>
              <w:spacing w:after="0"/>
              <w:rPr>
                <w:sz w:val="24"/>
                <w:szCs w:val="24"/>
                <w:color w:val="auto"/>
              </w:rPr>
            </w:pPr>
          </w:p>
        </w:tc>
        <w:tc>
          <w:tcPr>
            <w:tcW w:w="20" w:type="dxa"/>
            <w:vAlign w:val="bottom"/>
          </w:tcPr>
          <w:p>
            <w:pPr>
              <w:spacing w:after="0"/>
              <w:rPr>
                <w:sz w:val="24"/>
                <w:szCs w:val="24"/>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w w:val="89"/>
              </w:rPr>
              <w:t>1</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Borders>
              <w:bottom w:val="single" w:sz="8" w:color="4F81BD"/>
            </w:tcBorders>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r>
        <w:trPr>
          <w:trHeight w:val="20"/>
        </w:trPr>
        <w:tc>
          <w:tcPr>
            <w:tcW w:w="23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4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3440" w:type="dxa"/>
            <w:vAlign w:val="bottom"/>
          </w:tcPr>
          <w:p>
            <w:pPr>
              <w:spacing w:after="0" w:line="20" w:lineRule="exact"/>
              <w:rPr>
                <w:sz w:val="1"/>
                <w:szCs w:val="1"/>
                <w:color w:val="auto"/>
              </w:rPr>
            </w:pPr>
          </w:p>
        </w:tc>
        <w:tc>
          <w:tcPr>
            <w:tcW w:w="1280" w:type="dxa"/>
            <w:vAlign w:val="bottom"/>
            <w:gridSpan w:val="2"/>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73"/>
        </w:trPr>
        <w:tc>
          <w:tcPr>
            <w:tcW w:w="2380" w:type="dxa"/>
            <w:vAlign w:val="bottom"/>
            <w:shd w:val="clear" w:color="auto" w:fill="4F81BD"/>
          </w:tcPr>
          <w:p>
            <w:pPr>
              <w:spacing w:after="0"/>
              <w:rPr>
                <w:sz w:val="20"/>
                <w:szCs w:val="20"/>
                <w:color w:val="auto"/>
              </w:rPr>
            </w:pPr>
            <w:r>
              <w:rPr>
                <w:rFonts w:ascii="Calibri" w:cs="Calibri" w:eastAsia="Calibri" w:hAnsi="Calibri"/>
                <w:sz w:val="22"/>
                <w:szCs w:val="22"/>
                <w:b w:val="1"/>
                <w:bCs w:val="1"/>
                <w:color w:val="FFFFFF"/>
              </w:rPr>
              <w:t>Total Confirmed cases</w:t>
            </w:r>
          </w:p>
        </w:tc>
        <w:tc>
          <w:tcPr>
            <w:tcW w:w="20" w:type="dxa"/>
            <w:vAlign w:val="bottom"/>
          </w:tcPr>
          <w:p>
            <w:pPr>
              <w:spacing w:after="0"/>
              <w:rPr>
                <w:sz w:val="23"/>
                <w:szCs w:val="23"/>
                <w:color w:val="auto"/>
              </w:rPr>
            </w:pPr>
          </w:p>
        </w:tc>
        <w:tc>
          <w:tcPr>
            <w:tcW w:w="2440" w:type="dxa"/>
            <w:vAlign w:val="bottom"/>
            <w:shd w:val="clear" w:color="auto" w:fill="E9EDF4"/>
          </w:tcPr>
          <w:p>
            <w:pPr>
              <w:spacing w:after="0"/>
              <w:rPr>
                <w:sz w:val="20"/>
                <w:szCs w:val="20"/>
                <w:color w:val="auto"/>
              </w:rPr>
            </w:pPr>
            <w:r>
              <w:rPr>
                <w:rFonts w:ascii="Calibri" w:cs="Calibri" w:eastAsia="Calibri" w:hAnsi="Calibri"/>
                <w:sz w:val="22"/>
                <w:szCs w:val="22"/>
                <w:color w:val="auto"/>
              </w:rPr>
              <w:t>Total</w:t>
            </w:r>
          </w:p>
        </w:tc>
        <w:tc>
          <w:tcPr>
            <w:tcW w:w="20" w:type="dxa"/>
            <w:vAlign w:val="bottom"/>
          </w:tcPr>
          <w:p>
            <w:pPr>
              <w:spacing w:after="0"/>
              <w:rPr>
                <w:sz w:val="23"/>
                <w:szCs w:val="23"/>
                <w:color w:val="auto"/>
              </w:rPr>
            </w:pPr>
          </w:p>
        </w:tc>
        <w:tc>
          <w:tcPr>
            <w:tcW w:w="3440" w:type="dxa"/>
            <w:vAlign w:val="bottom"/>
            <w:shd w:val="clear" w:color="auto" w:fill="E9EDF4"/>
          </w:tcPr>
          <w:p>
            <w:pPr>
              <w:spacing w:after="0"/>
              <w:rPr>
                <w:sz w:val="23"/>
                <w:szCs w:val="23"/>
                <w:color w:val="auto"/>
              </w:rPr>
            </w:pPr>
          </w:p>
        </w:tc>
        <w:tc>
          <w:tcPr>
            <w:tcW w:w="20" w:type="dxa"/>
            <w:vAlign w:val="bottom"/>
          </w:tcPr>
          <w:p>
            <w:pPr>
              <w:spacing w:after="0"/>
              <w:rPr>
                <w:sz w:val="23"/>
                <w:szCs w:val="23"/>
                <w:color w:val="auto"/>
              </w:rPr>
            </w:pPr>
          </w:p>
        </w:tc>
        <w:tc>
          <w:tcPr>
            <w:tcW w:w="1260" w:type="dxa"/>
            <w:vAlign w:val="bottom"/>
            <w:shd w:val="clear" w:color="auto" w:fill="E9EDF4"/>
          </w:tcPr>
          <w:p>
            <w:pPr>
              <w:jc w:val="center"/>
              <w:spacing w:after="0"/>
              <w:rPr>
                <w:sz w:val="20"/>
                <w:szCs w:val="20"/>
                <w:color w:val="auto"/>
              </w:rPr>
            </w:pPr>
            <w:r>
              <w:rPr>
                <w:rFonts w:ascii="Calibri" w:cs="Calibri" w:eastAsia="Calibri" w:hAnsi="Calibri"/>
                <w:sz w:val="22"/>
                <w:szCs w:val="22"/>
                <w:color w:val="auto"/>
              </w:rPr>
              <w:t>846</w:t>
            </w:r>
          </w:p>
        </w:tc>
        <w:tc>
          <w:tcPr>
            <w:tcW w:w="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44"/>
        </w:trPr>
        <w:tc>
          <w:tcPr>
            <w:tcW w:w="2380" w:type="dxa"/>
            <w:vAlign w:val="bottom"/>
            <w:tcBorders>
              <w:bottom w:val="single" w:sz="8" w:color="4F81BD"/>
            </w:tcBorders>
            <w:shd w:val="clear" w:color="auto" w:fill="4F81BD"/>
          </w:tcPr>
          <w:p>
            <w:pPr>
              <w:spacing w:after="0"/>
              <w:rPr>
                <w:sz w:val="3"/>
                <w:szCs w:val="3"/>
                <w:color w:val="auto"/>
              </w:rPr>
            </w:pPr>
          </w:p>
        </w:tc>
        <w:tc>
          <w:tcPr>
            <w:tcW w:w="20" w:type="dxa"/>
            <w:vAlign w:val="bottom"/>
            <w:tcBorders>
              <w:bottom w:val="single" w:sz="8" w:color="4F81BD"/>
            </w:tcBorders>
          </w:tcPr>
          <w:p>
            <w:pPr>
              <w:spacing w:after="0"/>
              <w:rPr>
                <w:sz w:val="3"/>
                <w:szCs w:val="3"/>
                <w:color w:val="auto"/>
              </w:rPr>
            </w:pPr>
          </w:p>
        </w:tc>
        <w:tc>
          <w:tcPr>
            <w:tcW w:w="2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344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1260" w:type="dxa"/>
            <w:vAlign w:val="bottom"/>
            <w:tcBorders>
              <w:bottom w:val="single" w:sz="8" w:color="E9EDF4"/>
            </w:tcBorders>
            <w:shd w:val="clear" w:color="auto" w:fill="E9EDF4"/>
          </w:tcPr>
          <w:p>
            <w:pPr>
              <w:spacing w:after="0"/>
              <w:rPr>
                <w:sz w:val="3"/>
                <w:szCs w:val="3"/>
                <w:color w:val="auto"/>
              </w:rPr>
            </w:pPr>
          </w:p>
        </w:tc>
        <w:tc>
          <w:tcPr>
            <w:tcW w:w="20" w:type="dxa"/>
            <w:vAlign w:val="bottom"/>
            <w:tcBorders>
              <w:bottom w:val="single" w:sz="8" w:color="E9EDF4"/>
            </w:tcBorders>
          </w:tcPr>
          <w:p>
            <w:pPr>
              <w:spacing w:after="0"/>
              <w:rPr>
                <w:sz w:val="3"/>
                <w:szCs w:val="3"/>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3086735</wp:posOffset>
                </wp:positionH>
                <wp:positionV relativeFrom="paragraph">
                  <wp:posOffset>-5659120</wp:posOffset>
                </wp:positionV>
                <wp:extent cx="221043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445.5999pt" to="417.1pt,-445.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-5430520</wp:posOffset>
                </wp:positionV>
                <wp:extent cx="221043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427.5999pt" to="417.1pt,-427.5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1524635</wp:posOffset>
                </wp:positionH>
                <wp:positionV relativeFrom="paragraph">
                  <wp:posOffset>-5203825</wp:posOffset>
                </wp:positionV>
                <wp:extent cx="458470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8470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05pt,-409.7499pt" to="481.05pt,-409.7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-4975225</wp:posOffset>
                </wp:positionV>
                <wp:extent cx="221043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91.7499pt" to="417.1pt,-391.7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-4747260</wp:posOffset>
                </wp:positionV>
                <wp:extent cx="221043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73.7999pt" to="417.1pt,-373.7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-4518660</wp:posOffset>
                </wp:positionV>
                <wp:extent cx="221043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55.7999pt" to="417.1pt,-355.7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-4291965</wp:posOffset>
                </wp:positionV>
                <wp:extent cx="221043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37.9499pt" to="417.1pt,-337.94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-4063365</wp:posOffset>
                </wp:positionV>
                <wp:extent cx="221043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19.9499pt" to="417.1pt,-319.9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-3836035</wp:posOffset>
                </wp:positionV>
                <wp:extent cx="22104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302.0499pt" to="417.1pt,-302.0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-3607435</wp:posOffset>
                </wp:positionV>
                <wp:extent cx="221043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84.0499pt" to="417.1pt,-284.0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-3380740</wp:posOffset>
                </wp:positionV>
                <wp:extent cx="2210435"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66.1999pt" to="417.1pt,-266.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-3152140</wp:posOffset>
                </wp:positionV>
                <wp:extent cx="221043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48.1999pt" to="417.1pt,-248.1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-2924810</wp:posOffset>
                </wp:positionV>
                <wp:extent cx="221043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230.2999pt" to="417.1pt,-230.2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1524635</wp:posOffset>
                </wp:positionH>
                <wp:positionV relativeFrom="paragraph">
                  <wp:posOffset>-2696210</wp:posOffset>
                </wp:positionV>
                <wp:extent cx="458470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8470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05pt,-212.2999pt" to="481.05pt,-212.2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-2468880</wp:posOffset>
                </wp:positionV>
                <wp:extent cx="221043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94.3999pt" to="417.1pt,-194.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-2240280</wp:posOffset>
                </wp:positionV>
                <wp:extent cx="221043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76.3999pt" to="417.1pt,-176.39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-1816735</wp:posOffset>
                </wp:positionV>
                <wp:extent cx="221043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43.0499pt" to="417.1pt,-143.0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-1588135</wp:posOffset>
                </wp:positionV>
                <wp:extent cx="221043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25.0499pt" to="417.1pt,-125.0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-1360805</wp:posOffset>
                </wp:positionV>
                <wp:extent cx="221043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07.1499pt" to="417.1pt,-107.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-1132205</wp:posOffset>
                </wp:positionV>
                <wp:extent cx="221043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89.1499pt" to="417.1pt,-89.1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1524635</wp:posOffset>
                </wp:positionH>
                <wp:positionV relativeFrom="paragraph">
                  <wp:posOffset>-905510</wp:posOffset>
                </wp:positionV>
                <wp:extent cx="458470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584700"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05pt,-71.2999pt" to="481.05pt,-71.2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-676910</wp:posOffset>
                </wp:positionV>
                <wp:extent cx="2210435"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53.2999pt" to="417.1pt,-53.2999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3086735</wp:posOffset>
                </wp:positionH>
                <wp:positionV relativeFrom="paragraph">
                  <wp:posOffset>-220345</wp:posOffset>
                </wp:positionV>
                <wp:extent cx="221043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0435" cy="4763"/>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05pt,-17.3499pt" to="417.1pt,-17.3499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1530350</wp:posOffset>
                </wp:positionH>
                <wp:positionV relativeFrom="paragraph">
                  <wp:posOffset>-5930900</wp:posOffset>
                </wp:positionV>
                <wp:extent cx="0" cy="593090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3090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5pt,-467pt" to="120.5pt,0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3093085</wp:posOffset>
                </wp:positionH>
                <wp:positionV relativeFrom="paragraph">
                  <wp:posOffset>-5930900</wp:posOffset>
                </wp:positionV>
                <wp:extent cx="0" cy="593090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30900"/>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3.55pt,-467pt" to="243.55pt,0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5290820</wp:posOffset>
                </wp:positionH>
                <wp:positionV relativeFrom="paragraph">
                  <wp:posOffset>-5930900</wp:posOffset>
                </wp:positionV>
                <wp:extent cx="0" cy="593090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930900"/>
                        </a:xfrm>
                        <a:prstGeom prst="line">
                          <a:avLst/>
                        </a:prstGeom>
                        <a:solidFill>
                          <a:srgbClr val="FFFFFF"/>
                        </a:solidFill>
                        <a:ln w="12191">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6.6pt,-467pt" to="416.6pt,0pt" o:allowincell="f" strokecolor="#FFFFFF" strokeweight="0.9599pt"/>
            </w:pict>
          </mc:Fallback>
        </mc:AlternateContent>
        <mc:AlternateContent>
          <mc:Choice Requires="wps">
            <w:drawing>
              <wp:anchor simplePos="0" relativeHeight="251657728" behindDoc="1" locked="0" layoutInCell="0" allowOverlap="1">
                <wp:simplePos x="0" y="0"/>
                <wp:positionH relativeFrom="column">
                  <wp:posOffset>6102985</wp:posOffset>
                </wp:positionH>
                <wp:positionV relativeFrom="paragraph">
                  <wp:posOffset>-6369685</wp:posOffset>
                </wp:positionV>
                <wp:extent cx="0" cy="636968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6369685"/>
                        </a:xfrm>
                        <a:prstGeom prst="line">
                          <a:avLst/>
                        </a:prstGeom>
                        <a:solidFill>
                          <a:srgbClr val="FFFFFF"/>
                        </a:solidFill>
                        <a:ln w="12192">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0.55pt,-501.5499pt" to="480.55pt,0pt" o:allowincell="f" strokecolor="#FFFFFF" strokeweight="0.96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640080</wp:posOffset>
                </wp:positionV>
                <wp:extent cx="182880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28800"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4pt" to="144pt,50.4pt" o:allowincell="f" strokecolor="#00000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p>
      <w:pPr>
        <w:ind w:right="680"/>
        <w:spacing w:after="0" w:line="216" w:lineRule="auto"/>
        <w:tabs>
          <w:tab w:leader="none" w:pos="120" w:val="left"/>
        </w:tabs>
        <w:numPr>
          <w:ilvl w:val="0"/>
          <w:numId w:val="5"/>
        </w:numPr>
        <w:rPr>
          <w:rFonts w:ascii="Calibri" w:cs="Calibri" w:eastAsia="Calibri" w:hAnsi="Calibri"/>
          <w:sz w:val="28"/>
          <w:szCs w:val="28"/>
          <w:color w:val="auto"/>
          <w:vertAlign w:val="superscript"/>
        </w:rPr>
      </w:pPr>
      <w:r>
        <w:rPr>
          <w:rFonts w:ascii="Calibri" w:cs="Calibri" w:eastAsia="Calibri" w:hAnsi="Calibri"/>
          <w:sz w:val="18"/>
          <w:szCs w:val="18"/>
          <w:color w:val="auto"/>
        </w:rPr>
        <w:t>These cases are reported from 27 Chinese provinces, regions and cities in addition to unspecified cases mentioned in the situation report published on 23 January 2020. The distribution of these cases as per provinces, regions and cities is unknown.</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8900"/>
        <w:spacing w:after="0"/>
        <w:rPr>
          <w:sz w:val="20"/>
          <w:szCs w:val="20"/>
          <w:color w:val="auto"/>
        </w:rPr>
      </w:pPr>
      <w:r>
        <w:rPr>
          <w:rFonts w:ascii="Calibri" w:cs="Calibri" w:eastAsia="Calibri" w:hAnsi="Calibri"/>
          <w:sz w:val="24"/>
          <w:szCs w:val="24"/>
          <w:color w:val="auto"/>
        </w:rPr>
        <w:t>3</w:t>
      </w:r>
    </w:p>
    <w:p>
      <w:pPr>
        <w:sectPr>
          <w:pgSz w:w="11900" w:h="16838" w:orient="portrait"/>
          <w:cols w:equalWidth="0" w:num="1">
            <w:col w:w="9620"/>
          </w:cols>
          <w:pgMar w:left="1440" w:top="1433" w:right="846" w:bottom="415" w:gutter="0" w:footer="0" w:header="0"/>
        </w:sectPr>
      </w:pPr>
    </w:p>
    <w:bookmarkStart w:id="3" w:name="page4"/>
    <w:bookmarkEnd w:id="3"/>
    <w:p>
      <w:pPr>
        <w:spacing w:after="0"/>
        <w:rPr>
          <w:sz w:val="20"/>
          <w:szCs w:val="20"/>
          <w:color w:val="auto"/>
        </w:rPr>
      </w:pPr>
      <w:r>
        <w:rPr>
          <w:rFonts w:ascii="Calibri" w:cs="Calibri" w:eastAsia="Calibri" w:hAnsi="Calibri"/>
          <w:sz w:val="26"/>
          <w:szCs w:val="26"/>
          <w:b w:val="1"/>
          <w:bCs w:val="1"/>
          <w:color w:val="0070C0"/>
        </w:rPr>
        <w:t>II. PREPAREDNESS AND RESPONSE:</w:t>
      </w:r>
    </w:p>
    <w:p>
      <w:pPr>
        <w:spacing w:after="0" w:line="247"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WHO:</w:t>
      </w:r>
    </w:p>
    <w:p>
      <w:pPr>
        <w:spacing w:after="0" w:line="289" w:lineRule="exact"/>
        <w:rPr>
          <w:sz w:val="20"/>
          <w:szCs w:val="20"/>
          <w:color w:val="auto"/>
        </w:rPr>
      </w:pPr>
    </w:p>
    <w:p>
      <w:pPr>
        <w:ind w:left="720" w:right="106" w:hanging="360"/>
        <w:spacing w:after="0" w:line="218" w:lineRule="auto"/>
        <w:tabs>
          <w:tab w:leader="none" w:pos="720" w:val="left"/>
        </w:tabs>
        <w:numPr>
          <w:ilvl w:val="1"/>
          <w:numId w:val="6"/>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11">
        <w:r>
          <w:rPr>
            <w:rFonts w:ascii="Calibri" w:cs="Calibri" w:eastAsia="Calibri" w:hAnsi="Calibri"/>
            <w:sz w:val="22"/>
            <w:szCs w:val="22"/>
            <w:u w:val="single" w:color="auto"/>
            <w:color w:val="0000FF"/>
          </w:rPr>
          <w:t>updated advice for international traffic in relation to the outbreak of</w:t>
        </w:r>
      </w:hyperlink>
      <w:r>
        <w:rPr>
          <w:rFonts w:ascii="Calibri" w:cs="Calibri" w:eastAsia="Calibri" w:hAnsi="Calibri"/>
          <w:sz w:val="22"/>
          <w:szCs w:val="22"/>
          <w:color w:val="auto"/>
        </w:rPr>
        <w:t xml:space="preserve"> </w:t>
      </w:r>
      <w:hyperlink r:id="rId11">
        <w:r>
          <w:rPr>
            <w:rFonts w:ascii="Calibri" w:cs="Calibri" w:eastAsia="Calibri" w:hAnsi="Calibri"/>
            <w:sz w:val="22"/>
            <w:szCs w:val="22"/>
            <w:u w:val="single" w:color="auto"/>
            <w:color w:val="0000FF"/>
          </w:rPr>
          <w:t>the novel coronavirus 2019-nCoV</w:t>
        </w:r>
        <w:r>
          <w:rPr>
            <w:rFonts w:ascii="Calibri" w:cs="Calibri" w:eastAsia="Calibri" w:hAnsi="Calibri"/>
            <w:sz w:val="22"/>
            <w:szCs w:val="22"/>
            <w:color w:val="000000"/>
          </w:rPr>
          <w:t>;</w:t>
        </w:r>
      </w:hyperlink>
    </w:p>
    <w:p>
      <w:pPr>
        <w:spacing w:after="0" w:line="49" w:lineRule="exact"/>
        <w:rPr>
          <w:rFonts w:ascii="Calibri" w:cs="Calibri" w:eastAsia="Calibri" w:hAnsi="Calibri"/>
          <w:sz w:val="22"/>
          <w:szCs w:val="22"/>
          <w:color w:val="0000FF"/>
        </w:rPr>
      </w:pPr>
    </w:p>
    <w:p>
      <w:pPr>
        <w:ind w:left="720" w:right="286" w:hanging="360"/>
        <w:spacing w:after="0" w:line="229"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Chinese as well as Japanese, Korean and Thai authorities since the reporting of these cases. The three countries have shared information with WHO under the International Health Regulations. WHO is also informing other countries about the situation and providing support as requested;</w:t>
      </w:r>
    </w:p>
    <w:p>
      <w:pPr>
        <w:spacing w:after="0" w:line="50" w:lineRule="exact"/>
        <w:rPr>
          <w:rFonts w:ascii="Arial" w:cs="Arial" w:eastAsia="Arial" w:hAnsi="Arial"/>
          <w:sz w:val="22"/>
          <w:szCs w:val="22"/>
          <w:color w:val="auto"/>
        </w:rPr>
      </w:pPr>
    </w:p>
    <w:p>
      <w:pPr>
        <w:ind w:left="720" w:right="486" w:hanging="360"/>
        <w:spacing w:after="0" w:line="218"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On 2 January, the incident management system was activated across the three levels of WHO (country office, regional office and headquarters);</w:t>
      </w:r>
    </w:p>
    <w:p>
      <w:pPr>
        <w:spacing w:after="0" w:line="49" w:lineRule="exact"/>
        <w:rPr>
          <w:rFonts w:ascii="Arial" w:cs="Arial" w:eastAsia="Arial" w:hAnsi="Arial"/>
          <w:sz w:val="22"/>
          <w:szCs w:val="22"/>
          <w:color w:val="auto"/>
        </w:rPr>
      </w:pPr>
    </w:p>
    <w:p>
      <w:pPr>
        <w:ind w:left="720" w:right="546" w:hanging="360"/>
        <w:spacing w:after="0" w:line="235"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Developed the surveillance case definitions for human infection with 2019-nCoV and is updating it as the new information becomes available;</w:t>
      </w:r>
    </w:p>
    <w:p>
      <w:pPr>
        <w:spacing w:after="0" w:line="91" w:lineRule="exact"/>
        <w:rPr>
          <w:rFonts w:ascii="Arial" w:cs="Arial" w:eastAsia="Arial" w:hAnsi="Arial"/>
          <w:sz w:val="22"/>
          <w:szCs w:val="22"/>
          <w:color w:val="auto"/>
        </w:rPr>
      </w:pPr>
    </w:p>
    <w:p>
      <w:pPr>
        <w:ind w:left="720" w:right="766" w:hanging="360"/>
        <w:spacing w:after="0" w:line="253"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Developed interim guidance for laboratory diagnosis, clinical management, infection prevention and control in health care settings, home care for mild patients, risk communication and community engagement;</w:t>
      </w:r>
    </w:p>
    <w:p>
      <w:pPr>
        <w:spacing w:after="0" w:line="77" w:lineRule="exact"/>
        <w:rPr>
          <w:rFonts w:ascii="Arial" w:cs="Arial" w:eastAsia="Arial" w:hAnsi="Arial"/>
          <w:sz w:val="22"/>
          <w:szCs w:val="22"/>
          <w:color w:val="auto"/>
        </w:rPr>
      </w:pPr>
    </w:p>
    <w:p>
      <w:pPr>
        <w:ind w:left="720" w:right="1066" w:hanging="360"/>
        <w:spacing w:after="0" w:line="236"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Prepared disease commodity package for supplies necessary in identification and management of confirmed patients;</w:t>
      </w:r>
    </w:p>
    <w:p>
      <w:pPr>
        <w:spacing w:after="0" w:line="39" w:lineRule="exact"/>
        <w:rPr>
          <w:rFonts w:ascii="Arial" w:cs="Arial" w:eastAsia="Arial" w:hAnsi="Arial"/>
          <w:sz w:val="22"/>
          <w:szCs w:val="22"/>
          <w:color w:val="auto"/>
        </w:rPr>
      </w:pPr>
    </w:p>
    <w:p>
      <w:pPr>
        <w:ind w:left="720" w:hanging="360"/>
        <w:spacing w:after="0"/>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Provided recommendations to reduce risk of transmission from animals to humans;</w:t>
      </w:r>
    </w:p>
    <w:p>
      <w:pPr>
        <w:spacing w:after="0" w:line="89" w:lineRule="exact"/>
        <w:rPr>
          <w:rFonts w:ascii="Arial" w:cs="Arial" w:eastAsia="Arial" w:hAnsi="Arial"/>
          <w:sz w:val="22"/>
          <w:szCs w:val="22"/>
          <w:color w:val="auto"/>
        </w:rPr>
      </w:pPr>
    </w:p>
    <w:p>
      <w:pPr>
        <w:ind w:left="720" w:right="306" w:hanging="360"/>
        <w:spacing w:after="0" w:line="236"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Utilizing global expert networks and partnerships for laboratory, infection prevention and control, clinical management and mathematical modelling;</w:t>
      </w:r>
    </w:p>
    <w:p>
      <w:pPr>
        <w:spacing w:after="0" w:line="39" w:lineRule="exact"/>
        <w:rPr>
          <w:rFonts w:ascii="Arial" w:cs="Arial" w:eastAsia="Arial" w:hAnsi="Arial"/>
          <w:sz w:val="22"/>
          <w:szCs w:val="22"/>
          <w:color w:val="auto"/>
        </w:rPr>
      </w:pPr>
    </w:p>
    <w:p>
      <w:pPr>
        <w:ind w:left="720" w:hanging="360"/>
        <w:spacing w:after="0"/>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Activation of R&amp;D blueprint to accelerate diagnostics, vaccines, and therapeutics;</w:t>
      </w:r>
    </w:p>
    <w:p>
      <w:pPr>
        <w:spacing w:after="0" w:line="90" w:lineRule="exact"/>
        <w:rPr>
          <w:rFonts w:ascii="Arial" w:cs="Arial" w:eastAsia="Arial" w:hAnsi="Arial"/>
          <w:sz w:val="22"/>
          <w:szCs w:val="22"/>
          <w:color w:val="auto"/>
        </w:rPr>
      </w:pPr>
    </w:p>
    <w:p>
      <w:pPr>
        <w:ind w:left="720" w:right="106" w:hanging="360"/>
        <w:spacing w:after="0" w:line="229" w:lineRule="auto"/>
        <w:tabs>
          <w:tab w:leader="none" w:pos="720" w:val="left"/>
        </w:tabs>
        <w:numPr>
          <w:ilvl w:val="1"/>
          <w:numId w:val="6"/>
        </w:numPr>
        <w:rPr>
          <w:rFonts w:ascii="Arial" w:cs="Arial" w:eastAsia="Arial" w:hAnsi="Arial"/>
          <w:sz w:val="22"/>
          <w:szCs w:val="22"/>
          <w:color w:val="auto"/>
        </w:rPr>
      </w:pPr>
      <w:r>
        <w:rPr>
          <w:rFonts w:ascii="Calibri" w:cs="Calibri" w:eastAsia="Calibri" w:hAnsi="Calibri"/>
          <w:sz w:val="22"/>
          <w:szCs w:val="22"/>
          <w:color w:val="auto"/>
        </w:rPr>
        <w:t>WHO is working with our networks of researchers and other experts to coordinate global work on surveillance, epidemiology, modelling, diagnostics, clinical care and treatment, and other ways to identify, manage the disease and limit onward transmission. WHO has issued interim guidance for countries, updated to take into account the current situation.</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64" w:lineRule="exact"/>
        <w:rPr>
          <w:rFonts w:ascii="Arial" w:cs="Arial" w:eastAsia="Arial" w:hAnsi="Arial"/>
          <w:sz w:val="22"/>
          <w:szCs w:val="22"/>
          <w:color w:val="auto"/>
        </w:rPr>
      </w:pPr>
    </w:p>
    <w:p>
      <w:pPr>
        <w:ind w:left="340" w:hanging="340"/>
        <w:spacing w:after="0"/>
        <w:tabs>
          <w:tab w:leader="none" w:pos="340" w:val="left"/>
        </w:tabs>
        <w:numPr>
          <w:ilvl w:val="0"/>
          <w:numId w:val="6"/>
        </w:numPr>
        <w:rPr>
          <w:rFonts w:ascii="Calibri" w:cs="Calibri" w:eastAsia="Calibri" w:hAnsi="Calibri"/>
          <w:sz w:val="26"/>
          <w:szCs w:val="26"/>
          <w:b w:val="1"/>
          <w:bCs w:val="1"/>
          <w:color w:val="0070C0"/>
        </w:rPr>
      </w:pPr>
      <w:r>
        <w:rPr>
          <w:rFonts w:ascii="Calibri" w:cs="Calibri" w:eastAsia="Calibri" w:hAnsi="Calibri"/>
          <w:sz w:val="26"/>
          <w:szCs w:val="26"/>
          <w:b w:val="1"/>
          <w:bCs w:val="1"/>
          <w:color w:val="0070C0"/>
        </w:rPr>
        <w:t>COUNTRY RESPONSE:</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358" w:lineRule="exact"/>
        <w:rPr>
          <w:rFonts w:ascii="Arial" w:cs="Arial" w:eastAsia="Arial" w:hAnsi="Arial"/>
          <w:sz w:val="22"/>
          <w:szCs w:val="22"/>
          <w:color w:val="auto"/>
        </w:rPr>
      </w:pPr>
    </w:p>
    <w:p>
      <w:pPr>
        <w:spacing w:after="0"/>
        <w:rPr>
          <w:sz w:val="20"/>
          <w:szCs w:val="20"/>
          <w:color w:val="auto"/>
        </w:rPr>
      </w:pPr>
      <w:r>
        <w:rPr>
          <w:rFonts w:ascii="Calibri" w:cs="Calibri" w:eastAsia="Calibri" w:hAnsi="Calibri"/>
          <w:sz w:val="22"/>
          <w:szCs w:val="22"/>
          <w:b w:val="1"/>
          <w:bCs w:val="1"/>
          <w:color w:val="0070C0"/>
        </w:rPr>
        <w:t>China:</w:t>
      </w:r>
    </w:p>
    <w:p>
      <w:pPr>
        <w:spacing w:after="0" w:line="252" w:lineRule="exact"/>
        <w:rPr>
          <w:rFonts w:ascii="Arial" w:cs="Arial" w:eastAsia="Arial" w:hAnsi="Arial"/>
          <w:sz w:val="22"/>
          <w:szCs w:val="22"/>
          <w:color w:val="auto"/>
        </w:rPr>
      </w:pPr>
    </w:p>
    <w:p>
      <w:pPr>
        <w:ind w:left="720" w:hanging="360"/>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National authorities are conducting active case finding in all provinces;</w:t>
      </w:r>
    </w:p>
    <w:p>
      <w:pPr>
        <w:spacing w:after="0" w:line="50" w:lineRule="exact"/>
        <w:rPr>
          <w:rFonts w:ascii="Arial" w:cs="Arial" w:eastAsia="Arial" w:hAnsi="Arial"/>
          <w:sz w:val="22"/>
          <w:szCs w:val="22"/>
          <w:color w:val="auto"/>
        </w:rPr>
      </w:pPr>
    </w:p>
    <w:p>
      <w:pPr>
        <w:ind w:left="720" w:hanging="360"/>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Search expanded for additional cases within and outside of Wuhan City;</w:t>
      </w:r>
    </w:p>
    <w:p>
      <w:pPr>
        <w:spacing w:after="0" w:line="53" w:lineRule="exact"/>
        <w:rPr>
          <w:rFonts w:ascii="Arial" w:cs="Arial" w:eastAsia="Arial" w:hAnsi="Arial"/>
          <w:sz w:val="22"/>
          <w:szCs w:val="22"/>
          <w:color w:val="auto"/>
        </w:rPr>
      </w:pPr>
    </w:p>
    <w:p>
      <w:pPr>
        <w:ind w:left="720" w:hanging="360"/>
        <w:spacing w:after="0"/>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Active / retroactive case finding in medical institutions in Wuhan City;</w:t>
      </w:r>
    </w:p>
    <w:p>
      <w:pPr>
        <w:spacing w:after="0" w:line="102" w:lineRule="exact"/>
        <w:rPr>
          <w:rFonts w:ascii="Arial" w:cs="Arial" w:eastAsia="Arial" w:hAnsi="Arial"/>
          <w:sz w:val="22"/>
          <w:szCs w:val="22"/>
          <w:color w:val="auto"/>
        </w:rPr>
      </w:pPr>
    </w:p>
    <w:p>
      <w:pPr>
        <w:ind w:left="720" w:right="46" w:hanging="360"/>
        <w:spacing w:after="0" w:line="235"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The Huanan Seafood Wholesale Market in Wuhan city was closed on 1 January 2020 for environmental sanitation and disinfection. Market inspection in expansion to other markets;</w:t>
      </w:r>
    </w:p>
    <w:p>
      <w:pPr>
        <w:spacing w:after="0" w:line="102" w:lineRule="exact"/>
        <w:rPr>
          <w:rFonts w:ascii="Arial" w:cs="Arial" w:eastAsia="Arial" w:hAnsi="Arial"/>
          <w:sz w:val="22"/>
          <w:szCs w:val="22"/>
          <w:color w:val="auto"/>
        </w:rPr>
      </w:pPr>
    </w:p>
    <w:p>
      <w:pPr>
        <w:ind w:left="720" w:right="86" w:hanging="360"/>
        <w:spacing w:after="0" w:line="261" w:lineRule="auto"/>
        <w:tabs>
          <w:tab w:leader="none" w:pos="72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Public education on disease prevention and environmental hygiene further strengthened in public places across the city, farmers’ markets in particular. As of 23 January, the National Health Commission revised protection standards and specifications for medical workers and strengthened prevention and control measures against 2019-nCoV in hospitals.</w:t>
      </w: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00" w:lineRule="exact"/>
        <w:rPr>
          <w:rFonts w:ascii="Arial" w:cs="Arial" w:eastAsia="Arial" w:hAnsi="Arial"/>
          <w:sz w:val="22"/>
          <w:szCs w:val="22"/>
          <w:color w:val="auto"/>
        </w:rPr>
      </w:pPr>
    </w:p>
    <w:p>
      <w:pPr>
        <w:spacing w:after="0" w:line="268" w:lineRule="exact"/>
        <w:rPr>
          <w:rFonts w:ascii="Arial" w:cs="Arial" w:eastAsia="Arial" w:hAnsi="Arial"/>
          <w:sz w:val="22"/>
          <w:szCs w:val="22"/>
          <w:color w:val="auto"/>
        </w:rPr>
      </w:pPr>
    </w:p>
    <w:p>
      <w:pPr>
        <w:jc w:val="right"/>
        <w:ind w:right="6"/>
        <w:spacing w:after="0"/>
        <w:rPr>
          <w:sz w:val="20"/>
          <w:szCs w:val="20"/>
          <w:color w:val="auto"/>
        </w:rPr>
      </w:pPr>
      <w:r>
        <w:rPr>
          <w:rFonts w:ascii="Calibri" w:cs="Calibri" w:eastAsia="Calibri" w:hAnsi="Calibri"/>
          <w:sz w:val="24"/>
          <w:szCs w:val="24"/>
          <w:color w:val="auto"/>
        </w:rPr>
        <w:t>4</w:t>
      </w:r>
    </w:p>
    <w:p>
      <w:pPr>
        <w:sectPr>
          <w:pgSz w:w="11900" w:h="16838" w:orient="portrait"/>
          <w:cols w:equalWidth="0" w:num="1">
            <w:col w:w="9026"/>
          </w:cols>
          <w:pgMar w:left="1440" w:top="1433" w:right="1440" w:bottom="415" w:gutter="0" w:footer="0" w:header="0"/>
        </w:sectPr>
      </w:pPr>
    </w:p>
    <w:bookmarkStart w:id="4" w:name="page5"/>
    <w:bookmarkEnd w:id="4"/>
    <w:p>
      <w:pPr>
        <w:spacing w:after="0" w:line="200" w:lineRule="exact"/>
        <w:rPr>
          <w:sz w:val="20"/>
          <w:szCs w:val="20"/>
          <w:color w:val="auto"/>
        </w:rPr>
      </w:pPr>
    </w:p>
    <w:p>
      <w:pPr>
        <w:spacing w:after="0" w:line="303"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Japan:</w:t>
      </w:r>
    </w:p>
    <w:p>
      <w:pPr>
        <w:spacing w:after="0" w:line="301" w:lineRule="exact"/>
        <w:rPr>
          <w:sz w:val="20"/>
          <w:szCs w:val="20"/>
          <w:color w:val="auto"/>
        </w:rPr>
      </w:pPr>
    </w:p>
    <w:p>
      <w:pPr>
        <w:ind w:left="720" w:right="60" w:hanging="360"/>
        <w:spacing w:after="0"/>
        <w:tabs>
          <w:tab w:leader="none" w:pos="720" w:val="left"/>
        </w:tabs>
        <w:numPr>
          <w:ilvl w:val="0"/>
          <w:numId w:val="8"/>
        </w:numPr>
        <w:rPr>
          <w:rFonts w:ascii="Arial" w:cs="Arial" w:eastAsia="Arial" w:hAnsi="Arial"/>
          <w:sz w:val="21"/>
          <w:szCs w:val="21"/>
          <w:color w:val="auto"/>
        </w:rPr>
      </w:pPr>
      <w:r>
        <w:rPr>
          <w:rFonts w:ascii="Calibri" w:cs="Calibri" w:eastAsia="Calibri" w:hAnsi="Calibri"/>
          <w:sz w:val="21"/>
          <w:szCs w:val="21"/>
          <w:color w:val="auto"/>
        </w:rPr>
        <w:t>In addition to public health response measures mentioned in situation report published on 23 January, a request was sent to airlines and other relevant companies to expand measures such as in-flight announcements and distribution of health cards on fights and cruise ships originating from China (the distribution of health cards will begin on 24 January).</w:t>
      </w: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Republic of Singapore:</w:t>
      </w:r>
    </w:p>
    <w:p>
      <w:pPr>
        <w:spacing w:after="0" w:line="244" w:lineRule="exact"/>
        <w:rPr>
          <w:sz w:val="20"/>
          <w:szCs w:val="20"/>
          <w:color w:val="auto"/>
        </w:rPr>
      </w:pPr>
    </w:p>
    <w:p>
      <w:pPr>
        <w:jc w:val="both"/>
        <w:ind w:left="720" w:hanging="360"/>
        <w:spacing w:after="0" w:line="237"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The government of the Singapore has scaled up the national “Disease Outbreak Response System Condition” (DORSCON) alert level from green to yellow (Level 2 out of 4-level national crisis management system) on 21 January 2020;</w:t>
      </w:r>
    </w:p>
    <w:p>
      <w:pPr>
        <w:spacing w:after="0" w:line="85" w:lineRule="exact"/>
        <w:rPr>
          <w:rFonts w:ascii="Arial" w:cs="Arial" w:eastAsia="Arial" w:hAnsi="Arial"/>
          <w:sz w:val="22"/>
          <w:szCs w:val="22"/>
          <w:color w:val="auto"/>
        </w:rPr>
      </w:pPr>
    </w:p>
    <w:p>
      <w:pPr>
        <w:jc w:val="both"/>
        <w:ind w:left="720" w:right="20" w:hanging="360"/>
        <w:spacing w:after="0" w:line="259" w:lineRule="auto"/>
        <w:tabs>
          <w:tab w:leader="none" w:pos="720" w:val="left"/>
        </w:tabs>
        <w:numPr>
          <w:ilvl w:val="0"/>
          <w:numId w:val="9"/>
        </w:numPr>
        <w:rPr>
          <w:rFonts w:ascii="Arial" w:cs="Arial" w:eastAsia="Arial" w:hAnsi="Arial"/>
          <w:sz w:val="21"/>
          <w:szCs w:val="21"/>
          <w:color w:val="auto"/>
        </w:rPr>
      </w:pPr>
      <w:r>
        <w:rPr>
          <w:rFonts w:ascii="Calibri" w:cs="Calibri" w:eastAsia="Calibri" w:hAnsi="Calibri"/>
          <w:sz w:val="21"/>
          <w:szCs w:val="21"/>
          <w:color w:val="auto"/>
        </w:rPr>
        <w:t>The Singapore health authority has strengthened surveillance for pneumonia cases in health facilities nationwide since 3 January 2020. Medical circulars had been disseminated to all registered medical practitioners informing them of the suspect case definitions, to notify the health authorities and isolate any suspect cases, and information on the first confirmed case;</w:t>
      </w:r>
    </w:p>
    <w:p>
      <w:pPr>
        <w:spacing w:after="0" w:line="64" w:lineRule="exact"/>
        <w:rPr>
          <w:rFonts w:ascii="Arial" w:cs="Arial" w:eastAsia="Arial" w:hAnsi="Arial"/>
          <w:sz w:val="21"/>
          <w:szCs w:val="21"/>
          <w:color w:val="auto"/>
        </w:rPr>
      </w:pPr>
    </w:p>
    <w:p>
      <w:pPr>
        <w:jc w:val="both"/>
        <w:ind w:left="720" w:right="20" w:hanging="360"/>
        <w:spacing w:after="0" w:line="244"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Border screening measures have been implemented for flights arriving from Wuhan at the international airport since 3 January 2020. Border health measures were further enhanced on 22 January 2020 with the expansion of temperature screening measures to screen all flights from China. Health advisory notices and posters have been issued and put up as well;</w:t>
      </w:r>
    </w:p>
    <w:p>
      <w:pPr>
        <w:spacing w:after="0" w:line="30" w:lineRule="exact"/>
        <w:rPr>
          <w:rFonts w:ascii="Arial" w:cs="Arial" w:eastAsia="Arial" w:hAnsi="Arial"/>
          <w:sz w:val="22"/>
          <w:szCs w:val="22"/>
          <w:color w:val="auto"/>
        </w:rPr>
      </w:pPr>
    </w:p>
    <w:p>
      <w:pPr>
        <w:ind w:left="720" w:hanging="360"/>
        <w:spacing w:after="0"/>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Intensified border screening expanded to land and sea checkpoints;</w:t>
      </w:r>
    </w:p>
    <w:p>
      <w:pPr>
        <w:spacing w:after="0" w:line="80" w:lineRule="exact"/>
        <w:rPr>
          <w:rFonts w:ascii="Arial" w:cs="Arial" w:eastAsia="Arial" w:hAnsi="Arial"/>
          <w:sz w:val="22"/>
          <w:szCs w:val="22"/>
          <w:color w:val="auto"/>
        </w:rPr>
      </w:pPr>
    </w:p>
    <w:p>
      <w:pPr>
        <w:ind w:left="720" w:right="20" w:hanging="360"/>
        <w:spacing w:after="0" w:line="227" w:lineRule="auto"/>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Public risk communication had been enhanced including the emphasis on social responsibility and personal hygiene practices;</w:t>
      </w:r>
    </w:p>
    <w:p>
      <w:pPr>
        <w:spacing w:after="0" w:line="36" w:lineRule="exact"/>
        <w:rPr>
          <w:rFonts w:ascii="Arial" w:cs="Arial" w:eastAsia="Arial" w:hAnsi="Arial"/>
          <w:sz w:val="22"/>
          <w:szCs w:val="22"/>
          <w:color w:val="auto"/>
        </w:rPr>
      </w:pPr>
    </w:p>
    <w:p>
      <w:pPr>
        <w:ind w:left="720" w:hanging="360"/>
        <w:spacing w:after="0"/>
        <w:tabs>
          <w:tab w:leader="none" w:pos="720" w:val="left"/>
        </w:tabs>
        <w:numPr>
          <w:ilvl w:val="0"/>
          <w:numId w:val="9"/>
        </w:numPr>
        <w:rPr>
          <w:rFonts w:ascii="Arial" w:cs="Arial" w:eastAsia="Arial" w:hAnsi="Arial"/>
          <w:sz w:val="22"/>
          <w:szCs w:val="22"/>
          <w:color w:val="auto"/>
        </w:rPr>
      </w:pPr>
      <w:r>
        <w:rPr>
          <w:rFonts w:ascii="Calibri" w:cs="Calibri" w:eastAsia="Calibri" w:hAnsi="Calibri"/>
          <w:sz w:val="22"/>
          <w:szCs w:val="22"/>
          <w:color w:val="auto"/>
        </w:rPr>
        <w:t>Contact tracing and other epidemiological investigations are underway.</w:t>
      </w: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Viet Nam:</w:t>
      </w:r>
    </w:p>
    <w:p>
      <w:pPr>
        <w:spacing w:after="0" w:line="244" w:lineRule="exact"/>
        <w:rPr>
          <w:sz w:val="20"/>
          <w:szCs w:val="20"/>
          <w:color w:val="auto"/>
        </w:rPr>
      </w:pPr>
    </w:p>
    <w:p>
      <w:pPr>
        <w:ind w:left="720" w:right="20" w:hanging="360"/>
        <w:spacing w:after="0" w:line="226"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On 24 January, the Viet Nam Ministry of Health held the National Steering Committee followed by a press conference to inform the public of the two confirmed cases;</w:t>
      </w:r>
    </w:p>
    <w:p>
      <w:pPr>
        <w:spacing w:after="0" w:line="84" w:lineRule="exact"/>
        <w:rPr>
          <w:rFonts w:ascii="Arial" w:cs="Arial" w:eastAsia="Arial" w:hAnsi="Arial"/>
          <w:sz w:val="22"/>
          <w:szCs w:val="22"/>
          <w:color w:val="auto"/>
        </w:rPr>
      </w:pPr>
    </w:p>
    <w:p>
      <w:pPr>
        <w:ind w:left="720" w:right="20" w:hanging="360"/>
        <w:spacing w:after="0" w:line="227"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Activated Public Health Emergency Operating Centres (PHEOC) to coordinate all information and direction to control the outbreak</w:t>
      </w:r>
    </w:p>
    <w:p>
      <w:pPr>
        <w:spacing w:after="0" w:line="82" w:lineRule="exact"/>
        <w:rPr>
          <w:rFonts w:ascii="Arial" w:cs="Arial" w:eastAsia="Arial" w:hAnsi="Arial"/>
          <w:sz w:val="22"/>
          <w:szCs w:val="22"/>
          <w:color w:val="auto"/>
        </w:rPr>
      </w:pPr>
    </w:p>
    <w:p>
      <w:pPr>
        <w:ind w:left="720" w:right="220" w:hanging="360"/>
        <w:spacing w:after="0" w:line="218"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Strengthening disease screening in the point of entry and applying health declaration form for all passengers from China going through the international point of entries;</w:t>
      </w:r>
    </w:p>
    <w:p>
      <w:pPr>
        <w:spacing w:after="0" w:line="12" w:lineRule="exact"/>
        <w:rPr>
          <w:rFonts w:ascii="Arial" w:cs="Arial" w:eastAsia="Arial" w:hAnsi="Arial"/>
          <w:sz w:val="22"/>
          <w:szCs w:val="22"/>
          <w:color w:val="auto"/>
        </w:rPr>
      </w:pPr>
    </w:p>
    <w:p>
      <w:pPr>
        <w:ind w:left="720" w:hanging="360"/>
        <w:spacing w:after="0"/>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Enhancing surveillance in the health care facilities and community;</w:t>
      </w:r>
    </w:p>
    <w:p>
      <w:pPr>
        <w:spacing w:after="0" w:line="61" w:lineRule="exact"/>
        <w:rPr>
          <w:rFonts w:ascii="Arial" w:cs="Arial" w:eastAsia="Arial" w:hAnsi="Arial"/>
          <w:sz w:val="22"/>
          <w:szCs w:val="22"/>
          <w:color w:val="auto"/>
        </w:rPr>
      </w:pPr>
    </w:p>
    <w:p>
      <w:pPr>
        <w:jc w:val="both"/>
        <w:ind w:left="720" w:right="580" w:hanging="360"/>
        <w:spacing w:after="0" w:line="225"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Strictly applying infection prevention and control measures at health care facilities and ensure supporting necessary personal protective equipment to prepare for a potential increase in demand;</w:t>
      </w:r>
    </w:p>
    <w:p>
      <w:pPr>
        <w:spacing w:after="0" w:line="61" w:lineRule="exact"/>
        <w:rPr>
          <w:rFonts w:ascii="Arial" w:cs="Arial" w:eastAsia="Arial" w:hAnsi="Arial"/>
          <w:sz w:val="22"/>
          <w:szCs w:val="22"/>
          <w:color w:val="auto"/>
        </w:rPr>
      </w:pPr>
    </w:p>
    <w:p>
      <w:pPr>
        <w:ind w:left="720" w:right="500" w:hanging="360"/>
        <w:spacing w:after="0" w:line="218" w:lineRule="auto"/>
        <w:tabs>
          <w:tab w:leader="none" w:pos="720" w:val="left"/>
        </w:tabs>
        <w:numPr>
          <w:ilvl w:val="0"/>
          <w:numId w:val="10"/>
        </w:numPr>
        <w:rPr>
          <w:rFonts w:ascii="Arial" w:cs="Arial" w:eastAsia="Arial" w:hAnsi="Arial"/>
          <w:sz w:val="22"/>
          <w:szCs w:val="22"/>
          <w:color w:val="auto"/>
        </w:rPr>
      </w:pPr>
      <w:r>
        <w:rPr>
          <w:rFonts w:ascii="Calibri" w:cs="Calibri" w:eastAsia="Calibri" w:hAnsi="Calibri"/>
          <w:sz w:val="22"/>
          <w:szCs w:val="22"/>
          <w:color w:val="auto"/>
        </w:rPr>
        <w:t>Strengthening risk communication activities and providing information on measures for prevention and control of 2019-nCoV;</w:t>
      </w:r>
    </w:p>
    <w:p>
      <w:pPr>
        <w:spacing w:after="0" w:line="200" w:lineRule="exact"/>
        <w:rPr>
          <w:sz w:val="20"/>
          <w:szCs w:val="20"/>
          <w:color w:val="auto"/>
        </w:rPr>
      </w:pP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Hong Kong Special Administrative Region: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8900"/>
        <w:spacing w:after="0"/>
        <w:rPr>
          <w:sz w:val="20"/>
          <w:szCs w:val="20"/>
          <w:color w:val="auto"/>
        </w:rPr>
      </w:pPr>
      <w:r>
        <w:rPr>
          <w:rFonts w:ascii="Calibri" w:cs="Calibri" w:eastAsia="Calibri" w:hAnsi="Calibri"/>
          <w:sz w:val="24"/>
          <w:szCs w:val="24"/>
          <w:color w:val="auto"/>
        </w:rPr>
        <w:t>5</w:t>
      </w:r>
    </w:p>
    <w:p>
      <w:pPr>
        <w:sectPr>
          <w:pgSz w:w="11900" w:h="16838" w:orient="portrait"/>
          <w:cols w:equalWidth="0" w:num="1">
            <w:col w:w="9040"/>
          </w:cols>
          <w:pgMar w:left="1440" w:top="1440" w:right="1426" w:bottom="415" w:gutter="0" w:footer="0" w:header="0"/>
        </w:sectPr>
      </w:pPr>
    </w:p>
    <w:bookmarkStart w:id="5" w:name="page6"/>
    <w:bookmarkEnd w:id="5"/>
    <w:p>
      <w:pPr>
        <w:spacing w:after="0" w:line="55" w:lineRule="exact"/>
        <w:rPr>
          <w:sz w:val="20"/>
          <w:szCs w:val="20"/>
          <w:color w:val="auto"/>
        </w:rPr>
      </w:pPr>
    </w:p>
    <w:p>
      <w:pPr>
        <w:ind w:left="720" w:right="386" w:hanging="360"/>
        <w:spacing w:after="0" w:line="253"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The Health Authority had enhanced laboratory surveillance for pneumonia cases to have early identification of severe community-acquired pneumonia associated with novel coronavirus.</w:t>
      </w:r>
    </w:p>
    <w:p>
      <w:pPr>
        <w:spacing w:after="0" w:line="89" w:lineRule="exact"/>
        <w:rPr>
          <w:rFonts w:ascii="Arial" w:cs="Arial" w:eastAsia="Arial" w:hAnsi="Arial"/>
          <w:sz w:val="22"/>
          <w:szCs w:val="22"/>
          <w:color w:val="auto"/>
        </w:rPr>
      </w:pPr>
    </w:p>
    <w:p>
      <w:pPr>
        <w:jc w:val="both"/>
        <w:ind w:left="720" w:right="486" w:hanging="360"/>
        <w:spacing w:after="0" w:line="253"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The Centre for Health Protection (CHP) of the Department of Health (DH) has enhanced surveillance of suspected cases and revised the reporting criteria of Severe Respiratory Disease associated with a Novel Infectious Agent.</w:t>
      </w:r>
    </w:p>
    <w:p>
      <w:pPr>
        <w:spacing w:after="0" w:line="89" w:lineRule="exact"/>
        <w:rPr>
          <w:rFonts w:ascii="Arial" w:cs="Arial" w:eastAsia="Arial" w:hAnsi="Arial"/>
          <w:sz w:val="22"/>
          <w:szCs w:val="22"/>
          <w:color w:val="auto"/>
        </w:rPr>
      </w:pPr>
    </w:p>
    <w:p>
      <w:pPr>
        <w:ind w:left="720" w:right="46" w:hanging="360"/>
        <w:spacing w:after="0" w:line="253" w:lineRule="auto"/>
        <w:tabs>
          <w:tab w:leader="none" w:pos="720" w:val="left"/>
        </w:tabs>
        <w:numPr>
          <w:ilvl w:val="0"/>
          <w:numId w:val="11"/>
        </w:numPr>
        <w:rPr>
          <w:rFonts w:ascii="Arial" w:cs="Arial" w:eastAsia="Arial" w:hAnsi="Arial"/>
          <w:sz w:val="22"/>
          <w:szCs w:val="22"/>
          <w:color w:val="auto"/>
        </w:rPr>
      </w:pPr>
      <w:r>
        <w:rPr>
          <w:rFonts w:ascii="Calibri" w:cs="Calibri" w:eastAsia="Calibri" w:hAnsi="Calibri"/>
          <w:sz w:val="22"/>
          <w:szCs w:val="22"/>
          <w:color w:val="auto"/>
        </w:rPr>
        <w:t>CHP has also set up a hotline (2125 1122) for the suspected and confirmed cases. The hotline operates daily from 8am to 9pm including public holidays. Persons who are regarded as close contacts and other contacts of the cases concerned should call the hotline.</w:t>
      </w: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spacing w:after="0"/>
        <w:rPr>
          <w:sz w:val="20"/>
          <w:szCs w:val="20"/>
          <w:color w:val="auto"/>
        </w:rPr>
      </w:pPr>
      <w:r>
        <w:rPr>
          <w:rFonts w:ascii="Calibri" w:cs="Calibri" w:eastAsia="Calibri" w:hAnsi="Calibri"/>
          <w:sz w:val="22"/>
          <w:szCs w:val="22"/>
          <w:b w:val="1"/>
          <w:bCs w:val="1"/>
          <w:color w:val="0070C0"/>
        </w:rPr>
        <w:t>Macau Special Administrative Region:</w:t>
      </w:r>
    </w:p>
    <w:p>
      <w:pPr>
        <w:spacing w:after="0" w:line="242" w:lineRule="exact"/>
        <w:rPr>
          <w:sz w:val="20"/>
          <w:szCs w:val="20"/>
          <w:color w:val="auto"/>
        </w:rPr>
      </w:pPr>
    </w:p>
    <w:p>
      <w:pPr>
        <w:ind w:left="720" w:right="286" w:hanging="360"/>
        <w:spacing w:after="0" w:line="253"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The Health Bureau has launched a program to provide masks to Macao residents. Citizens can register with 56 negotiated pharmacies in Macau with permanent / non-permanent resident ID cards or identification cards for foreign employees.</w:t>
      </w:r>
    </w:p>
    <w:p>
      <w:pPr>
        <w:spacing w:after="0" w:line="89" w:lineRule="exact"/>
        <w:rPr>
          <w:rFonts w:ascii="Arial" w:cs="Arial" w:eastAsia="Arial" w:hAnsi="Arial"/>
          <w:sz w:val="22"/>
          <w:szCs w:val="22"/>
          <w:color w:val="auto"/>
        </w:rPr>
      </w:pPr>
    </w:p>
    <w:p>
      <w:pPr>
        <w:ind w:left="720" w:right="66" w:hanging="360"/>
        <w:spacing w:after="0" w:line="235" w:lineRule="auto"/>
        <w:tabs>
          <w:tab w:leader="none" w:pos="720" w:val="left"/>
        </w:tabs>
        <w:numPr>
          <w:ilvl w:val="0"/>
          <w:numId w:val="12"/>
        </w:numPr>
        <w:rPr>
          <w:rFonts w:ascii="Arial" w:cs="Arial" w:eastAsia="Arial" w:hAnsi="Arial"/>
          <w:sz w:val="22"/>
          <w:szCs w:val="22"/>
          <w:color w:val="auto"/>
        </w:rPr>
      </w:pPr>
      <w:r>
        <w:rPr>
          <w:rFonts w:ascii="Calibri" w:cs="Calibri" w:eastAsia="Calibri" w:hAnsi="Calibri"/>
          <w:sz w:val="22"/>
          <w:szCs w:val="22"/>
          <w:color w:val="auto"/>
        </w:rPr>
        <w:t>Each port of entry has begun to implement health declaration measures, which are set up in paper or electronic form.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316865</wp:posOffset>
            </wp:positionV>
            <wp:extent cx="5664200" cy="505269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extLst>
                    </a:blip>
                    <a:srcRect/>
                    <a:stretch>
                      <a:fillRect/>
                    </a:stretch>
                  </pic:blipFill>
                  <pic:spPr bwMode="auto">
                    <a:xfrm>
                      <a:off x="0" y="0"/>
                      <a:ext cx="5664200" cy="5052695"/>
                    </a:xfrm>
                    <a:prstGeom prst="rect">
                      <a:avLst/>
                    </a:prstGeom>
                    <a:noFill/>
                  </pic:spPr>
                </pic:pic>
              </a:graphicData>
            </a:graphic>
          </wp:anchor>
        </w:drawing>
      </w:r>
    </w:p>
    <w:p>
      <w:pPr>
        <w:spacing w:after="0" w:line="200" w:lineRule="exact"/>
        <w:rPr>
          <w:sz w:val="20"/>
          <w:szCs w:val="20"/>
          <w:color w:val="auto"/>
        </w:rPr>
      </w:pPr>
    </w:p>
    <w:p>
      <w:pPr>
        <w:spacing w:after="0" w:line="39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b w:val="1"/>
          <w:bCs w:val="1"/>
          <w:color w:val="FFFFFF"/>
        </w:rPr>
        <w:t>Resources:</w:t>
      </w:r>
    </w:p>
    <w:p>
      <w:pPr>
        <w:spacing w:after="0" w:line="26" w:lineRule="exact"/>
        <w:rPr>
          <w:sz w:val="20"/>
          <w:szCs w:val="20"/>
          <w:color w:val="auto"/>
        </w:rPr>
      </w:pPr>
    </w:p>
    <w:p>
      <w:pPr>
        <w:ind w:left="940" w:right="3506" w:hanging="364"/>
        <w:spacing w:after="0" w:line="248" w:lineRule="auto"/>
        <w:tabs>
          <w:tab w:leader="none" w:pos="940" w:val="left"/>
        </w:tabs>
        <w:numPr>
          <w:ilvl w:val="0"/>
          <w:numId w:val="13"/>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Technical interim guidance for novel coronavirus, WHO: </w:t>
      </w:r>
      <w:hyperlink r:id="rId13">
        <w:r>
          <w:rPr>
            <w:rFonts w:ascii="Times New Roman" w:cs="Times New Roman" w:eastAsia="Times New Roman" w:hAnsi="Times New Roman"/>
            <w:sz w:val="20"/>
            <w:szCs w:val="20"/>
            <w:color w:val="FFFFFF"/>
          </w:rPr>
          <w:t>https://www.who.int/health-topics/coronavirus</w:t>
        </w:r>
      </w:hyperlink>
    </w:p>
    <w:p>
      <w:pPr>
        <w:spacing w:after="0" w:line="35" w:lineRule="exact"/>
        <w:rPr>
          <w:rFonts w:ascii="Times New Roman" w:cs="Times New Roman" w:eastAsia="Times New Roman" w:hAnsi="Times New Roman"/>
          <w:sz w:val="20"/>
          <w:szCs w:val="20"/>
          <w:color w:val="FFFFFF"/>
        </w:rPr>
      </w:pPr>
    </w:p>
    <w:p>
      <w:pPr>
        <w:ind w:left="940" w:right="626" w:hanging="364"/>
        <w:spacing w:after="0" w:line="245" w:lineRule="auto"/>
        <w:tabs>
          <w:tab w:leader="none" w:pos="940" w:val="left"/>
        </w:tabs>
        <w:numPr>
          <w:ilvl w:val="0"/>
          <w:numId w:val="13"/>
        </w:numPr>
        <w:rPr>
          <w:rFonts w:ascii="Arial" w:cs="Arial" w:eastAsia="Arial" w:hAnsi="Arial"/>
          <w:sz w:val="20"/>
          <w:szCs w:val="20"/>
          <w:color w:val="FFFFFF"/>
        </w:rPr>
      </w:pPr>
      <w:r>
        <w:rPr>
          <w:rFonts w:ascii="Times New Roman" w:cs="Times New Roman" w:eastAsia="Times New Roman" w:hAnsi="Times New Roman"/>
          <w:sz w:val="20"/>
          <w:szCs w:val="20"/>
          <w:color w:val="FFFFFF"/>
        </w:rPr>
        <w:t>WHO travel advice for international travel and trade in relation to the outbreak of pneumonia caused by a new coronavirus in China:</w:t>
      </w:r>
    </w:p>
    <w:p>
      <w:pPr>
        <w:spacing w:after="0" w:line="29" w:lineRule="exact"/>
        <w:rPr>
          <w:rFonts w:ascii="Arial" w:cs="Arial" w:eastAsia="Arial" w:hAnsi="Arial"/>
          <w:sz w:val="20"/>
          <w:szCs w:val="20"/>
          <w:color w:val="FFFFFF"/>
        </w:rPr>
      </w:pPr>
    </w:p>
    <w:p>
      <w:pPr>
        <w:ind w:left="940" w:hanging="364"/>
        <w:spacing w:after="0"/>
        <w:tabs>
          <w:tab w:leader="none" w:pos="940" w:val="left"/>
        </w:tabs>
        <w:numPr>
          <w:ilvl w:val="0"/>
          <w:numId w:val="13"/>
        </w:numPr>
        <w:rPr>
          <w:rFonts w:ascii="Times New Roman" w:cs="Times New Roman" w:eastAsia="Times New Roman" w:hAnsi="Times New Roman"/>
          <w:sz w:val="20"/>
          <w:szCs w:val="20"/>
          <w:color w:val="FFFFFF"/>
        </w:rPr>
      </w:pPr>
      <w:hyperlink r:id="rId14">
        <w:r>
          <w:rPr>
            <w:rFonts w:ascii="Times New Roman" w:cs="Times New Roman" w:eastAsia="Times New Roman" w:hAnsi="Times New Roman"/>
            <w:sz w:val="20"/>
            <w:szCs w:val="20"/>
            <w:color w:val="FFFFFF"/>
          </w:rPr>
          <w:t>https://www.who.int/ith/2020-</w:t>
        </w:r>
      </w:hyperlink>
    </w:p>
    <w:p>
      <w:pPr>
        <w:spacing w:after="0" w:line="28" w:lineRule="exact"/>
        <w:rPr>
          <w:rFonts w:ascii="Times New Roman" w:cs="Times New Roman" w:eastAsia="Times New Roman" w:hAnsi="Times New Roman"/>
          <w:sz w:val="20"/>
          <w:szCs w:val="20"/>
          <w:color w:val="FFFFFF"/>
        </w:rPr>
      </w:pPr>
    </w:p>
    <w:p>
      <w:pPr>
        <w:ind w:left="940" w:right="126"/>
        <w:spacing w:after="0" w:line="253" w:lineRule="auto"/>
        <w:rPr>
          <w:rFonts w:ascii="Times New Roman" w:cs="Times New Roman" w:eastAsia="Times New Roman" w:hAnsi="Times New Roman"/>
          <w:sz w:val="20"/>
          <w:szCs w:val="20"/>
          <w:color w:val="FFFFFF"/>
        </w:rPr>
      </w:pPr>
      <w:hyperlink r:id="rId14">
        <w:r>
          <w:rPr>
            <w:rFonts w:ascii="Times New Roman" w:cs="Times New Roman" w:eastAsia="Times New Roman" w:hAnsi="Times New Roman"/>
            <w:sz w:val="20"/>
            <w:szCs w:val="20"/>
            <w:color w:val="FFFFFF"/>
          </w:rPr>
          <w:t>0901_outbreak_of_Pneumonia_caused_by_a_new_coronavirus_in_</w:t>
        </w:r>
      </w:hyperlink>
      <w:r>
        <w:rPr>
          <w:rFonts w:ascii="Times New Roman" w:cs="Times New Roman" w:eastAsia="Times New Roman" w:hAnsi="Times New Roman"/>
          <w:sz w:val="20"/>
          <w:szCs w:val="20"/>
          <w:color w:val="FFFFFF"/>
        </w:rPr>
        <w:t xml:space="preserve">C/en/Press statement by KCDC (in Korean): </w:t>
      </w:r>
      <w:hyperlink r:id="rId15">
        <w:r>
          <w:rPr>
            <w:rFonts w:ascii="Times New Roman" w:cs="Times New Roman" w:eastAsia="Times New Roman" w:hAnsi="Times New Roman"/>
            <w:sz w:val="20"/>
            <w:szCs w:val="20"/>
            <w:color w:val="FFFFFF"/>
          </w:rPr>
          <w:t>https://www.cdc.go.kr/board/board.es?mid=a20501000000&amp;bid=0015&amp;list_no=365794&amp;act=view</w:t>
        </w:r>
      </w:hyperlink>
    </w:p>
    <w:p>
      <w:pPr>
        <w:spacing w:after="0" w:line="5" w:lineRule="exact"/>
        <w:rPr>
          <w:rFonts w:ascii="Times New Roman" w:cs="Times New Roman" w:eastAsia="Times New Roman" w:hAnsi="Times New Roman"/>
          <w:sz w:val="20"/>
          <w:szCs w:val="20"/>
          <w:color w:val="FFFFFF"/>
        </w:rPr>
      </w:pPr>
    </w:p>
    <w:p>
      <w:pPr>
        <w:ind w:left="940"/>
        <w:spacing w:after="0"/>
        <w:rPr>
          <w:rFonts w:ascii="Times New Roman" w:cs="Times New Roman" w:eastAsia="Times New Roman" w:hAnsi="Times New Roman"/>
          <w:sz w:val="20"/>
          <w:szCs w:val="20"/>
          <w:color w:val="FFFFFF"/>
        </w:rPr>
      </w:pPr>
      <w:hyperlink r:id="rId15">
        <w:r>
          <w:rPr>
            <w:rFonts w:ascii="Times New Roman" w:cs="Times New Roman" w:eastAsia="Times New Roman" w:hAnsi="Times New Roman"/>
            <w:sz w:val="20"/>
            <w:szCs w:val="20"/>
            <w:color w:val="FFFFFF"/>
          </w:rPr>
          <w:t>#</w:t>
        </w:r>
      </w:hyperlink>
    </w:p>
    <w:p>
      <w:pPr>
        <w:spacing w:after="0" w:line="44" w:lineRule="exact"/>
        <w:rPr>
          <w:rFonts w:ascii="Times New Roman" w:cs="Times New Roman" w:eastAsia="Times New Roman" w:hAnsi="Times New Roman"/>
          <w:sz w:val="20"/>
          <w:szCs w:val="20"/>
          <w:color w:val="FFFFFF"/>
        </w:rPr>
      </w:pPr>
    </w:p>
    <w:p>
      <w:pPr>
        <w:ind w:left="940" w:right="146" w:hanging="364"/>
        <w:spacing w:after="0" w:line="271" w:lineRule="auto"/>
        <w:tabs>
          <w:tab w:leader="none" w:pos="940" w:val="left"/>
        </w:tabs>
        <w:numPr>
          <w:ilvl w:val="0"/>
          <w:numId w:val="13"/>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Second Press statement by KCDC (in Korean): </w:t>
      </w:r>
      <w:hyperlink r:id="rId16">
        <w:r>
          <w:rPr>
            <w:rFonts w:ascii="Times New Roman" w:cs="Times New Roman" w:eastAsia="Times New Roman" w:hAnsi="Times New Roman"/>
            <w:sz w:val="19"/>
            <w:szCs w:val="19"/>
            <w:color w:val="FFFFFF"/>
          </w:rPr>
          <w:t>https://www.cdc.go.kr/board/board.es?mid=a20501000000&amp;bid=0015&amp;list_no=365805&amp;act=view</w:t>
        </w:r>
      </w:hyperlink>
    </w:p>
    <w:p>
      <w:pPr>
        <w:ind w:left="940"/>
        <w:spacing w:after="0"/>
        <w:rPr>
          <w:rFonts w:ascii="Times New Roman" w:cs="Times New Roman" w:eastAsia="Times New Roman" w:hAnsi="Times New Roman"/>
          <w:sz w:val="20"/>
          <w:szCs w:val="20"/>
          <w:color w:val="FFFFFF"/>
        </w:rPr>
      </w:pPr>
      <w:hyperlink r:id="rId16">
        <w:r>
          <w:rPr>
            <w:rFonts w:ascii="Times New Roman" w:cs="Times New Roman" w:eastAsia="Times New Roman" w:hAnsi="Times New Roman"/>
            <w:sz w:val="20"/>
            <w:szCs w:val="20"/>
            <w:color w:val="FFFFFF"/>
          </w:rPr>
          <w:t>#</w:t>
        </w:r>
      </w:hyperlink>
    </w:p>
    <w:p>
      <w:pPr>
        <w:spacing w:after="0" w:line="42" w:lineRule="exact"/>
        <w:rPr>
          <w:rFonts w:ascii="Times New Roman" w:cs="Times New Roman" w:eastAsia="Times New Roman" w:hAnsi="Times New Roman"/>
          <w:sz w:val="20"/>
          <w:szCs w:val="20"/>
          <w:color w:val="FFFFFF"/>
        </w:rPr>
      </w:pPr>
    </w:p>
    <w:p>
      <w:pPr>
        <w:ind w:left="940" w:right="886" w:hanging="364"/>
        <w:spacing w:after="0" w:line="245" w:lineRule="auto"/>
        <w:tabs>
          <w:tab w:leader="none" w:pos="940" w:val="left"/>
        </w:tabs>
        <w:numPr>
          <w:ilvl w:val="0"/>
          <w:numId w:val="13"/>
        </w:numPr>
        <w:rPr>
          <w:rFonts w:ascii="Arial" w:cs="Arial" w:eastAsia="Arial" w:hAnsi="Arial"/>
          <w:sz w:val="20"/>
          <w:szCs w:val="20"/>
          <w:color w:val="FFFFFF"/>
        </w:rPr>
      </w:pPr>
      <w:r>
        <w:rPr>
          <w:rFonts w:ascii="Times New Roman" w:cs="Times New Roman" w:eastAsia="Times New Roman" w:hAnsi="Times New Roman"/>
          <w:sz w:val="20"/>
          <w:szCs w:val="20"/>
          <w:color w:val="FFFFFF"/>
        </w:rPr>
        <w:t>Wuhan Municipal Health Commission's briefing on the pneumonia epidemic situation, (in Chinese):</w:t>
      </w:r>
    </w:p>
    <w:p>
      <w:pPr>
        <w:spacing w:after="0" w:line="15" w:lineRule="exact"/>
        <w:rPr>
          <w:rFonts w:ascii="Arial" w:cs="Arial" w:eastAsia="Arial" w:hAnsi="Arial"/>
          <w:sz w:val="20"/>
          <w:szCs w:val="20"/>
          <w:color w:val="FFFFFF"/>
        </w:rPr>
      </w:pPr>
    </w:p>
    <w:p>
      <w:pPr>
        <w:ind w:left="940"/>
        <w:spacing w:after="0"/>
        <w:rPr>
          <w:rFonts w:ascii="Times New Roman" w:cs="Times New Roman" w:eastAsia="Times New Roman" w:hAnsi="Times New Roman"/>
          <w:sz w:val="20"/>
          <w:szCs w:val="20"/>
          <w:color w:val="FFFFFF"/>
        </w:rPr>
      </w:pPr>
      <w:hyperlink r:id="rId17">
        <w:r>
          <w:rPr>
            <w:rFonts w:ascii="Times New Roman" w:cs="Times New Roman" w:eastAsia="Times New Roman" w:hAnsi="Times New Roman"/>
            <w:sz w:val="20"/>
            <w:szCs w:val="20"/>
            <w:color w:val="FFFFFF"/>
          </w:rPr>
          <w:t>http://wjw.wuhan.gov.cn/front/web/list2nd/no/710</w:t>
        </w:r>
      </w:hyperlink>
    </w:p>
    <w:p>
      <w:pPr>
        <w:spacing w:after="0" w:line="42" w:lineRule="exact"/>
        <w:rPr>
          <w:rFonts w:ascii="Times New Roman" w:cs="Times New Roman" w:eastAsia="Times New Roman" w:hAnsi="Times New Roman"/>
          <w:sz w:val="20"/>
          <w:szCs w:val="20"/>
          <w:color w:val="FFFFFF"/>
        </w:rPr>
      </w:pPr>
    </w:p>
    <w:p>
      <w:pPr>
        <w:ind w:left="940" w:right="4586" w:hanging="364"/>
        <w:spacing w:after="0" w:line="267" w:lineRule="auto"/>
        <w:tabs>
          <w:tab w:leader="none" w:pos="940" w:val="left"/>
        </w:tabs>
        <w:numPr>
          <w:ilvl w:val="0"/>
          <w:numId w:val="13"/>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Disease outbreak news, Novel Coronavirus: </w:t>
      </w:r>
      <w:hyperlink r:id="rId18">
        <w:r>
          <w:rPr>
            <w:rFonts w:ascii="Times New Roman" w:cs="Times New Roman" w:eastAsia="Times New Roman" w:hAnsi="Times New Roman"/>
            <w:sz w:val="19"/>
            <w:szCs w:val="19"/>
            <w:color w:val="FFFFFF"/>
          </w:rPr>
          <w:t>https://www.who.int/csr/don/en/</w:t>
        </w:r>
      </w:hyperlink>
    </w:p>
    <w:p>
      <w:pPr>
        <w:spacing w:after="0" w:line="24" w:lineRule="exact"/>
        <w:rPr>
          <w:rFonts w:ascii="Times New Roman" w:cs="Times New Roman" w:eastAsia="Times New Roman" w:hAnsi="Times New Roman"/>
          <w:sz w:val="19"/>
          <w:szCs w:val="19"/>
          <w:color w:val="FFFFFF"/>
        </w:rPr>
      </w:pPr>
    </w:p>
    <w:p>
      <w:pPr>
        <w:ind w:left="940" w:right="106" w:hanging="364"/>
        <w:spacing w:after="0" w:line="246" w:lineRule="auto"/>
        <w:tabs>
          <w:tab w:leader="none" w:pos="940" w:val="left"/>
        </w:tabs>
        <w:numPr>
          <w:ilvl w:val="0"/>
          <w:numId w:val="13"/>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Thailand Ministry of Public Health situation update on novel coronavirus (in Thai): </w:t>
      </w:r>
      <w:hyperlink r:id="rId19">
        <w:r>
          <w:rPr>
            <w:rFonts w:ascii="Times New Roman" w:cs="Times New Roman" w:eastAsia="Times New Roman" w:hAnsi="Times New Roman"/>
            <w:sz w:val="20"/>
            <w:szCs w:val="20"/>
            <w:color w:val="FFFFFF"/>
          </w:rPr>
          <w:t>https://ddc.moph.go.th/viralpneumonia/index.html</w:t>
        </w:r>
      </w:hyperlink>
    </w:p>
    <w:p>
      <w:pPr>
        <w:spacing w:after="0" w:line="39" w:lineRule="exact"/>
        <w:rPr>
          <w:rFonts w:ascii="Times New Roman" w:cs="Times New Roman" w:eastAsia="Times New Roman" w:hAnsi="Times New Roman"/>
          <w:sz w:val="20"/>
          <w:szCs w:val="20"/>
          <w:color w:val="FFFFFF"/>
        </w:rPr>
      </w:pPr>
    </w:p>
    <w:p>
      <w:pPr>
        <w:ind w:left="940" w:right="106" w:hanging="364"/>
        <w:spacing w:after="0" w:line="245" w:lineRule="auto"/>
        <w:tabs>
          <w:tab w:leader="none" w:pos="940" w:val="left"/>
        </w:tabs>
        <w:numPr>
          <w:ilvl w:val="0"/>
          <w:numId w:val="13"/>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Press statement by Ministry of Health, Labour and Welfare, Japan on 16 January 2020 (in Japanese): </w:t>
      </w:r>
      <w:hyperlink r:id="rId20">
        <w:r>
          <w:rPr>
            <w:rFonts w:ascii="Times New Roman" w:cs="Times New Roman" w:eastAsia="Times New Roman" w:hAnsi="Times New Roman"/>
            <w:sz w:val="20"/>
            <w:szCs w:val="20"/>
            <w:color w:val="FFFFFF"/>
          </w:rPr>
          <w:t>https://www.mhlw.go.jp/stf/newpage_08906.html</w:t>
        </w:r>
      </w:hyperlink>
    </w:p>
    <w:p>
      <w:pPr>
        <w:spacing w:after="0" w:line="40" w:lineRule="exact"/>
        <w:rPr>
          <w:rFonts w:ascii="Times New Roman" w:cs="Times New Roman" w:eastAsia="Times New Roman" w:hAnsi="Times New Roman"/>
          <w:sz w:val="20"/>
          <w:szCs w:val="20"/>
          <w:color w:val="FFFFFF"/>
        </w:rPr>
      </w:pPr>
    </w:p>
    <w:p>
      <w:pPr>
        <w:ind w:left="940" w:right="126" w:hanging="364"/>
        <w:spacing w:after="0" w:line="244" w:lineRule="auto"/>
        <w:tabs>
          <w:tab w:leader="none" w:pos="940" w:val="left"/>
        </w:tabs>
        <w:numPr>
          <w:ilvl w:val="0"/>
          <w:numId w:val="13"/>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Press statement by Ministry of Health, Labour and Welfare, Japan on 6 January 2020 (in Japanese): </w:t>
      </w:r>
      <w:hyperlink r:id="rId21">
        <w:r>
          <w:rPr>
            <w:rFonts w:ascii="Times New Roman" w:cs="Times New Roman" w:eastAsia="Times New Roman" w:hAnsi="Times New Roman"/>
            <w:sz w:val="20"/>
            <w:szCs w:val="20"/>
            <w:color w:val="FFFFFF"/>
          </w:rPr>
          <w:t>https://www.mhlw.go.jp/stf/newpage_08767.html</w:t>
        </w:r>
      </w:hyperlink>
    </w:p>
    <w:p>
      <w:pPr>
        <w:spacing w:after="0" w:line="23" w:lineRule="exact"/>
        <w:rPr>
          <w:rFonts w:ascii="Times New Roman" w:cs="Times New Roman" w:eastAsia="Times New Roman" w:hAnsi="Times New Roman"/>
          <w:sz w:val="20"/>
          <w:szCs w:val="20"/>
          <w:color w:val="FFFFFF"/>
        </w:rPr>
      </w:pPr>
    </w:p>
    <w:p>
      <w:pPr>
        <w:ind w:left="940" w:right="106" w:hanging="364"/>
        <w:spacing w:after="0" w:line="245" w:lineRule="auto"/>
        <w:tabs>
          <w:tab w:leader="none" w:pos="940" w:val="left"/>
        </w:tabs>
        <w:numPr>
          <w:ilvl w:val="0"/>
          <w:numId w:val="13"/>
        </w:numPr>
        <w:rPr>
          <w:rFonts w:ascii="Arial" w:cs="Arial" w:eastAsia="Arial" w:hAnsi="Arial"/>
          <w:sz w:val="20"/>
          <w:szCs w:val="20"/>
          <w:color w:val="FFFFFF"/>
        </w:rPr>
      </w:pPr>
      <w:r>
        <w:rPr>
          <w:rFonts w:ascii="Times New Roman" w:cs="Times New Roman" w:eastAsia="Times New Roman" w:hAnsi="Times New Roman"/>
          <w:sz w:val="20"/>
          <w:szCs w:val="20"/>
          <w:color w:val="FFFFFF"/>
        </w:rPr>
        <w:t>Notice sent out from Health and Food Safety Planning Division, Quarantine Station Operation Management Office (in Japanese):</w:t>
      </w:r>
    </w:p>
    <w:p>
      <w:pPr>
        <w:spacing w:after="0" w:line="16" w:lineRule="exact"/>
        <w:rPr>
          <w:rFonts w:ascii="Arial" w:cs="Arial" w:eastAsia="Arial" w:hAnsi="Arial"/>
          <w:sz w:val="20"/>
          <w:szCs w:val="20"/>
          <w:color w:val="FFFFFF"/>
        </w:rPr>
      </w:pPr>
    </w:p>
    <w:p>
      <w:pPr>
        <w:ind w:left="940"/>
        <w:spacing w:after="0"/>
        <w:rPr>
          <w:rFonts w:ascii="Times New Roman" w:cs="Times New Roman" w:eastAsia="Times New Roman" w:hAnsi="Times New Roman"/>
          <w:sz w:val="20"/>
          <w:szCs w:val="20"/>
          <w:color w:val="FFFFFF"/>
        </w:rPr>
      </w:pPr>
      <w:hyperlink r:id="rId22">
        <w:r>
          <w:rPr>
            <w:rFonts w:ascii="Times New Roman" w:cs="Times New Roman" w:eastAsia="Times New Roman" w:hAnsi="Times New Roman"/>
            <w:sz w:val="20"/>
            <w:szCs w:val="20"/>
            <w:color w:val="FFFFFF"/>
          </w:rPr>
          <w:t>https://www.mhlw.go.jp/content/10900000/000582967.pdf</w:t>
        </w:r>
      </w:hyperlink>
    </w:p>
    <w:p>
      <w:pPr>
        <w:spacing w:after="0" w:line="28" w:lineRule="exact"/>
        <w:rPr>
          <w:rFonts w:ascii="Arial" w:cs="Arial" w:eastAsia="Arial" w:hAnsi="Arial"/>
          <w:sz w:val="20"/>
          <w:szCs w:val="20"/>
          <w:color w:val="FFFFFF"/>
        </w:rPr>
      </w:pPr>
    </w:p>
    <w:p>
      <w:pPr>
        <w:ind w:left="940" w:right="2706" w:hanging="364"/>
        <w:spacing w:after="0" w:line="180" w:lineRule="auto"/>
        <w:tabs>
          <w:tab w:leader="none" w:pos="940" w:val="left"/>
        </w:tabs>
        <w:numPr>
          <w:ilvl w:val="0"/>
          <w:numId w:val="14"/>
        </w:numPr>
        <w:rPr>
          <w:rFonts w:ascii="Times New Roman" w:cs="Times New Roman" w:eastAsia="Times New Roman" w:hAnsi="Times New Roman"/>
          <w:sz w:val="18"/>
          <w:szCs w:val="18"/>
          <w:color w:val="FFFFFF"/>
        </w:rPr>
      </w:pPr>
      <w:r>
        <w:rPr>
          <w:rFonts w:ascii="Times New Roman" w:cs="Times New Roman" w:eastAsia="Times New Roman" w:hAnsi="Times New Roman"/>
          <w:sz w:val="18"/>
          <w:szCs w:val="18"/>
          <w:color w:val="FFFFFF"/>
        </w:rPr>
        <w:t xml:space="preserve">Situation report by WHO on Novel Coronavirus (2019-nCoV) </w:t>
      </w:r>
      <w:hyperlink r:id="rId23">
        <w:r>
          <w:rPr>
            <w:rFonts w:ascii="Times New Roman" w:cs="Times New Roman" w:eastAsia="Times New Roman" w:hAnsi="Times New Roman"/>
            <w:sz w:val="18"/>
            <w:szCs w:val="18"/>
            <w:color w:val="FFFFFF"/>
          </w:rPr>
          <w:t>https://www.who.int/emergencies/diseases/novel-coronavirus-2019</w:t>
        </w:r>
      </w:hyperlink>
    </w:p>
    <w:p>
      <w:pPr>
        <w:spacing w:after="0" w:line="65" w:lineRule="exact"/>
        <w:rPr>
          <w:rFonts w:ascii="Arial" w:cs="Arial" w:eastAsia="Arial" w:hAnsi="Arial"/>
          <w:sz w:val="20"/>
          <w:szCs w:val="20"/>
          <w:color w:val="FFFFFF"/>
        </w:rPr>
      </w:pPr>
    </w:p>
    <w:p>
      <w:pPr>
        <w:ind w:left="940" w:right="2446" w:hanging="364"/>
        <w:spacing w:after="0" w:line="249" w:lineRule="auto"/>
        <w:tabs>
          <w:tab w:leader="none" w:pos="940" w:val="left"/>
        </w:tabs>
        <w:numPr>
          <w:ilvl w:val="0"/>
          <w:numId w:val="15"/>
        </w:numPr>
        <w:rPr>
          <w:rFonts w:ascii="Times New Roman" w:cs="Times New Roman" w:eastAsia="Times New Roman" w:hAnsi="Times New Roman"/>
          <w:sz w:val="19"/>
          <w:szCs w:val="19"/>
          <w:color w:val="FFFFFF"/>
        </w:rPr>
      </w:pPr>
      <w:r>
        <w:rPr>
          <w:rFonts w:ascii="Times New Roman" w:cs="Times New Roman" w:eastAsia="Times New Roman" w:hAnsi="Times New Roman"/>
          <w:sz w:val="19"/>
          <w:szCs w:val="19"/>
          <w:color w:val="FFFFFF"/>
        </w:rPr>
        <w:t xml:space="preserve">Hong Kong SAR Department of Health, Press Release </w:t>
      </w:r>
      <w:hyperlink r:id="rId24">
        <w:r>
          <w:rPr>
            <w:rFonts w:ascii="Times New Roman" w:cs="Times New Roman" w:eastAsia="Times New Roman" w:hAnsi="Times New Roman"/>
            <w:sz w:val="19"/>
            <w:szCs w:val="19"/>
            <w:color w:val="FFFFFF"/>
          </w:rPr>
          <w:t>https://www.info.gov.hk/gia/general/202001/23/P2020012300970.htm</w:t>
        </w:r>
      </w:hyperlink>
    </w:p>
    <w:p>
      <w:pPr>
        <w:spacing w:after="0" w:line="245" w:lineRule="exact"/>
        <w:rPr>
          <w:rFonts w:ascii="Arial" w:cs="Arial" w:eastAsia="Arial" w:hAnsi="Arial"/>
          <w:sz w:val="20"/>
          <w:szCs w:val="20"/>
          <w:color w:val="FFFFFF"/>
        </w:rPr>
      </w:pPr>
    </w:p>
    <w:p>
      <w:pPr>
        <w:jc w:val="right"/>
        <w:ind w:right="6"/>
        <w:spacing w:after="0"/>
        <w:rPr>
          <w:sz w:val="20"/>
          <w:szCs w:val="20"/>
          <w:color w:val="auto"/>
        </w:rPr>
      </w:pPr>
      <w:r>
        <w:rPr>
          <w:rFonts w:ascii="Calibri" w:cs="Calibri" w:eastAsia="Calibri" w:hAnsi="Calibri"/>
          <w:sz w:val="24"/>
          <w:szCs w:val="24"/>
          <w:color w:val="auto"/>
        </w:rPr>
        <w:t>6</w:t>
      </w:r>
    </w:p>
    <w:p>
      <w:pPr>
        <w:sectPr>
          <w:pgSz w:w="11900" w:h="16838" w:orient="portrait"/>
          <w:cols w:equalWidth="0" w:num="1">
            <w:col w:w="9026"/>
          </w:cols>
          <w:pgMar w:left="1440" w:top="1440" w:right="1440" w:bottom="415" w:gutter="0" w:footer="0" w:header="0"/>
        </w:sectPr>
      </w:pPr>
    </w:p>
    <w:bookmarkStart w:id="6" w:name="page7"/>
    <w:bookmarkEnd w:id="6"/>
    <w:p>
      <w:pPr>
        <w:spacing w:after="0" w:line="24"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982980</wp:posOffset>
            </wp:positionH>
            <wp:positionV relativeFrom="page">
              <wp:posOffset>914400</wp:posOffset>
            </wp:positionV>
            <wp:extent cx="5664200" cy="234124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a:extLst>
                        <a:ext uri="{28A0092B-C50C-407E-A947-70E740481C1C}"/>
                      </a:extLst>
                    </a:blip>
                    <a:srcRect/>
                    <a:stretch>
                      <a:fillRect/>
                    </a:stretch>
                  </pic:blipFill>
                  <pic:spPr bwMode="auto">
                    <a:xfrm>
                      <a:off x="0" y="0"/>
                      <a:ext cx="5664200" cy="2341245"/>
                    </a:xfrm>
                    <a:prstGeom prst="rect">
                      <a:avLst/>
                    </a:prstGeom>
                    <a:noFill/>
                  </pic:spPr>
                </pic:pic>
              </a:graphicData>
            </a:graphic>
          </wp:anchor>
        </w:drawing>
      </w:r>
    </w:p>
    <w:p>
      <w:pPr>
        <w:ind w:left="940" w:right="2086" w:hanging="364"/>
        <w:spacing w:after="0" w:line="246" w:lineRule="auto"/>
        <w:tabs>
          <w:tab w:leader="none" w:pos="940" w:val="left"/>
        </w:tabs>
        <w:numPr>
          <w:ilvl w:val="0"/>
          <w:numId w:val="16"/>
        </w:numPr>
        <w:rPr>
          <w:rFonts w:ascii="Times New Roman" w:cs="Times New Roman" w:eastAsia="Times New Roman" w:hAnsi="Times New Roman"/>
          <w:sz w:val="20"/>
          <w:szCs w:val="20"/>
          <w:color w:val="FFFFFF"/>
        </w:rPr>
      </w:pPr>
      <w:r>
        <w:rPr>
          <w:rFonts w:ascii="Times New Roman" w:cs="Times New Roman" w:eastAsia="Times New Roman" w:hAnsi="Times New Roman"/>
          <w:sz w:val="20"/>
          <w:szCs w:val="20"/>
          <w:color w:val="FFFFFF"/>
        </w:rPr>
        <w:t xml:space="preserve">Epidemic Prevention Measures, Macau SAR Health Bureau </w:t>
      </w:r>
      <w:hyperlink r:id="rId26">
        <w:r>
          <w:rPr>
            <w:rFonts w:ascii="Times New Roman" w:cs="Times New Roman" w:eastAsia="Times New Roman" w:hAnsi="Times New Roman"/>
            <w:sz w:val="20"/>
            <w:szCs w:val="20"/>
            <w:color w:val="FFFFFF"/>
          </w:rPr>
          <w:t>https://www.ssm.gov.mo/apps1/PreventWuhanInfection/ch.aspx#clg17048</w:t>
        </w:r>
      </w:hyperlink>
    </w:p>
    <w:p>
      <w:pPr>
        <w:spacing w:after="0" w:line="39" w:lineRule="exact"/>
        <w:rPr>
          <w:rFonts w:ascii="Times New Roman" w:cs="Times New Roman" w:eastAsia="Times New Roman" w:hAnsi="Times New Roman"/>
          <w:sz w:val="20"/>
          <w:szCs w:val="20"/>
          <w:color w:val="FFFFFF"/>
        </w:rPr>
      </w:pPr>
    </w:p>
    <w:p>
      <w:pPr>
        <w:ind w:left="940" w:right="126" w:hanging="364"/>
        <w:spacing w:after="0" w:line="250" w:lineRule="auto"/>
        <w:tabs>
          <w:tab w:leader="none" w:pos="940" w:val="left"/>
        </w:tabs>
        <w:numPr>
          <w:ilvl w:val="0"/>
          <w:numId w:val="16"/>
        </w:numPr>
        <w:rPr>
          <w:rFonts w:ascii="Calibri" w:cs="Calibri" w:eastAsia="Calibri" w:hAnsi="Calibri"/>
          <w:sz w:val="20"/>
          <w:szCs w:val="20"/>
          <w:color w:val="FFFFFF"/>
        </w:rPr>
      </w:pPr>
      <w:r>
        <w:rPr>
          <w:rFonts w:ascii="Calibri" w:cs="Calibri" w:eastAsia="Calibri" w:hAnsi="Calibri"/>
          <w:sz w:val="20"/>
          <w:szCs w:val="20"/>
          <w:color w:val="FFFFFF"/>
        </w:rPr>
        <w:t>Press release on 23 January 2020</w:t>
      </w:r>
      <w:r>
        <w:rPr>
          <w:rFonts w:ascii="Times New Roman" w:cs="Times New Roman" w:eastAsia="Times New Roman" w:hAnsi="Times New Roman"/>
          <w:sz w:val="20"/>
          <w:szCs w:val="20"/>
          <w:color w:val="FFFFFF"/>
        </w:rPr>
        <w:t>, Ministry of Health Singapore.</w:t>
      </w:r>
      <w:r>
        <w:rPr>
          <w:rFonts w:ascii="Calibri" w:cs="Calibri" w:eastAsia="Calibri" w:hAnsi="Calibri"/>
          <w:sz w:val="20"/>
          <w:szCs w:val="20"/>
          <w:color w:val="FFFFFF"/>
        </w:rPr>
        <w:t xml:space="preserve"> </w:t>
      </w:r>
      <w:hyperlink r:id="rId27">
        <w:r>
          <w:rPr>
            <w:rFonts w:ascii="Calibri" w:cs="Calibri" w:eastAsia="Calibri" w:hAnsi="Calibri"/>
            <w:sz w:val="20"/>
            <w:szCs w:val="20"/>
            <w:color w:val="FFFFFF"/>
          </w:rPr>
          <w:t>https://www.moh.gov.sg/news-highlights/details/confirmed-imported-case-of-novel-coronavirus-</w:t>
        </w:r>
      </w:hyperlink>
      <w:hyperlink r:id="rId27">
        <w:r>
          <w:rPr>
            <w:rFonts w:ascii="Calibri" w:cs="Calibri" w:eastAsia="Calibri" w:hAnsi="Calibri"/>
            <w:sz w:val="20"/>
            <w:szCs w:val="20"/>
            <w:color w:val="FFFFFF"/>
          </w:rPr>
          <w:t>infection-in-singapore-multi-ministry-taskforce-ramps-up-precautionary-measures</w:t>
        </w:r>
      </w:hyperlink>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00" w:lineRule="exact"/>
        <w:rPr>
          <w:rFonts w:ascii="Arial" w:cs="Arial" w:eastAsia="Arial" w:hAnsi="Arial"/>
          <w:sz w:val="20"/>
          <w:szCs w:val="20"/>
          <w:color w:val="FFFFFF"/>
        </w:rPr>
      </w:pPr>
    </w:p>
    <w:p>
      <w:pPr>
        <w:spacing w:after="0" w:line="227" w:lineRule="exact"/>
        <w:rPr>
          <w:rFonts w:ascii="Arial" w:cs="Arial" w:eastAsia="Arial" w:hAnsi="Arial"/>
          <w:sz w:val="20"/>
          <w:szCs w:val="20"/>
          <w:color w:val="FFFFFF"/>
        </w:rPr>
      </w:pPr>
    </w:p>
    <w:p>
      <w:pPr>
        <w:jc w:val="right"/>
        <w:ind w:right="6"/>
        <w:spacing w:after="0"/>
        <w:rPr>
          <w:sz w:val="20"/>
          <w:szCs w:val="20"/>
          <w:color w:val="auto"/>
        </w:rPr>
      </w:pPr>
      <w:r>
        <w:rPr>
          <w:rFonts w:ascii="Calibri" w:cs="Calibri" w:eastAsia="Calibri" w:hAnsi="Calibri"/>
          <w:sz w:val="24"/>
          <w:szCs w:val="24"/>
          <w:color w:val="auto"/>
        </w:rPr>
        <w:t>7</w:t>
      </w:r>
    </w:p>
    <w:sectPr>
      <w:pgSz w:w="11900" w:h="16838" w:orient="portrait"/>
      <w:cols w:equalWidth="0" w:num="1">
        <w:col w:w="9026"/>
      </w:cols>
      <w:pgMar w:left="1440" w:top="1440" w:right="1440" w:bottom="415"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515F007C"/>
    <w:multiLevelType w:val="hybridMultilevel"/>
    <w:lvl w:ilvl="0">
      <w:lvlJc w:val="left"/>
      <w:lvlText w:val="•"/>
      <w:numFmt w:val="bullet"/>
      <w:start w:val="1"/>
    </w:lvl>
  </w:abstractNum>
  <w:abstractNum w:abstractNumId="1">
    <w:nsid w:val="5BD062C2"/>
    <w:multiLevelType w:val="hybridMultilevel"/>
    <w:lvl w:ilvl="0">
      <w:lvlJc w:val="left"/>
      <w:lvlText w:val="%1"/>
      <w:numFmt w:val="decimal"/>
      <w:start w:val="1"/>
    </w:lvl>
  </w:abstractNum>
  <w:abstractNum w:abstractNumId="2">
    <w:nsid w:val="12200854"/>
    <w:multiLevelType w:val="hybridMultilevel"/>
    <w:lvl w:ilvl="0">
      <w:lvlJc w:val="left"/>
      <w:lvlText w:val="(%1)"/>
      <w:numFmt w:val="decimal"/>
      <w:start w:val="1"/>
    </w:lvl>
  </w:abstractNum>
  <w:abstractNum w:abstractNumId="3">
    <w:nsid w:val="4DB127F8"/>
    <w:multiLevelType w:val="hybridMultilevel"/>
    <w:lvl w:ilvl="0">
      <w:lvlJc w:val="left"/>
      <w:lvlText w:val="%1"/>
      <w:numFmt w:val="decimal"/>
      <w:start w:val="3"/>
    </w:lvl>
  </w:abstractNum>
  <w:abstractNum w:abstractNumId="4">
    <w:nsid w:val="216231B"/>
    <w:multiLevelType w:val="hybridMultilevel"/>
    <w:lvl w:ilvl="0">
      <w:lvlJc w:val="left"/>
      <w:lvlText w:val="%1"/>
      <w:numFmt w:val="decimal"/>
      <w:start w:val="4"/>
    </w:lvl>
  </w:abstractNum>
  <w:abstractNum w:abstractNumId="5">
    <w:nsid w:val="1F16E9E8"/>
    <w:multiLevelType w:val="hybridMultilevel"/>
    <w:lvl w:ilvl="0">
      <w:lvlJc w:val="left"/>
      <w:lvlText w:val="%1."/>
      <w:numFmt w:val="upperLetter"/>
      <w:start w:val="60"/>
    </w:lvl>
    <w:lvl w:ilvl="1">
      <w:lvlJc w:val="left"/>
      <w:lvlText w:val="•"/>
      <w:numFmt w:val="bullet"/>
      <w:start w:val="1"/>
    </w:lvl>
  </w:abstractNum>
  <w:abstractNum w:abstractNumId="6">
    <w:nsid w:val="1190CDE7"/>
    <w:multiLevelType w:val="hybridMultilevel"/>
    <w:lvl w:ilvl="0">
      <w:lvlJc w:val="left"/>
      <w:lvlText w:val="•"/>
      <w:numFmt w:val="bullet"/>
      <w:start w:val="1"/>
    </w:lvl>
  </w:abstractNum>
  <w:abstractNum w:abstractNumId="7">
    <w:nsid w:val="66EF438D"/>
    <w:multiLevelType w:val="hybridMultilevel"/>
    <w:lvl w:ilvl="0">
      <w:lvlJc w:val="left"/>
      <w:lvlText w:val="•"/>
      <w:numFmt w:val="bullet"/>
      <w:start w:val="1"/>
    </w:lvl>
  </w:abstractNum>
  <w:abstractNum w:abstractNumId="8">
    <w:nsid w:val="140E0F76"/>
    <w:multiLevelType w:val="hybridMultilevel"/>
    <w:lvl w:ilvl="0">
      <w:lvlJc w:val="left"/>
      <w:lvlText w:val="•"/>
      <w:numFmt w:val="bullet"/>
      <w:start w:val="1"/>
    </w:lvl>
  </w:abstractNum>
  <w:abstractNum w:abstractNumId="9">
    <w:nsid w:val="3352255A"/>
    <w:multiLevelType w:val="hybridMultilevel"/>
    <w:lvl w:ilvl="0">
      <w:lvlJc w:val="left"/>
      <w:lvlText w:val="•"/>
      <w:numFmt w:val="bullet"/>
      <w:start w:val="1"/>
    </w:lvl>
  </w:abstractNum>
  <w:abstractNum w:abstractNumId="10">
    <w:nsid w:val="109CF92E"/>
    <w:multiLevelType w:val="hybridMultilevel"/>
    <w:lvl w:ilvl="0">
      <w:lvlJc w:val="left"/>
      <w:lvlText w:val="•"/>
      <w:numFmt w:val="bullet"/>
      <w:start w:val="1"/>
    </w:lvl>
  </w:abstractNum>
  <w:abstractNum w:abstractNumId="11">
    <w:nsid w:val="DED7263"/>
    <w:multiLevelType w:val="hybridMultilevel"/>
    <w:lvl w:ilvl="0">
      <w:lvlJc w:val="left"/>
      <w:lvlText w:val="•"/>
      <w:numFmt w:val="bullet"/>
      <w:start w:val="1"/>
    </w:lvl>
  </w:abstractNum>
  <w:abstractNum w:abstractNumId="12">
    <w:nsid w:val="7FDCC233"/>
    <w:multiLevelType w:val="hybridMultilevel"/>
    <w:lvl w:ilvl="0">
      <w:lvlJc w:val="left"/>
      <w:lvlText w:val="•"/>
      <w:numFmt w:val="bullet"/>
      <w:start w:val="1"/>
    </w:lvl>
  </w:abstractNum>
  <w:abstractNum w:abstractNumId="13">
    <w:nsid w:val="1BEFD79F"/>
    <w:multiLevelType w:val="hybridMultilevel"/>
    <w:lvl w:ilvl="0">
      <w:lvlJc w:val="left"/>
      <w:lvlText w:val="▪"/>
      <w:numFmt w:val="bullet"/>
      <w:start w:val="1"/>
    </w:lvl>
  </w:abstractNum>
  <w:abstractNum w:abstractNumId="14">
    <w:nsid w:val="41A7C4C9"/>
    <w:multiLevelType w:val="hybridMultilevel"/>
    <w:lvl w:ilvl="0">
      <w:lvlJc w:val="left"/>
      <w:lvlText w:val="•"/>
      <w:numFmt w:val="bullet"/>
      <w:start w:val="1"/>
    </w:lvl>
  </w:abstractNum>
  <w:abstractNum w:abstractNumId="15">
    <w:nsid w:val="6B68079A"/>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10" Type="http://schemas.openxmlformats.org/officeDocument/2006/relationships/image" Target="media/image2.jpeg"/><Relationship Id="rId12" Type="http://schemas.openxmlformats.org/officeDocument/2006/relationships/image" Target="media/image3.png"/><Relationship Id="rId25" Type="http://schemas.openxmlformats.org/officeDocument/2006/relationships/image" Target="media/image4.png"/><Relationship Id="rId9" Type="http://schemas.openxmlformats.org/officeDocument/2006/relationships/hyperlink" Target="https://www.who.int/news-room/detail/23-01-2020-statement-on-the-meeting-of-the-international-health-regulations-(2005)-emergency-committee-regarding-the-outbreak-of-novel-coronavirus-(2019-ncov)" TargetMode="External"/><Relationship Id="rId11" Type="http://schemas.openxmlformats.org/officeDocument/2006/relationships/hyperlink" Target="https://www.who.int/ith/2020-24-01-outbreak-of-Pneumonia-caused-by-new-coronavirus/en/" TargetMode="External"/><Relationship Id="rId13" Type="http://schemas.openxmlformats.org/officeDocument/2006/relationships/hyperlink" Target="https://www.who.int/health-topics/coronavirus" TargetMode="External"/><Relationship Id="rId14" Type="http://schemas.openxmlformats.org/officeDocument/2006/relationships/hyperlink" Target="https://www.who.int/ith/2020-0901_outbreak_of_Pneumonia_caused_by_a_new_coronavirus_in_C/en/" TargetMode="External"/><Relationship Id="rId15" Type="http://schemas.openxmlformats.org/officeDocument/2006/relationships/hyperlink" Target="https://www.cdc.go.kr/board/board.es?mid=a20501000000&amp;bid=0015&amp;list_no=365794&amp;act=view" TargetMode="External"/><Relationship Id="rId16" Type="http://schemas.openxmlformats.org/officeDocument/2006/relationships/hyperlink" Target="https://www.cdc.go.kr/board/board.es?mid=a20501000000&amp;bid=0015&amp;list_no=365805&amp;act=view" TargetMode="External"/><Relationship Id="rId17" Type="http://schemas.openxmlformats.org/officeDocument/2006/relationships/hyperlink" Target="http://wjw.wuhan.gov.cn/front/web/list2nd/no/710" TargetMode="External"/><Relationship Id="rId18" Type="http://schemas.openxmlformats.org/officeDocument/2006/relationships/hyperlink" Target="https://www.who.int/csr/don/en/" TargetMode="External"/><Relationship Id="rId19" Type="http://schemas.openxmlformats.org/officeDocument/2006/relationships/hyperlink" Target="https://ddc.moph.go.th/viralpneumonia/index.html" TargetMode="External"/><Relationship Id="rId20" Type="http://schemas.openxmlformats.org/officeDocument/2006/relationships/hyperlink" Target="https://www.mhlw.go.jp/stf/newpage_08906.html" TargetMode="External"/><Relationship Id="rId21" Type="http://schemas.openxmlformats.org/officeDocument/2006/relationships/hyperlink" Target="https://www.mhlw.go.jp/stf/newpage_08767.html" TargetMode="External"/><Relationship Id="rId22" Type="http://schemas.openxmlformats.org/officeDocument/2006/relationships/hyperlink" Target="https://www.mhlw.go.jp/content/10900000/000582967.pdf" TargetMode="External"/><Relationship Id="rId23" Type="http://schemas.openxmlformats.org/officeDocument/2006/relationships/hyperlink" Target="https://www.who.int/emergencies/diseases/novel-coronavirus-2019" TargetMode="External"/><Relationship Id="rId24" Type="http://schemas.openxmlformats.org/officeDocument/2006/relationships/hyperlink" Target="https://www.info.gov.hk/gia/general/202001/23/P2020012300970.htm" TargetMode="External"/><Relationship Id="rId26" Type="http://schemas.openxmlformats.org/officeDocument/2006/relationships/hyperlink" Target="https://www.ssm.gov.mo/apps1/PreventWuhanInfection/ch.aspx#clg17048" TargetMode="External"/><Relationship Id="rId27" Type="http://schemas.openxmlformats.org/officeDocument/2006/relationships/hyperlink" Target="https://www.moh.gov.sg/news-highlights/details/confirmed-imported-case-of-novel-coronavirus-infection-in-singapore-multi-ministry-taskforce-ramps-up-precautionary-measure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2020-03-10T16:41:41Z</dcterms:created>
  <dcterms:modified xsi:type="dcterms:W3CDTF">2020-03-10T16:41:41Z</dcterms:modified>
</cp:coreProperties>
</file>