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900"/>
        <w:spacing w:after="0"/>
        <w:rPr>
          <w:sz w:val="20"/>
          <w:szCs w:val="20"/>
          <w:color w:val="auto"/>
        </w:rPr>
      </w:pPr>
      <w:r>
        <w:rPr>
          <w:rFonts w:ascii="Times New Roman" w:cs="Times New Roman" w:eastAsia="Times New Roman" w:hAnsi="Times New Roman"/>
          <w:sz w:val="36"/>
          <w:szCs w:val="36"/>
          <w:b w:val="1"/>
          <w:bCs w:val="1"/>
          <w:color w:val="0070C0"/>
        </w:rPr>
        <w:drawing>
          <wp:anchor simplePos="0" relativeHeight="251657728" behindDoc="1" locked="0" layoutInCell="0" allowOverlap="1">
            <wp:simplePos x="0" y="0"/>
            <wp:positionH relativeFrom="page">
              <wp:posOffset>982980</wp:posOffset>
            </wp:positionH>
            <wp:positionV relativeFrom="page">
              <wp:posOffset>283845</wp:posOffset>
            </wp:positionV>
            <wp:extent cx="5729605" cy="22510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9605" cy="2251075"/>
                    </a:xfrm>
                    <a:prstGeom prst="rect">
                      <a:avLst/>
                    </a:prstGeom>
                    <a:noFill/>
                  </pic:spPr>
                </pic:pic>
              </a:graphicData>
            </a:graphic>
          </wp:anchor>
        </w:drawing>
        <w:t>ZIKA VIRUS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3" w:lineRule="exact"/>
        <w:rPr>
          <w:sz w:val="24"/>
          <w:szCs w:val="24"/>
          <w:color w:val="auto"/>
        </w:rPr>
      </w:pPr>
    </w:p>
    <w:p>
      <w:pPr>
        <w:ind w:left="3480"/>
        <w:spacing w:after="0"/>
        <w:rPr>
          <w:sz w:val="20"/>
          <w:szCs w:val="20"/>
          <w:color w:val="auto"/>
        </w:rPr>
      </w:pPr>
      <w:r>
        <w:rPr>
          <w:rFonts w:ascii="Times New Roman" w:cs="Times New Roman" w:eastAsia="Times New Roman" w:hAnsi="Times New Roman"/>
          <w:sz w:val="40"/>
          <w:szCs w:val="40"/>
          <w:b w:val="1"/>
          <w:bCs w:val="1"/>
          <w:color w:val="FFFFFF"/>
        </w:rPr>
        <w:t>Novel Coronavirus (2019-nCoV)</w:t>
      </w:r>
    </w:p>
    <w:p>
      <w:pPr>
        <w:jc w:val="right"/>
        <w:ind w:right="20"/>
        <w:spacing w:after="0" w:line="238" w:lineRule="auto"/>
        <w:rPr>
          <w:sz w:val="20"/>
          <w:szCs w:val="20"/>
          <w:color w:val="auto"/>
        </w:rPr>
      </w:pPr>
      <w:r>
        <w:rPr>
          <w:rFonts w:ascii="Times New Roman" w:cs="Times New Roman" w:eastAsia="Times New Roman" w:hAnsi="Times New Roman"/>
          <w:sz w:val="30"/>
          <w:szCs w:val="30"/>
          <w:b w:val="1"/>
          <w:bCs w:val="1"/>
          <w:color w:val="FFFFFF"/>
        </w:rPr>
        <w:t>SITUATION REPORT - 5</w:t>
      </w:r>
    </w:p>
    <w:p>
      <w:pPr>
        <w:spacing w:after="0" w:line="1"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30"/>
          <w:szCs w:val="30"/>
          <w:b w:val="1"/>
          <w:bCs w:val="1"/>
          <w:color w:val="FFFFFF"/>
        </w:rPr>
        <w:t>25 JANUARY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0070C0"/>
        </w:rPr>
        <w:t>Data as reported by: 25 January 2020</w:t>
      </w:r>
      <w:r>
        <w:rPr>
          <w:rFonts w:ascii="Calibri" w:cs="Calibri" w:eastAsia="Calibri" w:hAnsi="Calibri"/>
          <w:sz w:val="32"/>
          <w:szCs w:val="32"/>
          <w:b w:val="1"/>
          <w:bCs w:val="1"/>
          <w:color w:val="0070C0"/>
          <w:vertAlign w:val="superscript"/>
        </w:rPr>
        <w:t>1</w:t>
      </w:r>
    </w:p>
    <w:p>
      <w:pPr>
        <w:spacing w:after="0" w:line="282" w:lineRule="exact"/>
        <w:rPr>
          <w:sz w:val="24"/>
          <w:szCs w:val="24"/>
          <w:color w:val="auto"/>
        </w:rPr>
      </w:pPr>
    </w:p>
    <w:p>
      <w:pPr>
        <w:spacing w:after="0"/>
        <w:rPr>
          <w:sz w:val="20"/>
          <w:szCs w:val="20"/>
          <w:color w:val="auto"/>
        </w:rPr>
      </w:pPr>
      <w:r>
        <w:rPr>
          <w:rFonts w:ascii="Calibri" w:cs="Calibri" w:eastAsia="Calibri" w:hAnsi="Calibri"/>
          <w:sz w:val="26"/>
          <w:szCs w:val="26"/>
          <w:b w:val="1"/>
          <w:bCs w:val="1"/>
          <w:color w:val="0070C0"/>
        </w:rPr>
        <w:t>SUMMARY</w:t>
      </w:r>
    </w:p>
    <w:p>
      <w:pPr>
        <w:spacing w:after="0" w:line="168"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0070C0"/>
        </w:rPr>
        <w:t>Situation update:</w:t>
      </w:r>
    </w:p>
    <w:p>
      <w:pPr>
        <w:spacing w:after="0" w:line="173" w:lineRule="exact"/>
        <w:rPr>
          <w:sz w:val="24"/>
          <w:szCs w:val="24"/>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 total of 1,320 confirmed cases have been reported for novel coronavirus (2019-nCoV) globally;</w:t>
      </w:r>
    </w:p>
    <w:p>
      <w:pPr>
        <w:spacing w:after="0" w:line="99" w:lineRule="exact"/>
        <w:rPr>
          <w:rFonts w:ascii="Arial" w:cs="Arial" w:eastAsia="Arial" w:hAnsi="Arial"/>
          <w:sz w:val="22"/>
          <w:szCs w:val="22"/>
          <w:color w:val="auto"/>
        </w:rPr>
      </w:pPr>
    </w:p>
    <w:p>
      <w:pPr>
        <w:ind w:left="360" w:right="20" w:hanging="360"/>
        <w:spacing w:after="0" w:line="236"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1,320 cases reported, 1,297 cases were reported from China, including Hong Kong SAR (5 confirmed cases), Macau SAR (2 confirmed cases) and Taipei (3 confirmed cases).</w:t>
      </w:r>
    </w:p>
    <w:p>
      <w:pPr>
        <w:spacing w:after="0" w:line="103" w:lineRule="exact"/>
        <w:rPr>
          <w:rFonts w:ascii="Arial" w:cs="Arial" w:eastAsia="Arial" w:hAnsi="Arial"/>
          <w:sz w:val="22"/>
          <w:szCs w:val="22"/>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 total of 1,965 suspected cases have been reported from 20 Chinese provinces, regions and cities (excluding Hong Kong SAR, Macau SAR and Taipei).</w:t>
      </w:r>
    </w:p>
    <w:p>
      <w:pPr>
        <w:spacing w:after="0" w:line="102" w:lineRule="exact"/>
        <w:rPr>
          <w:rFonts w:ascii="Arial" w:cs="Arial" w:eastAsia="Arial" w:hAnsi="Arial"/>
          <w:sz w:val="22"/>
          <w:szCs w:val="22"/>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Twenty-three confirmed cases have been reported outside of China in nine countries (see table-1).</w:t>
      </w:r>
    </w:p>
    <w:p>
      <w:pPr>
        <w:spacing w:after="0" w:line="102" w:lineRule="exact"/>
        <w:rPr>
          <w:rFonts w:ascii="Arial" w:cs="Arial" w:eastAsia="Arial" w:hAnsi="Arial"/>
          <w:sz w:val="22"/>
          <w:szCs w:val="22"/>
          <w:color w:val="auto"/>
        </w:rPr>
      </w:pPr>
    </w:p>
    <w:p>
      <w:pPr>
        <w:jc w:val="both"/>
        <w:ind w:left="360" w:hanging="360"/>
        <w:spacing w:after="0" w:line="26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these 23 confirmed cases, 21 had travel history to Wuhan City, China; one case in Australia had direct contact with a confirmed case from Wuhan while in China; and one confirmed case in Viet Nam had no travel history to any part of China as mentioned in situation report published on 24 January. According to preliminary investigations, this constitutes an instance of human to human transmission within a family.</w:t>
      </w:r>
    </w:p>
    <w:p>
      <w:pPr>
        <w:spacing w:after="0" w:line="72" w:lineRule="exact"/>
        <w:rPr>
          <w:rFonts w:ascii="Arial" w:cs="Arial" w:eastAsia="Arial" w:hAnsi="Arial"/>
          <w:sz w:val="22"/>
          <w:szCs w:val="22"/>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1,287 confirmed cases (excluding Hong Kong SAR, Macau SAR and Taipei), 237 cases have been reported as severely ill</w:t>
      </w:r>
      <w:r>
        <w:rPr>
          <w:rFonts w:ascii="Calibri" w:cs="Calibri" w:eastAsia="Calibri" w:hAnsi="Calibri"/>
          <w:sz w:val="27"/>
          <w:szCs w:val="27"/>
          <w:color w:val="auto"/>
          <w:vertAlign w:val="superscript"/>
        </w:rPr>
        <w:t>2</w:t>
      </w:r>
      <w:r>
        <w:rPr>
          <w:rFonts w:ascii="Calibri" w:cs="Calibri" w:eastAsia="Calibri" w:hAnsi="Calibri"/>
          <w:sz w:val="22"/>
          <w:szCs w:val="22"/>
          <w:color w:val="auto"/>
        </w:rPr>
        <w:t xml:space="preserve"> .</w:t>
      </w:r>
    </w:p>
    <w:p>
      <w:pPr>
        <w:spacing w:after="0" w:line="45" w:lineRule="exact"/>
        <w:rPr>
          <w:rFonts w:ascii="Arial" w:cs="Arial" w:eastAsia="Arial" w:hAnsi="Arial"/>
          <w:sz w:val="22"/>
          <w:szCs w:val="22"/>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Forty-one deaths have been reported to date (39 deaths in Hubei province, one death in Hebei province and one in Heilongjiang province).</w:t>
      </w:r>
    </w:p>
    <w:p>
      <w:pPr>
        <w:spacing w:after="0" w:line="102" w:lineRule="exact"/>
        <w:rPr>
          <w:rFonts w:ascii="Arial" w:cs="Arial" w:eastAsia="Arial" w:hAnsi="Arial"/>
          <w:sz w:val="22"/>
          <w:szCs w:val="22"/>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25 January 2020, the number of reported confirmed cases of 2019-nCoV has increased by 474 cases since the last situation report published on 24 January 2020.</w:t>
      </w:r>
    </w:p>
    <w:p>
      <w:pPr>
        <w:spacing w:after="0" w:line="400" w:lineRule="exact"/>
        <w:rPr>
          <w:sz w:val="24"/>
          <w:szCs w:val="24"/>
          <w:color w:val="auto"/>
        </w:rPr>
      </w:pPr>
    </w:p>
    <w:p>
      <w:pPr>
        <w:ind w:right="120"/>
        <w:spacing w:after="0" w:line="218" w:lineRule="auto"/>
        <w:rPr>
          <w:sz w:val="20"/>
          <w:szCs w:val="20"/>
          <w:color w:val="auto"/>
        </w:rPr>
      </w:pPr>
      <w:r>
        <w:rPr>
          <w:rFonts w:ascii="Calibri" w:cs="Calibri" w:eastAsia="Calibri" w:hAnsi="Calibri"/>
          <w:sz w:val="22"/>
          <w:szCs w:val="22"/>
          <w:color w:val="auto"/>
        </w:rPr>
        <w:t>WHO’s assessment of the risk of this event has not changed since the last update (22 Jan): very high in China, high at the regional level and high at the global level.</w:t>
      </w:r>
      <w:r>
        <w:rPr>
          <w:rFonts w:ascii="Calibri" w:cs="Calibri" w:eastAsia="Calibri" w:hAnsi="Calibri"/>
          <w:sz w:val="27"/>
          <w:szCs w:val="27"/>
          <w:color w:val="auto"/>
          <w:vertAlign w:val="superscript"/>
        </w:rPr>
        <w:t>3</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828675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5.25pt" to="144pt,65.25pt" o:allowincell="f" strokecolor="#000000" strokeweight="0.71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ind w:left="120" w:hanging="120"/>
        <w:spacing w:after="0"/>
        <w:tabs>
          <w:tab w:leader="none" w:pos="120" w:val="left"/>
        </w:tabs>
        <w:numPr>
          <w:ilvl w:val="0"/>
          <w:numId w:val="2"/>
        </w:numPr>
        <w:rPr>
          <w:rFonts w:ascii="Times New Roman" w:cs="Times New Roman" w:eastAsia="Times New Roman" w:hAnsi="Times New Roman"/>
          <w:sz w:val="26"/>
          <w:szCs w:val="26"/>
          <w:color w:val="auto"/>
          <w:vertAlign w:val="superscript"/>
        </w:rPr>
      </w:pPr>
      <w:r>
        <w:rPr>
          <w:rFonts w:ascii="Calibri" w:cs="Calibri" w:eastAsia="Calibri" w:hAnsi="Calibri"/>
          <w:sz w:val="18"/>
          <w:szCs w:val="18"/>
          <w:color w:val="auto"/>
        </w:rPr>
        <w:t>The situation report includes information reported to WHO Geneva by 10 AM CET</w:t>
      </w:r>
    </w:p>
    <w:p>
      <w:pPr>
        <w:spacing w:after="0" w:line="56" w:lineRule="exact"/>
        <w:rPr>
          <w:rFonts w:ascii="Times New Roman" w:cs="Times New Roman" w:eastAsia="Times New Roman" w:hAnsi="Times New Roman"/>
          <w:sz w:val="26"/>
          <w:szCs w:val="26"/>
          <w:color w:val="auto"/>
          <w:vertAlign w:val="superscript"/>
        </w:rPr>
      </w:pPr>
    </w:p>
    <w:p>
      <w:pPr>
        <w:ind w:left="120" w:hanging="120"/>
        <w:spacing w:after="0" w:line="186" w:lineRule="auto"/>
        <w:tabs>
          <w:tab w:leader="none" w:pos="120" w:val="left"/>
        </w:tabs>
        <w:numPr>
          <w:ilvl w:val="0"/>
          <w:numId w:val="2"/>
        </w:numPr>
        <w:rPr>
          <w:rFonts w:ascii="Times New Roman" w:cs="Times New Roman" w:eastAsia="Times New Roman" w:hAnsi="Times New Roman"/>
          <w:sz w:val="20"/>
          <w:szCs w:val="20"/>
          <w:color w:val="auto"/>
          <w:vertAlign w:val="superscript"/>
        </w:rPr>
      </w:pPr>
      <w:r>
        <w:rPr>
          <w:rFonts w:ascii="Calibri" w:cs="Calibri" w:eastAsia="Calibri" w:hAnsi="Calibri"/>
          <w:sz w:val="15"/>
          <w:szCs w:val="15"/>
          <w:color w:val="auto"/>
        </w:rPr>
        <w:t>Severe illness: According to any of the following criteria:</w:t>
      </w:r>
    </w:p>
    <w:p>
      <w:pPr>
        <w:spacing w:after="0" w:line="43" w:lineRule="exact"/>
        <w:rPr>
          <w:sz w:val="24"/>
          <w:szCs w:val="24"/>
          <w:color w:val="auto"/>
        </w:rPr>
      </w:pPr>
    </w:p>
    <w:p>
      <w:pPr>
        <w:ind w:left="280" w:right="100" w:hanging="280"/>
        <w:spacing w:after="0" w:line="216" w:lineRule="auto"/>
        <w:tabs>
          <w:tab w:leader="none" w:pos="239" w:val="left"/>
        </w:tabs>
        <w:numPr>
          <w:ilvl w:val="0"/>
          <w:numId w:val="3"/>
        </w:numPr>
        <w:rPr>
          <w:rFonts w:ascii="Calibri" w:cs="Calibri" w:eastAsia="Calibri" w:hAnsi="Calibri"/>
          <w:sz w:val="18"/>
          <w:szCs w:val="18"/>
          <w:color w:val="auto"/>
        </w:rPr>
      </w:pPr>
      <w:r>
        <w:rPr>
          <w:rFonts w:ascii="Calibri" w:cs="Calibri" w:eastAsia="Calibri" w:hAnsi="Calibri"/>
          <w:sz w:val="18"/>
          <w:szCs w:val="18"/>
          <w:color w:val="auto"/>
        </w:rPr>
        <w:t>shortness of breath; (2) respiratory rate more than 30 bpm; (3) hypoxemia; (4) chest X-ray with multi-lobar infiltrates or pulmonary infiltration progressed more than 50% within 24 - 48 hours.</w:t>
      </w:r>
    </w:p>
    <w:p>
      <w:pPr>
        <w:spacing w:after="0" w:line="58" w:lineRule="exact"/>
        <w:rPr>
          <w:sz w:val="24"/>
          <w:szCs w:val="24"/>
          <w:color w:val="auto"/>
        </w:rPr>
      </w:pPr>
    </w:p>
    <w:p>
      <w:pPr>
        <w:ind w:left="280" w:right="160" w:hanging="280"/>
        <w:spacing w:after="0" w:line="184" w:lineRule="auto"/>
        <w:tabs>
          <w:tab w:leader="none" w:pos="112" w:val="left"/>
        </w:tabs>
        <w:numPr>
          <w:ilvl w:val="0"/>
          <w:numId w:val="4"/>
        </w:numPr>
        <w:rPr>
          <w:rFonts w:ascii="Times New Roman" w:cs="Times New Roman" w:eastAsia="Times New Roman" w:hAnsi="Times New Roman"/>
          <w:sz w:val="26"/>
          <w:szCs w:val="26"/>
          <w:color w:val="auto"/>
          <w:vertAlign w:val="superscript"/>
        </w:rPr>
      </w:pPr>
      <w:r>
        <w:rPr>
          <w:rFonts w:ascii="Calibri" w:cs="Calibri" w:eastAsia="Calibri" w:hAnsi="Calibri"/>
          <w:sz w:val="18"/>
          <w:szCs w:val="18"/>
          <w:color w:val="auto"/>
        </w:rPr>
        <w:t>Note: Error in situation reports published on 23,24 and 25 January as originally published, which incorrectly summarized the risk for global level to be moderate.</w:t>
      </w:r>
    </w:p>
    <w:p>
      <w:pPr>
        <w:spacing w:after="0" w:line="172" w:lineRule="exact"/>
        <w:rPr>
          <w:sz w:val="24"/>
          <w:szCs w:val="24"/>
          <w:color w:val="auto"/>
        </w:rPr>
      </w:pPr>
    </w:p>
    <w:p>
      <w:pPr>
        <w:ind w:left="8900"/>
        <w:spacing w:after="0"/>
        <w:rPr>
          <w:sz w:val="20"/>
          <w:szCs w:val="20"/>
          <w:color w:val="auto"/>
        </w:rPr>
      </w:pPr>
      <w:r>
        <w:rPr>
          <w:rFonts w:ascii="Calibri" w:cs="Calibri" w:eastAsia="Calibri" w:hAnsi="Calibri"/>
          <w:sz w:val="24"/>
          <w:szCs w:val="24"/>
          <w:color w:val="auto"/>
        </w:rPr>
        <w:t>1</w:t>
      </w:r>
    </w:p>
    <w:p>
      <w:pPr>
        <w:sectPr>
          <w:pgSz w:w="11900" w:h="16838" w:orient="portrait"/>
          <w:cols w:equalWidth="0" w:num="1">
            <w:col w:w="9040"/>
          </w:cols>
          <w:pgMar w:left="1440" w:top="446" w:right="1426" w:bottom="415" w:gutter="0" w:footer="0" w:header="0"/>
        </w:sectPr>
      </w:pPr>
    </w:p>
    <w:bookmarkStart w:id="1" w:name="page2"/>
    <w:bookmarkEnd w:id="1"/>
    <w:p>
      <w:pPr>
        <w:spacing w:after="0" w:line="200" w:lineRule="exact"/>
        <w:rPr>
          <w:sz w:val="20"/>
          <w:szCs w:val="20"/>
          <w:color w:val="auto"/>
        </w:rPr>
      </w:pPr>
    </w:p>
    <w:p>
      <w:pPr>
        <w:spacing w:after="0" w:line="352" w:lineRule="exact"/>
        <w:rPr>
          <w:sz w:val="20"/>
          <w:szCs w:val="20"/>
          <w:color w:val="auto"/>
        </w:rPr>
      </w:pPr>
    </w:p>
    <w:p>
      <w:pPr>
        <w:ind w:right="266"/>
        <w:spacing w:after="0" w:line="236" w:lineRule="auto"/>
        <w:rPr>
          <w:sz w:val="20"/>
          <w:szCs w:val="20"/>
          <w:color w:val="auto"/>
        </w:rPr>
      </w:pPr>
      <w:r>
        <w:rPr>
          <w:rFonts w:ascii="Calibri" w:cs="Calibri" w:eastAsia="Calibri" w:hAnsi="Calibri"/>
          <w:sz w:val="22"/>
          <w:szCs w:val="22"/>
          <w:b w:val="1"/>
          <w:bCs w:val="1"/>
          <w:color w:val="auto"/>
        </w:rPr>
        <w:t>Figure 1. Countries, territories or areas with reported confirmed cases of 2019-nCoV, 25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225425</wp:posOffset>
            </wp:positionV>
            <wp:extent cx="5730875" cy="39090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5730875" cy="3909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2</w:t>
      </w:r>
    </w:p>
    <w:p>
      <w:pPr>
        <w:sectPr>
          <w:pgSz w:w="11900" w:h="16838" w:orient="portrait"/>
          <w:cols w:equalWidth="0" w:num="1">
            <w:col w:w="9026"/>
          </w:cols>
          <w:pgMar w:left="1440" w:top="1440" w:right="1440" w:bottom="415" w:gutter="0" w:footer="0" w:header="0"/>
        </w:sectPr>
      </w:pPr>
    </w:p>
    <w:bookmarkStart w:id="2" w:name="page3"/>
    <w:bookmarkEnd w:id="2"/>
    <w:p>
      <w:pPr>
        <w:spacing w:after="0"/>
        <w:rPr>
          <w:sz w:val="20"/>
          <w:szCs w:val="20"/>
          <w:color w:val="auto"/>
        </w:rPr>
      </w:pPr>
      <w:r>
        <w:rPr>
          <w:rFonts w:ascii="Calibri" w:cs="Calibri" w:eastAsia="Calibri" w:hAnsi="Calibri"/>
          <w:sz w:val="26"/>
          <w:szCs w:val="26"/>
          <w:b w:val="1"/>
          <w:bCs w:val="1"/>
          <w:color w:val="0070C0"/>
        </w:rPr>
        <w:t>I. SURVEILLANCE</w:t>
      </w:r>
    </w:p>
    <w:p>
      <w:pPr>
        <w:spacing w:after="0" w:line="16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Reported incidence of confirmed 2019-nCoV cases</w:t>
      </w:r>
    </w:p>
    <w:p>
      <w:pPr>
        <w:spacing w:after="0" w:line="210" w:lineRule="exact"/>
        <w:rPr>
          <w:sz w:val="20"/>
          <w:szCs w:val="20"/>
          <w:color w:val="auto"/>
        </w:rPr>
      </w:pPr>
    </w:p>
    <w:p>
      <w:pPr>
        <w:ind w:right="940"/>
        <w:spacing w:after="0" w:line="235" w:lineRule="auto"/>
        <w:rPr>
          <w:sz w:val="20"/>
          <w:szCs w:val="20"/>
          <w:color w:val="auto"/>
        </w:rPr>
      </w:pPr>
      <w:r>
        <w:rPr>
          <w:rFonts w:ascii="Calibri" w:cs="Calibri" w:eastAsia="Calibri" w:hAnsi="Calibri"/>
          <w:sz w:val="22"/>
          <w:szCs w:val="22"/>
          <w:b w:val="1"/>
          <w:bCs w:val="1"/>
          <w:color w:val="auto"/>
        </w:rPr>
        <w:t>Table 1. Countries, territories or areas with reported confirmed cases of 2019-nCoV, 25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472440</wp:posOffset>
                </wp:positionV>
                <wp:extent cx="61093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2pt" to="481.05pt,37.2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1250950</wp:posOffset>
                </wp:positionH>
                <wp:positionV relativeFrom="paragraph">
                  <wp:posOffset>1087755</wp:posOffset>
                </wp:positionV>
                <wp:extent cx="48583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838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5pt,85.65pt" to="481.05pt,85.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29845</wp:posOffset>
                </wp:positionV>
                <wp:extent cx="0" cy="40563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5638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5pt" to="0.5pt,321.7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1257300</wp:posOffset>
                </wp:positionH>
                <wp:positionV relativeFrom="paragraph">
                  <wp:posOffset>41910</wp:posOffset>
                </wp:positionV>
                <wp:extent cx="0" cy="403161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3161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pt,3.3pt" to="99pt,320.7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5472430</wp:posOffset>
                </wp:positionH>
                <wp:positionV relativeFrom="paragraph">
                  <wp:posOffset>29845</wp:posOffset>
                </wp:positionV>
                <wp:extent cx="0" cy="405638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5638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9pt,2.35pt" to="430.9pt,321.75pt" o:allowincell="f" strokecolor="#FFFFFF" strokeweight="0.9599pt"/>
            </w:pict>
          </mc:Fallback>
        </mc:AlternateContent>
      </w:r>
    </w:p>
    <w:p>
      <w:pPr>
        <w:spacing w:after="0" w:line="27" w:lineRule="exact"/>
        <w:rPr>
          <w:sz w:val="20"/>
          <w:szCs w:val="20"/>
          <w:color w:val="auto"/>
        </w:rPr>
      </w:pPr>
    </w:p>
    <w:tbl>
      <w:tblPr>
        <w:tblLayout w:type="fixed"/>
        <w:tblInd w:w="20" w:type="dxa"/>
        <w:tblCellMar>
          <w:top w:w="0" w:type="dxa"/>
          <w:left w:w="0" w:type="dxa"/>
          <w:bottom w:w="0" w:type="dxa"/>
          <w:right w:w="0" w:type="dxa"/>
        </w:tblCellMar>
      </w:tblPr>
      <w:tr>
        <w:trPr>
          <w:trHeight w:val="280"/>
        </w:trPr>
        <w:tc>
          <w:tcPr>
            <w:tcW w:w="1960" w:type="dxa"/>
            <w:vAlign w:val="bottom"/>
            <w:tcBorders>
              <w:top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WHO Regional Office</w:t>
            </w:r>
          </w:p>
        </w:tc>
        <w:tc>
          <w:tcPr>
            <w:tcW w:w="20" w:type="dxa"/>
            <w:vAlign w:val="bottom"/>
          </w:tcPr>
          <w:p>
            <w:pPr>
              <w:spacing w:after="0"/>
              <w:rPr>
                <w:sz w:val="24"/>
                <w:szCs w:val="24"/>
                <w:color w:val="auto"/>
              </w:rPr>
            </w:pPr>
          </w:p>
        </w:tc>
        <w:tc>
          <w:tcPr>
            <w:tcW w:w="2940" w:type="dxa"/>
            <w:vAlign w:val="bottom"/>
            <w:tcBorders>
              <w:top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tcBorders>
            <w:shd w:val="clear" w:color="auto" w:fill="4F81BD"/>
          </w:tcPr>
          <w:p>
            <w:pPr>
              <w:spacing w:after="0"/>
              <w:rPr>
                <w:sz w:val="24"/>
                <w:szCs w:val="24"/>
                <w:color w:val="auto"/>
              </w:rPr>
            </w:pPr>
          </w:p>
        </w:tc>
        <w:tc>
          <w:tcPr>
            <w:tcW w:w="3640" w:type="dxa"/>
            <w:vAlign w:val="bottom"/>
            <w:tcBorders>
              <w:top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Borders>
              <w:top w:val="single" w:sz="8" w:color="4F81BD"/>
            </w:tcBorders>
          </w:tcPr>
          <w:p>
            <w:pPr>
              <w:spacing w:after="0"/>
              <w:rPr>
                <w:sz w:val="24"/>
                <w:szCs w:val="24"/>
                <w:color w:val="auto"/>
              </w:rPr>
            </w:pPr>
          </w:p>
        </w:tc>
        <w:tc>
          <w:tcPr>
            <w:tcW w:w="96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w w:val="97"/>
                <w:shd w:val="clear" w:color="auto" w:fill="4F81BD"/>
              </w:rPr>
              <w:t>Confirmed</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196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940" w:type="dxa"/>
            <w:vAlign w:val="bottom"/>
            <w:vMerge w:val="continue"/>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6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9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Cases</w:t>
            </w: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196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940" w:type="dxa"/>
            <w:vAlign w:val="bottom"/>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6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96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7"/>
        </w:trPr>
        <w:tc>
          <w:tcPr>
            <w:tcW w:w="196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29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shd w:val="clear" w:color="auto" w:fill="4F81BD"/>
          </w:tcPr>
          <w:p>
            <w:pPr>
              <w:spacing w:after="0"/>
              <w:rPr>
                <w:sz w:val="4"/>
                <w:szCs w:val="4"/>
                <w:color w:val="auto"/>
              </w:rPr>
            </w:pPr>
          </w:p>
        </w:tc>
        <w:tc>
          <w:tcPr>
            <w:tcW w:w="36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96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0" w:type="dxa"/>
            <w:vAlign w:val="bottom"/>
          </w:tcPr>
          <w:p>
            <w:pPr>
              <w:spacing w:after="0"/>
              <w:rPr>
                <w:sz w:val="1"/>
                <w:szCs w:val="1"/>
                <w:color w:val="auto"/>
              </w:rPr>
            </w:pPr>
          </w:p>
        </w:tc>
      </w:tr>
      <w:tr>
        <w:trPr>
          <w:trHeight w:val="40"/>
        </w:trPr>
        <w:tc>
          <w:tcPr>
            <w:tcW w:w="1960" w:type="dxa"/>
            <w:vAlign w:val="bottom"/>
          </w:tcPr>
          <w:p>
            <w:pPr>
              <w:spacing w:after="0"/>
              <w:rPr>
                <w:sz w:val="3"/>
                <w:szCs w:val="3"/>
                <w:color w:val="auto"/>
              </w:rPr>
            </w:pPr>
          </w:p>
        </w:tc>
        <w:tc>
          <w:tcPr>
            <w:tcW w:w="20" w:type="dxa"/>
            <w:vAlign w:val="bottom"/>
          </w:tcPr>
          <w:p>
            <w:pPr>
              <w:spacing w:after="0"/>
              <w:rPr>
                <w:sz w:val="3"/>
                <w:szCs w:val="3"/>
                <w:color w:val="auto"/>
              </w:rPr>
            </w:pPr>
          </w:p>
        </w:tc>
        <w:tc>
          <w:tcPr>
            <w:tcW w:w="2940" w:type="dxa"/>
            <w:vAlign w:val="bottom"/>
          </w:tcPr>
          <w:p>
            <w:pPr>
              <w:spacing w:after="0"/>
              <w:rPr>
                <w:sz w:val="3"/>
                <w:szCs w:val="3"/>
                <w:color w:val="auto"/>
              </w:rPr>
            </w:pPr>
          </w:p>
        </w:tc>
        <w:tc>
          <w:tcPr>
            <w:tcW w:w="20" w:type="dxa"/>
            <w:vAlign w:val="bottom"/>
          </w:tcPr>
          <w:p>
            <w:pPr>
              <w:spacing w:after="0"/>
              <w:rPr>
                <w:sz w:val="3"/>
                <w:szCs w:val="3"/>
                <w:color w:val="auto"/>
              </w:rPr>
            </w:pPr>
          </w:p>
        </w:tc>
        <w:tc>
          <w:tcPr>
            <w:tcW w:w="3640" w:type="dxa"/>
            <w:vAlign w:val="bottom"/>
          </w:tcPr>
          <w:p>
            <w:pPr>
              <w:spacing w:after="0"/>
              <w:rPr>
                <w:sz w:val="3"/>
                <w:szCs w:val="3"/>
                <w:color w:val="auto"/>
              </w:rPr>
            </w:pPr>
          </w:p>
        </w:tc>
        <w:tc>
          <w:tcPr>
            <w:tcW w:w="1000" w:type="dxa"/>
            <w:vAlign w:val="bottom"/>
            <w:gridSpan w:val="3"/>
          </w:tcPr>
          <w:p>
            <w:pPr>
              <w:spacing w:after="0"/>
              <w:rPr>
                <w:sz w:val="3"/>
                <w:szCs w:val="3"/>
                <w:color w:val="auto"/>
              </w:rPr>
            </w:pPr>
          </w:p>
        </w:tc>
        <w:tc>
          <w:tcPr>
            <w:tcW w:w="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40"/>
        </w:trPr>
        <w:tc>
          <w:tcPr>
            <w:tcW w:w="19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Total</w:t>
            </w: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1297*</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19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80" w:type="dxa"/>
            <w:vAlign w:val="bottom"/>
            <w:tcBorders>
              <w:bottom w:val="single" w:sz="8" w:color="E9EDF4"/>
            </w:tcBorders>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19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4"/>
                <w:szCs w:val="24"/>
                <w:color w:val="auto"/>
              </w:rPr>
            </w:pP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19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80" w:type="dxa"/>
            <w:vAlign w:val="bottom"/>
            <w:tcBorders>
              <w:bottom w:val="single" w:sz="8" w:color="E9EDF4"/>
            </w:tcBorders>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5"/>
        </w:trPr>
        <w:tc>
          <w:tcPr>
            <w:tcW w:w="19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4"/>
                <w:szCs w:val="24"/>
                <w:color w:val="auto"/>
              </w:rPr>
            </w:pP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960" w:type="dxa"/>
            <w:vAlign w:val="bottom"/>
            <w:tcBorders>
              <w:bottom w:val="single" w:sz="8" w:color="4F81BD"/>
            </w:tcBorders>
            <w:vMerge w:val="restart"/>
            <w:shd w:val="clear" w:color="auto" w:fill="4F81BD"/>
          </w:tcPr>
          <w:p>
            <w:pPr>
              <w:spacing w:after="0" w:line="220" w:lineRule="exact"/>
              <w:rPr>
                <w:sz w:val="20"/>
                <w:szCs w:val="20"/>
                <w:color w:val="auto"/>
              </w:rPr>
            </w:pPr>
            <w:r>
              <w:rPr>
                <w:rFonts w:ascii="Calibri" w:cs="Calibri" w:eastAsia="Calibri" w:hAnsi="Calibri"/>
                <w:sz w:val="22"/>
                <w:szCs w:val="22"/>
                <w:b w:val="1"/>
                <w:bCs w:val="1"/>
                <w:color w:val="FFFFFF"/>
                <w:shd w:val="clear" w:color="auto" w:fill="4F81BD"/>
              </w:rPr>
              <w:t>WHO WPRO Region</w:t>
            </w:r>
          </w:p>
        </w:tc>
        <w:tc>
          <w:tcPr>
            <w:tcW w:w="20" w:type="dxa"/>
            <w:vAlign w:val="bottom"/>
            <w:tcBorders>
              <w:bottom w:val="single" w:sz="8" w:color="E9EDF4"/>
            </w:tcBorders>
          </w:tcPr>
          <w:p>
            <w:pPr>
              <w:spacing w:after="0"/>
              <w:rPr>
                <w:sz w:val="11"/>
                <w:szCs w:val="11"/>
                <w:color w:val="auto"/>
              </w:rPr>
            </w:pPr>
          </w:p>
        </w:tc>
        <w:tc>
          <w:tcPr>
            <w:tcW w:w="294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64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96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0" w:type="dxa"/>
            <w:vAlign w:val="bottom"/>
          </w:tcPr>
          <w:p>
            <w:pPr>
              <w:spacing w:after="0"/>
              <w:rPr>
                <w:sz w:val="1"/>
                <w:szCs w:val="1"/>
                <w:color w:val="auto"/>
              </w:rPr>
            </w:pPr>
          </w:p>
        </w:tc>
      </w:tr>
      <w:tr>
        <w:trPr>
          <w:trHeight w:val="73"/>
        </w:trPr>
        <w:tc>
          <w:tcPr>
            <w:tcW w:w="1960" w:type="dxa"/>
            <w:vAlign w:val="bottom"/>
            <w:tcBorders>
              <w:bottom w:val="single" w:sz="8" w:color="4F81BD"/>
            </w:tcBorders>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2940" w:type="dxa"/>
            <w:vAlign w:val="bottom"/>
            <w:tcBorders>
              <w:bottom w:val="single" w:sz="8" w:color="E9EDF4"/>
            </w:tcBorders>
          </w:tcPr>
          <w:p>
            <w:pPr>
              <w:spacing w:after="0"/>
              <w:rPr>
                <w:sz w:val="6"/>
                <w:szCs w:val="6"/>
                <w:color w:val="auto"/>
              </w:rPr>
            </w:pPr>
          </w:p>
        </w:tc>
        <w:tc>
          <w:tcPr>
            <w:tcW w:w="20" w:type="dxa"/>
            <w:vAlign w:val="bottom"/>
          </w:tcPr>
          <w:p>
            <w:pPr>
              <w:spacing w:after="0"/>
              <w:rPr>
                <w:sz w:val="6"/>
                <w:szCs w:val="6"/>
                <w:color w:val="auto"/>
              </w:rPr>
            </w:pPr>
          </w:p>
        </w:tc>
        <w:tc>
          <w:tcPr>
            <w:tcW w:w="3640" w:type="dxa"/>
            <w:vAlign w:val="bottom"/>
            <w:tcBorders>
              <w:bottom w:val="single" w:sz="8" w:color="E9EDF4"/>
            </w:tcBorders>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Borders>
              <w:bottom w:val="single" w:sz="8" w:color="E9EDF4"/>
            </w:tcBorders>
          </w:tcPr>
          <w:p>
            <w:pPr>
              <w:spacing w:after="0"/>
              <w:rPr>
                <w:sz w:val="6"/>
                <w:szCs w:val="6"/>
                <w:color w:val="auto"/>
              </w:rPr>
            </w:pPr>
          </w:p>
        </w:tc>
        <w:tc>
          <w:tcPr>
            <w:tcW w:w="960" w:type="dxa"/>
            <w:vAlign w:val="bottom"/>
            <w:tcBorders>
              <w:bottom w:val="single" w:sz="8" w:color="E9EDF4"/>
            </w:tcBorders>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196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2940" w:type="dxa"/>
            <w:vAlign w:val="bottom"/>
            <w:shd w:val="clear" w:color="auto" w:fill="E9EDF4"/>
          </w:tcPr>
          <w:p>
            <w:pPr>
              <w:spacing w:after="0" w:line="263" w:lineRule="exact"/>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2"/>
                <w:szCs w:val="22"/>
                <w:color w:val="auto"/>
              </w:rPr>
            </w:pPr>
          </w:p>
        </w:tc>
        <w:tc>
          <w:tcPr>
            <w:tcW w:w="3640" w:type="dxa"/>
            <w:vAlign w:val="bottom"/>
            <w:shd w:val="clear" w:color="auto" w:fill="E9EDF4"/>
          </w:tcPr>
          <w:p>
            <w:pPr>
              <w:spacing w:after="0"/>
              <w:rPr>
                <w:sz w:val="22"/>
                <w:szCs w:val="22"/>
                <w:color w:val="auto"/>
              </w:rPr>
            </w:pPr>
          </w:p>
        </w:tc>
        <w:tc>
          <w:tcPr>
            <w:tcW w:w="40" w:type="dxa"/>
            <w:vAlign w:val="bottom"/>
            <w:gridSpan w:val="2"/>
          </w:tcPr>
          <w:p>
            <w:pPr>
              <w:spacing w:after="0"/>
              <w:rPr>
                <w:sz w:val="22"/>
                <w:szCs w:val="22"/>
                <w:color w:val="auto"/>
              </w:rPr>
            </w:pPr>
          </w:p>
        </w:tc>
        <w:tc>
          <w:tcPr>
            <w:tcW w:w="960" w:type="dxa"/>
            <w:vAlign w:val="bottom"/>
            <w:shd w:val="clear" w:color="auto" w:fill="E9EDF4"/>
          </w:tcPr>
          <w:p>
            <w:pPr>
              <w:jc w:val="center"/>
              <w:spacing w:after="0" w:line="263" w:lineRule="exact"/>
              <w:rPr>
                <w:sz w:val="20"/>
                <w:szCs w:val="20"/>
                <w:color w:val="auto"/>
              </w:rPr>
            </w:pPr>
            <w:r>
              <w:rPr>
                <w:rFonts w:ascii="Calibri" w:cs="Calibri" w:eastAsia="Calibri" w:hAnsi="Calibri"/>
                <w:sz w:val="22"/>
                <w:szCs w:val="22"/>
                <w:color w:val="auto"/>
              </w:rPr>
              <w:t>2</w:t>
            </w: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07"/>
        </w:trPr>
        <w:tc>
          <w:tcPr>
            <w:tcW w:w="19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80" w:type="dxa"/>
            <w:vAlign w:val="bottom"/>
            <w:tcBorders>
              <w:bottom w:val="single" w:sz="8" w:color="E9EDF4"/>
            </w:tcBorders>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19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color w:val="auto"/>
              </w:rPr>
              <w:t>Republic of Singapore</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4"/>
                <w:szCs w:val="24"/>
                <w:color w:val="auto"/>
              </w:rPr>
            </w:pP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19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80" w:type="dxa"/>
            <w:vAlign w:val="bottom"/>
            <w:tcBorders>
              <w:bottom w:val="single" w:sz="8" w:color="E9EDF4"/>
            </w:tcBorders>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19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4"/>
                <w:szCs w:val="24"/>
                <w:color w:val="auto"/>
              </w:rPr>
            </w:pP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19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80" w:type="dxa"/>
            <w:vAlign w:val="bottom"/>
            <w:tcBorders>
              <w:bottom w:val="single" w:sz="8" w:color="E9EDF4"/>
            </w:tcBorders>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19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4"/>
                <w:szCs w:val="24"/>
                <w:color w:val="auto"/>
              </w:rPr>
            </w:pP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4</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1960" w:type="dxa"/>
            <w:vAlign w:val="bottom"/>
            <w:tcBorders>
              <w:bottom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WHO SEARO Region</w:t>
            </w: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96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4"/>
        </w:trPr>
        <w:tc>
          <w:tcPr>
            <w:tcW w:w="1960" w:type="dxa"/>
            <w:vAlign w:val="bottom"/>
            <w:vMerge w:val="continue"/>
            <w:shd w:val="clear" w:color="auto" w:fill="4F81BD"/>
          </w:tcPr>
          <w:p>
            <w:pPr>
              <w:spacing w:after="0"/>
              <w:rPr>
                <w:sz w:val="18"/>
                <w:szCs w:val="18"/>
                <w:color w:val="auto"/>
              </w:rPr>
            </w:pPr>
          </w:p>
        </w:tc>
        <w:tc>
          <w:tcPr>
            <w:tcW w:w="20" w:type="dxa"/>
            <w:vAlign w:val="bottom"/>
          </w:tcPr>
          <w:p>
            <w:pPr>
              <w:spacing w:after="0"/>
              <w:rPr>
                <w:sz w:val="18"/>
                <w:szCs w:val="18"/>
                <w:color w:val="auto"/>
              </w:rPr>
            </w:pPr>
          </w:p>
        </w:tc>
        <w:tc>
          <w:tcPr>
            <w:tcW w:w="2940" w:type="dxa"/>
            <w:vAlign w:val="bottom"/>
            <w:shd w:val="clear" w:color="auto" w:fill="E9EDF4"/>
          </w:tcPr>
          <w:p>
            <w:pPr>
              <w:spacing w:after="0" w:line="213" w:lineRule="exact"/>
              <w:rPr>
                <w:sz w:val="20"/>
                <w:szCs w:val="20"/>
                <w:color w:val="auto"/>
              </w:rPr>
            </w:pPr>
            <w:r>
              <w:rPr>
                <w:rFonts w:ascii="Calibri" w:cs="Calibri" w:eastAsia="Calibri" w:hAnsi="Calibri"/>
                <w:sz w:val="22"/>
                <w:szCs w:val="22"/>
                <w:color w:val="auto"/>
                <w:shd w:val="clear" w:color="auto" w:fill="E9EDF4"/>
              </w:rPr>
              <w:t>Federal Democratic Republic of</w:t>
            </w:r>
          </w:p>
        </w:tc>
        <w:tc>
          <w:tcPr>
            <w:tcW w:w="20" w:type="dxa"/>
            <w:vAlign w:val="bottom"/>
          </w:tcPr>
          <w:p>
            <w:pPr>
              <w:spacing w:after="0"/>
              <w:rPr>
                <w:sz w:val="18"/>
                <w:szCs w:val="18"/>
                <w:color w:val="auto"/>
              </w:rPr>
            </w:pPr>
          </w:p>
        </w:tc>
        <w:tc>
          <w:tcPr>
            <w:tcW w:w="3640" w:type="dxa"/>
            <w:vAlign w:val="bottom"/>
            <w:shd w:val="clear" w:color="auto" w:fill="E9EDF4"/>
          </w:tcPr>
          <w:p>
            <w:pPr>
              <w:spacing w:after="0"/>
              <w:rPr>
                <w:sz w:val="18"/>
                <w:szCs w:val="18"/>
                <w:color w:val="auto"/>
              </w:rPr>
            </w:pPr>
          </w:p>
        </w:tc>
        <w:tc>
          <w:tcPr>
            <w:tcW w:w="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9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6"/>
        </w:trPr>
        <w:tc>
          <w:tcPr>
            <w:tcW w:w="1960" w:type="dxa"/>
            <w:vAlign w:val="bottom"/>
            <w:shd w:val="clear" w:color="auto" w:fill="4F81BD"/>
          </w:tcPr>
          <w:p>
            <w:pPr>
              <w:spacing w:after="0"/>
              <w:rPr>
                <w:sz w:val="17"/>
                <w:szCs w:val="17"/>
                <w:color w:val="auto"/>
              </w:rPr>
            </w:pPr>
          </w:p>
        </w:tc>
        <w:tc>
          <w:tcPr>
            <w:tcW w:w="20" w:type="dxa"/>
            <w:vAlign w:val="bottom"/>
          </w:tcPr>
          <w:p>
            <w:pPr>
              <w:spacing w:after="0"/>
              <w:rPr>
                <w:sz w:val="17"/>
                <w:szCs w:val="17"/>
                <w:color w:val="auto"/>
              </w:rPr>
            </w:pPr>
          </w:p>
        </w:tc>
        <w:tc>
          <w:tcPr>
            <w:tcW w:w="294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17"/>
                <w:szCs w:val="17"/>
                <w:color w:val="auto"/>
              </w:rPr>
            </w:pPr>
          </w:p>
        </w:tc>
        <w:tc>
          <w:tcPr>
            <w:tcW w:w="3640" w:type="dxa"/>
            <w:vAlign w:val="bottom"/>
            <w:shd w:val="clear" w:color="auto" w:fill="E9EDF4"/>
          </w:tcPr>
          <w:p>
            <w:pPr>
              <w:spacing w:after="0"/>
              <w:rPr>
                <w:sz w:val="17"/>
                <w:szCs w:val="17"/>
                <w:color w:val="auto"/>
              </w:rPr>
            </w:pPr>
          </w:p>
        </w:tc>
        <w:tc>
          <w:tcPr>
            <w:tcW w:w="40" w:type="dxa"/>
            <w:vAlign w:val="bottom"/>
            <w:gridSpan w:val="2"/>
          </w:tcPr>
          <w:p>
            <w:pPr>
              <w:spacing w:after="0"/>
              <w:rPr>
                <w:sz w:val="17"/>
                <w:szCs w:val="17"/>
                <w:color w:val="auto"/>
              </w:rPr>
            </w:pPr>
          </w:p>
        </w:tc>
        <w:tc>
          <w:tcPr>
            <w:tcW w:w="960" w:type="dxa"/>
            <w:vAlign w:val="bottom"/>
            <w:vMerge w:val="continue"/>
            <w:shd w:val="clear" w:color="auto" w:fill="E9EDF4"/>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54"/>
        </w:trPr>
        <w:tc>
          <w:tcPr>
            <w:tcW w:w="196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940" w:type="dxa"/>
            <w:vAlign w:val="bottom"/>
            <w:vMerge w:val="continue"/>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3640" w:type="dxa"/>
            <w:vAlign w:val="bottom"/>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960" w:type="dxa"/>
            <w:vAlign w:val="bottom"/>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196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29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640" w:type="dxa"/>
            <w:vAlign w:val="bottom"/>
            <w:tcBorders>
              <w:bottom w:val="single" w:sz="8" w:color="E9EDF4"/>
            </w:tcBorders>
            <w:shd w:val="clear" w:color="auto" w:fill="E9EDF4"/>
          </w:tcPr>
          <w:p>
            <w:pPr>
              <w:spacing w:after="0"/>
              <w:rPr>
                <w:sz w:val="3"/>
                <w:szCs w:val="3"/>
                <w:color w:val="auto"/>
              </w:rPr>
            </w:pPr>
          </w:p>
        </w:tc>
        <w:tc>
          <w:tcPr>
            <w:tcW w:w="40" w:type="dxa"/>
            <w:vAlign w:val="bottom"/>
            <w:tcBorders>
              <w:bottom w:val="single" w:sz="8" w:color="E9EDF4"/>
            </w:tcBorders>
            <w:gridSpan w:val="2"/>
          </w:tcPr>
          <w:p>
            <w:pPr>
              <w:spacing w:after="0"/>
              <w:rPr>
                <w:sz w:val="3"/>
                <w:szCs w:val="3"/>
                <w:color w:val="auto"/>
              </w:rPr>
            </w:pPr>
          </w:p>
        </w:tc>
        <w:tc>
          <w:tcPr>
            <w:tcW w:w="9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80" w:type="dxa"/>
            <w:vAlign w:val="bottom"/>
            <w:tcBorders>
              <w:bottom w:val="single" w:sz="8" w:color="E9EDF4"/>
            </w:tcBorders>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196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PAHO Region</w:t>
            </w: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4"/>
                <w:szCs w:val="24"/>
                <w:color w:val="auto"/>
              </w:rPr>
            </w:pP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19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80" w:type="dxa"/>
            <w:vAlign w:val="bottom"/>
            <w:tcBorders>
              <w:bottom w:val="single" w:sz="8" w:color="E9EDF4"/>
            </w:tcBorders>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196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EURO Region</w:t>
            </w:r>
          </w:p>
        </w:tc>
        <w:tc>
          <w:tcPr>
            <w:tcW w:w="20" w:type="dxa"/>
            <w:vAlign w:val="bottom"/>
          </w:tcPr>
          <w:p>
            <w:pPr>
              <w:spacing w:after="0"/>
              <w:rPr>
                <w:sz w:val="24"/>
                <w:szCs w:val="24"/>
                <w:color w:val="auto"/>
              </w:rPr>
            </w:pPr>
          </w:p>
        </w:tc>
        <w:tc>
          <w:tcPr>
            <w:tcW w:w="2940" w:type="dxa"/>
            <w:vAlign w:val="bottom"/>
            <w:shd w:val="clear" w:color="auto" w:fill="E9EDF4"/>
          </w:tcPr>
          <w:p>
            <w:pPr>
              <w:spacing w:after="0"/>
              <w:rPr>
                <w:sz w:val="20"/>
                <w:szCs w:val="20"/>
                <w:color w:val="auto"/>
              </w:rPr>
            </w:pPr>
            <w:r>
              <w:rPr>
                <w:rFonts w:ascii="Calibri" w:cs="Calibri" w:eastAsia="Calibri" w:hAnsi="Calibri"/>
                <w:sz w:val="22"/>
                <w:szCs w:val="22"/>
                <w:color w:val="auto"/>
              </w:rPr>
              <w:t>French Republic</w:t>
            </w:r>
          </w:p>
        </w:tc>
        <w:tc>
          <w:tcPr>
            <w:tcW w:w="20" w:type="dxa"/>
            <w:vAlign w:val="bottom"/>
          </w:tcPr>
          <w:p>
            <w:pPr>
              <w:spacing w:after="0"/>
              <w:rPr>
                <w:sz w:val="24"/>
                <w:szCs w:val="24"/>
                <w:color w:val="auto"/>
              </w:rPr>
            </w:pPr>
          </w:p>
        </w:tc>
        <w:tc>
          <w:tcPr>
            <w:tcW w:w="3640" w:type="dxa"/>
            <w:vAlign w:val="bottom"/>
            <w:shd w:val="clear" w:color="auto" w:fill="E9EDF4"/>
          </w:tcPr>
          <w:p>
            <w:pPr>
              <w:spacing w:after="0"/>
              <w:rPr>
                <w:sz w:val="24"/>
                <w:szCs w:val="24"/>
                <w:color w:val="auto"/>
              </w:rPr>
            </w:pPr>
          </w:p>
        </w:tc>
        <w:tc>
          <w:tcPr>
            <w:tcW w:w="40" w:type="dxa"/>
            <w:vAlign w:val="bottom"/>
            <w:gridSpan w:val="2"/>
          </w:tcPr>
          <w:p>
            <w:pPr>
              <w:spacing w:after="0"/>
              <w:rPr>
                <w:sz w:val="24"/>
                <w:szCs w:val="24"/>
                <w:color w:val="auto"/>
              </w:rPr>
            </w:pPr>
          </w:p>
        </w:tc>
        <w:tc>
          <w:tcPr>
            <w:tcW w:w="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19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9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64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9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6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9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64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96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6"/>
        </w:trPr>
        <w:tc>
          <w:tcPr>
            <w:tcW w:w="196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Total Confirmed</w:t>
            </w:r>
          </w:p>
        </w:tc>
        <w:tc>
          <w:tcPr>
            <w:tcW w:w="20" w:type="dxa"/>
            <w:vAlign w:val="bottom"/>
          </w:tcPr>
          <w:p>
            <w:pPr>
              <w:spacing w:after="0"/>
              <w:rPr>
                <w:sz w:val="22"/>
                <w:szCs w:val="22"/>
                <w:color w:val="auto"/>
              </w:rPr>
            </w:pPr>
          </w:p>
        </w:tc>
        <w:tc>
          <w:tcPr>
            <w:tcW w:w="294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2"/>
                <w:szCs w:val="22"/>
                <w:color w:val="auto"/>
              </w:rPr>
            </w:pPr>
          </w:p>
        </w:tc>
        <w:tc>
          <w:tcPr>
            <w:tcW w:w="3640" w:type="dxa"/>
            <w:vAlign w:val="bottom"/>
            <w:shd w:val="clear" w:color="auto" w:fill="E9EDF4"/>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9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98"/>
              </w:rPr>
              <w:t>1320</w:t>
            </w: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54"/>
        </w:trPr>
        <w:tc>
          <w:tcPr>
            <w:tcW w:w="19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cases</w:t>
            </w:r>
          </w:p>
        </w:tc>
        <w:tc>
          <w:tcPr>
            <w:tcW w:w="20" w:type="dxa"/>
            <w:vAlign w:val="bottom"/>
          </w:tcPr>
          <w:p>
            <w:pPr>
              <w:spacing w:after="0"/>
              <w:rPr>
                <w:sz w:val="13"/>
                <w:szCs w:val="13"/>
                <w:color w:val="auto"/>
              </w:rPr>
            </w:pPr>
          </w:p>
        </w:tc>
        <w:tc>
          <w:tcPr>
            <w:tcW w:w="2940" w:type="dxa"/>
            <w:vAlign w:val="bottom"/>
            <w:vMerge w:val="continue"/>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3640" w:type="dxa"/>
            <w:vAlign w:val="bottom"/>
            <w:shd w:val="clear" w:color="auto" w:fill="E9EDF4"/>
          </w:tcPr>
          <w:p>
            <w:pPr>
              <w:spacing w:after="0"/>
              <w:rPr>
                <w:sz w:val="13"/>
                <w:szCs w:val="13"/>
                <w:color w:val="auto"/>
              </w:rPr>
            </w:pPr>
          </w:p>
        </w:tc>
        <w:tc>
          <w:tcPr>
            <w:tcW w:w="40" w:type="dxa"/>
            <w:vAlign w:val="bottom"/>
            <w:gridSpan w:val="2"/>
          </w:tcPr>
          <w:p>
            <w:pPr>
              <w:spacing w:after="0"/>
              <w:rPr>
                <w:sz w:val="13"/>
                <w:szCs w:val="13"/>
                <w:color w:val="auto"/>
              </w:rPr>
            </w:pPr>
          </w:p>
        </w:tc>
        <w:tc>
          <w:tcPr>
            <w:tcW w:w="960" w:type="dxa"/>
            <w:vAlign w:val="bottom"/>
            <w:vMerge w:val="continue"/>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196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940" w:type="dxa"/>
            <w:vAlign w:val="bottom"/>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3640" w:type="dxa"/>
            <w:vAlign w:val="bottom"/>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960" w:type="dxa"/>
            <w:vAlign w:val="bottom"/>
            <w:shd w:val="clear" w:color="auto" w:fill="E9EDF4"/>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196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29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6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9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3144520</wp:posOffset>
                </wp:positionH>
                <wp:positionV relativeFrom="paragraph">
                  <wp:posOffset>-3618230</wp:posOffset>
                </wp:positionV>
                <wp:extent cx="0" cy="36195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0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6pt,-284.8999pt" to="247.6pt,0.1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6102985</wp:posOffset>
                </wp:positionH>
                <wp:positionV relativeFrom="paragraph">
                  <wp:posOffset>-4018915</wp:posOffset>
                </wp:positionV>
                <wp:extent cx="0" cy="402018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018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55pt,-316.4499pt" to="480.55pt,0.1pt" o:allowincell="f" strokecolor="#FFFFFF" strokeweight="0.96pt"/>
            </w:pict>
          </mc:Fallback>
        </mc:AlternateContent>
      </w:r>
    </w:p>
    <w:p>
      <w:pPr>
        <w:spacing w:after="0" w:line="37" w:lineRule="exact"/>
        <w:rPr>
          <w:sz w:val="20"/>
          <w:szCs w:val="20"/>
          <w:color w:val="auto"/>
        </w:rPr>
      </w:pPr>
    </w:p>
    <w:p>
      <w:pPr>
        <w:ind w:right="720"/>
        <w:spacing w:after="0" w:line="235" w:lineRule="auto"/>
        <w:rPr>
          <w:sz w:val="20"/>
          <w:szCs w:val="20"/>
          <w:color w:val="auto"/>
        </w:rPr>
      </w:pPr>
      <w:r>
        <w:rPr>
          <w:rFonts w:ascii="Calibri" w:cs="Calibri" w:eastAsia="Calibri" w:hAnsi="Calibri"/>
          <w:sz w:val="18"/>
          <w:szCs w:val="18"/>
          <w:color w:val="auto"/>
        </w:rPr>
        <w:t>*Confirmed cases in China include cases confirmed in Hong Kong SAR (5 confirmed cases), Macau SAR (2 confirmed cases) and Taipei (3 confirmed cases).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900"/>
        <w:spacing w:after="0"/>
        <w:rPr>
          <w:sz w:val="20"/>
          <w:szCs w:val="20"/>
          <w:color w:val="auto"/>
        </w:rPr>
      </w:pPr>
      <w:r>
        <w:rPr>
          <w:rFonts w:ascii="Calibri" w:cs="Calibri" w:eastAsia="Calibri" w:hAnsi="Calibri"/>
          <w:sz w:val="24"/>
          <w:szCs w:val="24"/>
          <w:color w:val="auto"/>
        </w:rPr>
        <w:t>3</w:t>
      </w:r>
    </w:p>
    <w:p>
      <w:pPr>
        <w:sectPr>
          <w:pgSz w:w="11900" w:h="16838" w:orient="portrait"/>
          <w:cols w:equalWidth="0" w:num="1">
            <w:col w:w="9620"/>
          </w:cols>
          <w:pgMar w:left="1440" w:top="1433" w:right="846" w:bottom="415" w:gutter="0" w:footer="0" w:header="0"/>
        </w:sectPr>
      </w:pPr>
    </w:p>
    <w:bookmarkStart w:id="3" w:name="page4"/>
    <w:bookmarkEnd w:id="3"/>
    <w:p>
      <w:pPr>
        <w:spacing w:after="0" w:line="200" w:lineRule="exact"/>
        <w:rPr>
          <w:sz w:val="20"/>
          <w:szCs w:val="20"/>
          <w:color w:val="auto"/>
        </w:rPr>
      </w:pPr>
    </w:p>
    <w:p>
      <w:pPr>
        <w:spacing w:after="0" w:line="303" w:lineRule="exact"/>
        <w:rPr>
          <w:sz w:val="20"/>
          <w:szCs w:val="20"/>
          <w:color w:val="auto"/>
        </w:rPr>
      </w:pPr>
    </w:p>
    <w:p>
      <w:pPr>
        <w:ind w:left="360"/>
        <w:spacing w:after="0"/>
        <w:rPr>
          <w:sz w:val="20"/>
          <w:szCs w:val="20"/>
          <w:color w:val="auto"/>
        </w:rPr>
      </w:pPr>
      <w:r>
        <w:rPr>
          <w:rFonts w:ascii="Calibri" w:cs="Calibri" w:eastAsia="Calibri" w:hAnsi="Calibri"/>
          <w:sz w:val="26"/>
          <w:szCs w:val="26"/>
          <w:b w:val="1"/>
          <w:bCs w:val="1"/>
          <w:color w:val="0070C0"/>
        </w:rPr>
        <w:t>II. PREPAREDNESS AND RESPONSE:</w:t>
      </w:r>
    </w:p>
    <w:p>
      <w:pPr>
        <w:spacing w:after="0" w:line="247"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0070C0"/>
        </w:rPr>
        <w:t>WHO:</w:t>
      </w:r>
    </w:p>
    <w:p>
      <w:pPr>
        <w:spacing w:after="0" w:line="289" w:lineRule="exact"/>
        <w:rPr>
          <w:sz w:val="20"/>
          <w:szCs w:val="20"/>
          <w:color w:val="auto"/>
        </w:rPr>
      </w:pPr>
    </w:p>
    <w:p>
      <w:pPr>
        <w:ind w:left="1080" w:right="106" w:hanging="360"/>
        <w:spacing w:after="0" w:line="218" w:lineRule="auto"/>
        <w:tabs>
          <w:tab w:leader="none" w:pos="108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0">
        <w:r>
          <w:rPr>
            <w:rFonts w:ascii="Calibri" w:cs="Calibri" w:eastAsia="Calibri" w:hAnsi="Calibri"/>
            <w:sz w:val="22"/>
            <w:szCs w:val="22"/>
            <w:u w:val="single" w:color="auto"/>
            <w:color w:val="0000FF"/>
          </w:rPr>
          <w:t>updated advice for international traffic in relation to the outbreak of</w:t>
        </w:r>
      </w:hyperlink>
      <w:r>
        <w:rPr>
          <w:rFonts w:ascii="Calibri" w:cs="Calibri" w:eastAsia="Calibri" w:hAnsi="Calibri"/>
          <w:sz w:val="22"/>
          <w:szCs w:val="22"/>
          <w:color w:val="auto"/>
        </w:rPr>
        <w:t xml:space="preserve"> </w:t>
      </w:r>
      <w:hyperlink r:id="rId10">
        <w:r>
          <w:rPr>
            <w:rFonts w:ascii="Calibri" w:cs="Calibri" w:eastAsia="Calibri" w:hAnsi="Calibri"/>
            <w:sz w:val="22"/>
            <w:szCs w:val="22"/>
            <w:u w:val="single" w:color="auto"/>
            <w:color w:val="0000FF"/>
          </w:rPr>
          <w:t>the novel coronavirus 2019-nCoV</w:t>
        </w:r>
        <w:r>
          <w:rPr>
            <w:rFonts w:ascii="Calibri" w:cs="Calibri" w:eastAsia="Calibri" w:hAnsi="Calibri"/>
            <w:sz w:val="22"/>
            <w:szCs w:val="22"/>
            <w:color w:val="000000"/>
          </w:rPr>
          <w:t>.</w:t>
        </w:r>
      </w:hyperlink>
    </w:p>
    <w:p>
      <w:pPr>
        <w:spacing w:after="0" w:line="49" w:lineRule="exact"/>
        <w:rPr>
          <w:rFonts w:ascii="Calibri" w:cs="Calibri" w:eastAsia="Calibri" w:hAnsi="Calibri"/>
          <w:sz w:val="22"/>
          <w:szCs w:val="22"/>
          <w:color w:val="0000FF"/>
        </w:rPr>
      </w:pPr>
    </w:p>
    <w:p>
      <w:pPr>
        <w:ind w:left="1080" w:right="186" w:hanging="360"/>
        <w:spacing w:after="0" w:line="225" w:lineRule="auto"/>
        <w:tabs>
          <w:tab w:leader="none" w:pos="108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51" w:lineRule="exact"/>
        <w:rPr>
          <w:rFonts w:ascii="Arial" w:cs="Arial" w:eastAsia="Arial" w:hAnsi="Arial"/>
          <w:sz w:val="22"/>
          <w:szCs w:val="22"/>
          <w:color w:val="auto"/>
        </w:rPr>
      </w:pPr>
    </w:p>
    <w:p>
      <w:pPr>
        <w:ind w:left="1080" w:right="486" w:hanging="360"/>
        <w:spacing w:after="0" w:line="218" w:lineRule="auto"/>
        <w:tabs>
          <w:tab w:leader="none" w:pos="108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On 2 January, the incident management system was activated across the three levels of WHO (country office, regional office and headquarters).</w:t>
      </w:r>
    </w:p>
    <w:p>
      <w:pPr>
        <w:spacing w:after="0" w:line="49" w:lineRule="exact"/>
        <w:rPr>
          <w:rFonts w:ascii="Arial" w:cs="Arial" w:eastAsia="Arial" w:hAnsi="Arial"/>
          <w:sz w:val="22"/>
          <w:szCs w:val="22"/>
          <w:color w:val="auto"/>
        </w:rPr>
      </w:pPr>
    </w:p>
    <w:p>
      <w:pPr>
        <w:ind w:left="1080" w:right="306" w:hanging="360"/>
        <w:spacing w:after="0" w:line="235" w:lineRule="auto"/>
        <w:tabs>
          <w:tab w:leader="none" w:pos="10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Developed the </w:t>
      </w:r>
      <w:hyperlink r:id="rId11">
        <w:r>
          <w:rPr>
            <w:rFonts w:ascii="Calibri" w:cs="Calibri" w:eastAsia="Calibri" w:hAnsi="Calibri"/>
            <w:sz w:val="22"/>
            <w:szCs w:val="22"/>
            <w:color w:val="auto"/>
          </w:rPr>
          <w:t xml:space="preserve">surveillance case definitions and reporting forms </w:t>
        </w:r>
      </w:hyperlink>
      <w:r>
        <w:rPr>
          <w:rFonts w:ascii="Calibri" w:cs="Calibri" w:eastAsia="Calibri" w:hAnsi="Calibri"/>
          <w:sz w:val="22"/>
          <w:szCs w:val="22"/>
          <w:color w:val="auto"/>
        </w:rPr>
        <w:t>for human infection with 2019-nCoV and is updating it as the new information becomes available.</w:t>
      </w:r>
    </w:p>
    <w:p>
      <w:pPr>
        <w:spacing w:after="0" w:line="91" w:lineRule="exact"/>
        <w:rPr>
          <w:rFonts w:ascii="Calibri" w:cs="Calibri" w:eastAsia="Calibri" w:hAnsi="Calibri"/>
          <w:sz w:val="22"/>
          <w:szCs w:val="22"/>
          <w:color w:val="auto"/>
        </w:rPr>
      </w:pPr>
    </w:p>
    <w:p>
      <w:pPr>
        <w:ind w:left="1080" w:right="126" w:hanging="360"/>
        <w:spacing w:after="0" w:line="253" w:lineRule="auto"/>
        <w:tabs>
          <w:tab w:leader="none" w:pos="1080" w:val="left"/>
        </w:tabs>
        <w:numPr>
          <w:ilvl w:val="0"/>
          <w:numId w:val="5"/>
        </w:numPr>
        <w:rPr>
          <w:rFonts w:ascii="Calibri" w:cs="Calibri" w:eastAsia="Calibri" w:hAnsi="Calibri"/>
          <w:sz w:val="22"/>
          <w:szCs w:val="22"/>
          <w:color w:val="000000"/>
        </w:rPr>
      </w:pPr>
      <w:r>
        <w:rPr>
          <w:rFonts w:ascii="Calibri" w:cs="Calibri" w:eastAsia="Calibri" w:hAnsi="Calibri"/>
          <w:sz w:val="22"/>
          <w:szCs w:val="22"/>
          <w:color w:val="auto"/>
        </w:rPr>
        <w:t xml:space="preserve">Developed interim guidance for </w:t>
      </w:r>
      <w:hyperlink r:id="rId12">
        <w:r>
          <w:rPr>
            <w:rFonts w:ascii="Calibri" w:cs="Calibri" w:eastAsia="Calibri" w:hAnsi="Calibri"/>
            <w:sz w:val="22"/>
            <w:szCs w:val="22"/>
            <w:color w:val="0000FF"/>
          </w:rPr>
          <w:t>laboratory diagnosis</w:t>
        </w:r>
        <w:r>
          <w:rPr>
            <w:rFonts w:ascii="Calibri" w:cs="Calibri" w:eastAsia="Calibri" w:hAnsi="Calibri"/>
            <w:sz w:val="22"/>
            <w:szCs w:val="22"/>
            <w:color w:val="auto"/>
          </w:rPr>
          <w:t xml:space="preserve">, </w:t>
        </w:r>
      </w:hyperlink>
      <w:hyperlink r:id="rId13">
        <w:r>
          <w:rPr>
            <w:rFonts w:ascii="Calibri" w:cs="Calibri" w:eastAsia="Calibri" w:hAnsi="Calibri"/>
            <w:sz w:val="22"/>
            <w:szCs w:val="22"/>
            <w:color w:val="0000FF"/>
          </w:rPr>
          <w:t>clinical management</w:t>
        </w:r>
      </w:hyperlink>
      <w:hyperlink r:id="rId14">
        <w:r>
          <w:rPr>
            <w:rFonts w:ascii="Calibri" w:cs="Calibri" w:eastAsia="Calibri" w:hAnsi="Calibri"/>
            <w:sz w:val="22"/>
            <w:szCs w:val="22"/>
            <w:color w:val="auto"/>
          </w:rPr>
          <w:t xml:space="preserve">, </w:t>
        </w:r>
        <w:r>
          <w:rPr>
            <w:rFonts w:ascii="Calibri" w:cs="Calibri" w:eastAsia="Calibri" w:hAnsi="Calibri"/>
            <w:sz w:val="22"/>
            <w:szCs w:val="22"/>
            <w:color w:val="0000FF"/>
          </w:rPr>
          <w:t>infection</w:t>
        </w:r>
      </w:hyperlink>
      <w:r>
        <w:rPr>
          <w:rFonts w:ascii="Calibri" w:cs="Calibri" w:eastAsia="Calibri" w:hAnsi="Calibri"/>
          <w:sz w:val="22"/>
          <w:szCs w:val="22"/>
          <w:color w:val="auto"/>
        </w:rPr>
        <w:t xml:space="preserve"> </w:t>
      </w:r>
      <w:hyperlink r:id="rId14">
        <w:r>
          <w:rPr>
            <w:rFonts w:ascii="Calibri" w:cs="Calibri" w:eastAsia="Calibri" w:hAnsi="Calibri"/>
            <w:sz w:val="22"/>
            <w:szCs w:val="22"/>
            <w:color w:val="0000FF"/>
          </w:rPr>
          <w:t>prevention and control in health care settings</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home </w:t>
      </w:r>
      <w:r>
        <w:rPr>
          <w:rFonts w:ascii="Calibri" w:cs="Calibri" w:eastAsia="Calibri" w:hAnsi="Calibri"/>
          <w:sz w:val="22"/>
          <w:szCs w:val="22"/>
          <w:color w:val="000000"/>
        </w:rPr>
        <w:t>care for patients with suspected novel</w:t>
      </w:r>
      <w:r>
        <w:rPr>
          <w:rFonts w:ascii="Calibri" w:cs="Calibri" w:eastAsia="Calibri" w:hAnsi="Calibri"/>
          <w:sz w:val="22"/>
          <w:szCs w:val="22"/>
          <w:color w:val="0000FF"/>
        </w:rPr>
        <w:t xml:space="preserve"> </w:t>
      </w:r>
      <w:r>
        <w:rPr>
          <w:rFonts w:ascii="Calibri" w:cs="Calibri" w:eastAsia="Calibri" w:hAnsi="Calibri"/>
          <w:sz w:val="22"/>
          <w:szCs w:val="22"/>
          <w:color w:val="000000"/>
        </w:rPr>
        <w:t xml:space="preserve">coronavirus , </w:t>
      </w:r>
      <w:hyperlink r:id="rId15">
        <w:r>
          <w:rPr>
            <w:rFonts w:ascii="Calibri" w:cs="Calibri" w:eastAsia="Calibri" w:hAnsi="Calibri"/>
            <w:sz w:val="22"/>
            <w:szCs w:val="22"/>
            <w:color w:val="0000FF"/>
          </w:rPr>
          <w:t>risk communication</w:t>
        </w:r>
        <w:r>
          <w:rPr>
            <w:rFonts w:ascii="Calibri" w:cs="Calibri" w:eastAsia="Calibri" w:hAnsi="Calibri"/>
            <w:sz w:val="22"/>
            <w:szCs w:val="22"/>
            <w:color w:val="000000"/>
          </w:rPr>
          <w:t xml:space="preserve"> </w:t>
        </w:r>
      </w:hyperlink>
      <w:r>
        <w:rPr>
          <w:rFonts w:ascii="Calibri" w:cs="Calibri" w:eastAsia="Calibri" w:hAnsi="Calibri"/>
          <w:sz w:val="22"/>
          <w:szCs w:val="22"/>
          <w:color w:val="000000"/>
        </w:rPr>
        <w:t>and community engagement.</w:t>
      </w:r>
    </w:p>
    <w:p>
      <w:pPr>
        <w:spacing w:after="0" w:line="77" w:lineRule="exact"/>
        <w:rPr>
          <w:rFonts w:ascii="Calibri" w:cs="Calibri" w:eastAsia="Calibri" w:hAnsi="Calibri"/>
          <w:sz w:val="22"/>
          <w:szCs w:val="22"/>
          <w:color w:val="000000"/>
        </w:rPr>
      </w:pPr>
    </w:p>
    <w:p>
      <w:pPr>
        <w:ind w:left="1080" w:right="1066" w:hanging="360"/>
        <w:spacing w:after="0" w:line="236" w:lineRule="auto"/>
        <w:tabs>
          <w:tab w:leader="none" w:pos="10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Prepared </w:t>
      </w:r>
      <w:hyperlink r:id="rId16">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supplies necessary in identification and management of confirmed patients.</w:t>
      </w:r>
    </w:p>
    <w:p>
      <w:pPr>
        <w:spacing w:after="0" w:line="42" w:lineRule="exact"/>
        <w:rPr>
          <w:rFonts w:ascii="Calibri" w:cs="Calibri" w:eastAsia="Calibri" w:hAnsi="Calibri"/>
          <w:sz w:val="22"/>
          <w:szCs w:val="22"/>
          <w:color w:val="auto"/>
        </w:rPr>
      </w:pPr>
    </w:p>
    <w:p>
      <w:pPr>
        <w:ind w:left="1080" w:hanging="360"/>
        <w:spacing w:after="0"/>
        <w:tabs>
          <w:tab w:leader="none" w:pos="10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Provided recommendations to reduce risk of </w:t>
      </w:r>
      <w:hyperlink r:id="rId17">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1080" w:right="306" w:hanging="360"/>
        <w:spacing w:after="0" w:line="236" w:lineRule="auto"/>
        <w:tabs>
          <w:tab w:leader="none" w:pos="108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Utilizing global expert networks and partnerships for laboratory, infection prevention and control, clinical management and mathematical modelling.</w:t>
      </w:r>
    </w:p>
    <w:p>
      <w:pPr>
        <w:spacing w:after="0" w:line="42" w:lineRule="exact"/>
        <w:rPr>
          <w:rFonts w:ascii="Arial" w:cs="Arial" w:eastAsia="Arial" w:hAnsi="Arial"/>
          <w:sz w:val="22"/>
          <w:szCs w:val="22"/>
          <w:color w:val="auto"/>
        </w:rPr>
      </w:pPr>
    </w:p>
    <w:p>
      <w:pPr>
        <w:ind w:left="1080" w:hanging="360"/>
        <w:spacing w:after="0"/>
        <w:tabs>
          <w:tab w:leader="none" w:pos="108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87" w:lineRule="exact"/>
        <w:rPr>
          <w:rFonts w:ascii="Arial" w:cs="Arial" w:eastAsia="Arial" w:hAnsi="Arial"/>
          <w:sz w:val="22"/>
          <w:szCs w:val="22"/>
          <w:color w:val="auto"/>
        </w:rPr>
      </w:pPr>
    </w:p>
    <w:p>
      <w:pPr>
        <w:ind w:left="1080" w:right="126" w:hanging="360"/>
        <w:spacing w:after="0" w:line="229" w:lineRule="auto"/>
        <w:tabs>
          <w:tab w:leader="none" w:pos="108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our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59" w:lineRule="exact"/>
        <w:rPr>
          <w:rFonts w:ascii="Arial" w:cs="Arial" w:eastAsia="Arial" w:hAnsi="Arial"/>
          <w:sz w:val="22"/>
          <w:szCs w:val="22"/>
          <w:color w:val="auto"/>
        </w:rPr>
      </w:pPr>
    </w:p>
    <w:p>
      <w:pPr>
        <w:ind w:left="360" w:right="46"/>
        <w:spacing w:after="0" w:line="268" w:lineRule="auto"/>
        <w:rPr>
          <w:sz w:val="20"/>
          <w:szCs w:val="20"/>
          <w:color w:val="auto"/>
        </w:rPr>
      </w:pPr>
      <w:r>
        <w:rPr>
          <w:rFonts w:ascii="Calibri" w:cs="Calibri" w:eastAsia="Calibri" w:hAnsi="Calibri"/>
          <w:sz w:val="22"/>
          <w:szCs w:val="22"/>
          <w:color w:val="auto"/>
        </w:rPr>
        <w:t>The strategic objectives of the response are to interrupt the transmission of the virus from one person to another in China, to prevent exportation of cases from China to other countries and territories, and to prevent further transmission from exported case if they were to happen. 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risk communication.</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72" w:lineRule="exact"/>
        <w:rPr>
          <w:rFonts w:ascii="Arial" w:cs="Arial" w:eastAsia="Arial" w:hAnsi="Arial"/>
          <w:sz w:val="22"/>
          <w:szCs w:val="22"/>
          <w:color w:val="auto"/>
        </w:rPr>
      </w:pPr>
    </w:p>
    <w:p>
      <w:pPr>
        <w:ind w:left="360" w:right="306"/>
        <w:spacing w:after="0" w:line="265"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the Severe Acute Respiratory Syndrome (SARS)), human to human transmission occurred through droplets, contact and fomites, suggesting that the transmission mode of the 2019-nCoV can be similar. The basic principles to reduce the general risk of transmission of acute respiratory infections:</w:t>
      </w:r>
    </w:p>
    <w:p>
      <w:pPr>
        <w:spacing w:after="0" w:line="321"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186" w:lineRule="exact"/>
        <w:rPr>
          <w:rFonts w:ascii="Arial" w:cs="Arial" w:eastAsia="Arial" w:hAnsi="Arial"/>
          <w:sz w:val="22"/>
          <w:szCs w:val="22"/>
          <w:color w:val="auto"/>
        </w:rPr>
      </w:pPr>
    </w:p>
    <w:p>
      <w:pPr>
        <w:jc w:val="right"/>
        <w:ind w:right="6"/>
        <w:spacing w:after="0"/>
        <w:rPr>
          <w:sz w:val="20"/>
          <w:szCs w:val="20"/>
          <w:color w:val="auto"/>
        </w:rPr>
      </w:pPr>
      <w:r>
        <w:rPr>
          <w:rFonts w:ascii="Calibri" w:cs="Calibri" w:eastAsia="Calibri" w:hAnsi="Calibri"/>
          <w:sz w:val="24"/>
          <w:szCs w:val="24"/>
          <w:color w:val="auto"/>
        </w:rPr>
        <w:t>4</w:t>
      </w:r>
    </w:p>
    <w:p>
      <w:pPr>
        <w:sectPr>
          <w:pgSz w:w="11900" w:h="16838" w:orient="portrait"/>
          <w:cols w:equalWidth="0" w:num="1">
            <w:col w:w="9386"/>
          </w:cols>
          <w:pgMar w:left="1080" w:top="1440" w:right="1440" w:bottom="415" w:gutter="0" w:footer="0" w:header="0"/>
        </w:sectPr>
      </w:pPr>
    </w:p>
    <w:bookmarkStart w:id="4" w:name="page5"/>
    <w:bookmarkEnd w:id="4"/>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0"/>
          <w:szCs w:val="20"/>
          <w:color w:val="auto"/>
        </w:rPr>
      </w:pPr>
    </w:p>
    <w:p>
      <w:pPr>
        <w:ind w:left="360" w:right="526" w:hanging="360"/>
        <w:spacing w:after="0" w:line="235"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0"/>
          <w:szCs w:val="20"/>
          <w:color w:val="auto"/>
        </w:rPr>
      </w:pPr>
    </w:p>
    <w:p>
      <w:pPr>
        <w:ind w:left="360" w:right="906" w:hanging="360"/>
        <w:spacing w:after="0" w:line="236"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88" w:lineRule="exact"/>
        <w:rPr>
          <w:rFonts w:ascii="Arial" w:cs="Arial" w:eastAsia="Arial" w:hAnsi="Arial"/>
          <w:sz w:val="20"/>
          <w:szCs w:val="20"/>
          <w:color w:val="auto"/>
        </w:rPr>
      </w:pPr>
    </w:p>
    <w:p>
      <w:pPr>
        <w:ind w:left="360" w:right="326" w:hanging="360"/>
        <w:spacing w:after="0" w:line="261"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travelers. In case of symptoms suggestive of respiratory illness either during or after travel, the travelers are encouraged to seek medical attention and share their travel history with their health care provider. Travel guidance has been updated.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5</w:t>
      </w:r>
    </w:p>
    <w:p>
      <w:pPr>
        <w:sectPr>
          <w:pgSz w:w="11900" w:h="16838" w:orient="portrait"/>
          <w:cols w:equalWidth="0" w:num="1">
            <w:col w:w="9386"/>
          </w:cols>
          <w:pgMar w:left="1080" w:top="1434" w:right="1440" w:bottom="415" w:gutter="0" w:footer="0" w:header="0"/>
        </w:sectPr>
      </w:pPr>
    </w:p>
    <w:bookmarkStart w:id="5" w:name="page6"/>
    <w:bookmarkEnd w:id="5"/>
    <w:p>
      <w:pPr>
        <w:spacing w:after="0"/>
        <w:rPr>
          <w:sz w:val="20"/>
          <w:szCs w:val="20"/>
          <w:color w:val="auto"/>
        </w:rPr>
      </w:pPr>
      <w:r>
        <w:rPr>
          <w:rFonts w:ascii="Calibri" w:cs="Calibri" w:eastAsia="Calibri" w:hAnsi="Calibri"/>
          <w:sz w:val="26"/>
          <w:szCs w:val="26"/>
          <w:b w:val="1"/>
          <w:bCs w:val="1"/>
          <w:color w:val="0070C0"/>
        </w:rPr>
        <w:t>III. COUNTRY RESPONSE:</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China:</w:t>
      </w:r>
    </w:p>
    <w:p>
      <w:pPr>
        <w:spacing w:after="0" w:line="301" w:lineRule="exact"/>
        <w:rPr>
          <w:sz w:val="20"/>
          <w:szCs w:val="20"/>
          <w:color w:val="auto"/>
        </w:rPr>
      </w:pPr>
    </w:p>
    <w:p>
      <w:pPr>
        <w:ind w:left="720" w:right="146" w:hanging="360"/>
        <w:spacing w:after="0" w:line="255" w:lineRule="auto"/>
        <w:tabs>
          <w:tab w:leader="none" w:pos="720" w:val="left"/>
        </w:tabs>
        <w:numPr>
          <w:ilvl w:val="0"/>
          <w:numId w:val="8"/>
        </w:numPr>
        <w:rPr>
          <w:rFonts w:ascii="Arial" w:cs="Arial" w:eastAsia="Arial" w:hAnsi="Arial"/>
          <w:sz w:val="21"/>
          <w:szCs w:val="21"/>
          <w:color w:val="auto"/>
        </w:rPr>
      </w:pPr>
      <w:r>
        <w:rPr>
          <w:rFonts w:ascii="Calibri" w:cs="Calibri" w:eastAsia="Calibri" w:hAnsi="Calibri"/>
          <w:sz w:val="21"/>
          <w:szCs w:val="21"/>
          <w:color w:val="auto"/>
        </w:rPr>
        <w:t>Public education on disease prevention and environmental hygiene further strengthened in public places across the city, farmers’ markets in particular. As of 23 January, the National</w:t>
      </w:r>
    </w:p>
    <w:p>
      <w:pPr>
        <w:spacing w:after="0" w:line="74" w:lineRule="exact"/>
        <w:rPr>
          <w:rFonts w:ascii="Arial" w:cs="Arial" w:eastAsia="Arial" w:hAnsi="Arial"/>
          <w:sz w:val="21"/>
          <w:szCs w:val="21"/>
          <w:color w:val="auto"/>
        </w:rPr>
      </w:pPr>
    </w:p>
    <w:p>
      <w:pPr>
        <w:ind w:left="720" w:right="86"/>
        <w:spacing w:after="0" w:line="235" w:lineRule="auto"/>
        <w:rPr>
          <w:rFonts w:ascii="Arial" w:cs="Arial" w:eastAsia="Arial" w:hAnsi="Arial"/>
          <w:sz w:val="21"/>
          <w:szCs w:val="21"/>
          <w:color w:val="auto"/>
        </w:rPr>
      </w:pPr>
      <w:r>
        <w:rPr>
          <w:rFonts w:ascii="Calibri" w:cs="Calibri" w:eastAsia="Calibri" w:hAnsi="Calibri"/>
          <w:sz w:val="22"/>
          <w:szCs w:val="22"/>
          <w:color w:val="auto"/>
        </w:rPr>
        <w:t>Health Commission revised protection standards and specifications for medical workers and strengthened prevention and control measures against 2019-nCoV in hospitals.</w:t>
      </w:r>
    </w:p>
    <w:p>
      <w:pPr>
        <w:spacing w:after="0" w:line="53" w:lineRule="exact"/>
        <w:rPr>
          <w:rFonts w:ascii="Arial" w:cs="Arial" w:eastAsia="Arial" w:hAnsi="Arial"/>
          <w:sz w:val="21"/>
          <w:szCs w:val="21"/>
          <w:color w:val="auto"/>
        </w:rPr>
      </w:pPr>
    </w:p>
    <w:p>
      <w:pPr>
        <w:ind w:left="720" w:hanging="360"/>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National authorities are conducting active case finding in all provinces.</w:t>
      </w:r>
    </w:p>
    <w:p>
      <w:pPr>
        <w:spacing w:after="0" w:line="53" w:lineRule="exact"/>
        <w:rPr>
          <w:rFonts w:ascii="Arial" w:cs="Arial" w:eastAsia="Arial" w:hAnsi="Arial"/>
          <w:sz w:val="22"/>
          <w:szCs w:val="22"/>
          <w:color w:val="auto"/>
        </w:rPr>
      </w:pPr>
    </w:p>
    <w:p>
      <w:pPr>
        <w:ind w:left="720" w:hanging="360"/>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Search expanded for additional cases within and outside of Wuhan.</w:t>
      </w:r>
    </w:p>
    <w:p>
      <w:pPr>
        <w:spacing w:after="0" w:line="50" w:lineRule="exact"/>
        <w:rPr>
          <w:rFonts w:ascii="Arial" w:cs="Arial" w:eastAsia="Arial" w:hAnsi="Arial"/>
          <w:sz w:val="22"/>
          <w:szCs w:val="22"/>
          <w:color w:val="auto"/>
        </w:rPr>
      </w:pPr>
    </w:p>
    <w:p>
      <w:pPr>
        <w:ind w:left="720" w:hanging="360"/>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Active / retroactive case finding in medical institutions in Wuhan.</w:t>
      </w:r>
    </w:p>
    <w:p>
      <w:pPr>
        <w:spacing w:after="0" w:line="102" w:lineRule="exact"/>
        <w:rPr>
          <w:rFonts w:ascii="Arial" w:cs="Arial" w:eastAsia="Arial" w:hAnsi="Arial"/>
          <w:sz w:val="22"/>
          <w:szCs w:val="22"/>
          <w:color w:val="auto"/>
        </w:rPr>
      </w:pPr>
    </w:p>
    <w:p>
      <w:pPr>
        <w:ind w:left="720" w:right="46" w:hanging="360"/>
        <w:spacing w:after="0" w:line="235"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The Huanan Seafood Wholesale Market in Wuhan was closed on 1 January 2020 for environmental sanitation and disinfection. Market inspection in expansion to other markets.</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Australia:</w:t>
      </w:r>
    </w:p>
    <w:p>
      <w:pPr>
        <w:spacing w:after="0" w:line="378" w:lineRule="exact"/>
        <w:rPr>
          <w:sz w:val="20"/>
          <w:szCs w:val="20"/>
          <w:color w:val="auto"/>
        </w:rPr>
      </w:pPr>
    </w:p>
    <w:p>
      <w:pPr>
        <w:ind w:left="720" w:right="146" w:hanging="360"/>
        <w:spacing w:after="0" w:line="226"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Updated General Physicians, pharmacists, emergency departments, and the broader health system on the situation as it evolves to enable possible cases to be rapidly identified, diagnosed and managed.</w:t>
      </w:r>
    </w:p>
    <w:p>
      <w:pPr>
        <w:spacing w:after="0" w:line="13" w:lineRule="exact"/>
        <w:rPr>
          <w:rFonts w:ascii="Arial" w:cs="Arial" w:eastAsia="Arial" w:hAnsi="Arial"/>
          <w:sz w:val="22"/>
          <w:szCs w:val="22"/>
          <w:color w:val="auto"/>
        </w:rPr>
      </w:pPr>
    </w:p>
    <w:p>
      <w:pPr>
        <w:ind w:left="720" w:hanging="360"/>
        <w:spacing w:after="0"/>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Developed diagnostic tests through the Public Health laboratories to rapidly diagnose cases</w:t>
      </w:r>
    </w:p>
    <w:p>
      <w:pPr>
        <w:spacing w:after="0" w:line="61" w:lineRule="exact"/>
        <w:rPr>
          <w:rFonts w:ascii="Arial" w:cs="Arial" w:eastAsia="Arial" w:hAnsi="Arial"/>
          <w:sz w:val="22"/>
          <w:szCs w:val="22"/>
          <w:color w:val="auto"/>
        </w:rPr>
      </w:pPr>
    </w:p>
    <w:p>
      <w:pPr>
        <w:ind w:left="720" w:right="526" w:hanging="360"/>
        <w:spacing w:after="0" w:line="218"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Supported the Commonwealth to provide advice and assess travellers for illness on the direct flight from Wuhan to Sydney on 23 January.</w:t>
      </w:r>
    </w:p>
    <w:p>
      <w:pPr>
        <w:spacing w:after="0" w:line="62" w:lineRule="exact"/>
        <w:rPr>
          <w:rFonts w:ascii="Arial" w:cs="Arial" w:eastAsia="Arial" w:hAnsi="Arial"/>
          <w:sz w:val="22"/>
          <w:szCs w:val="22"/>
          <w:color w:val="auto"/>
        </w:rPr>
      </w:pPr>
    </w:p>
    <w:p>
      <w:pPr>
        <w:ind w:left="720" w:right="346" w:hanging="360"/>
        <w:spacing w:after="0" w:line="219"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Providing regular updates to the community, through media briefings, media release and social media including in Mandarin.</w:t>
      </w:r>
    </w:p>
    <w:p>
      <w:pPr>
        <w:spacing w:after="0" w:line="61" w:lineRule="exact"/>
        <w:rPr>
          <w:rFonts w:ascii="Arial" w:cs="Arial" w:eastAsia="Arial" w:hAnsi="Arial"/>
          <w:sz w:val="22"/>
          <w:szCs w:val="22"/>
          <w:color w:val="auto"/>
        </w:rPr>
      </w:pPr>
    </w:p>
    <w:p>
      <w:pPr>
        <w:ind w:left="720" w:right="106" w:hanging="360"/>
        <w:spacing w:after="0" w:line="253"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Infection with 2019-nCoV is now notifiable under the New South Wales Public Health Act 2010, so doctors and pathology laboratories are required to notify NSW Health of all people suspected to have this infection.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6</w:t>
      </w:r>
    </w:p>
    <w:p>
      <w:pPr>
        <w:sectPr>
          <w:pgSz w:w="11900" w:h="16838" w:orient="portrait"/>
          <w:cols w:equalWidth="0" w:num="1">
            <w:col w:w="9026"/>
          </w:cols>
          <w:pgMar w:left="1440" w:top="1433" w:right="1440" w:bottom="415"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982980</wp:posOffset>
            </wp:positionH>
            <wp:positionV relativeFrom="page">
              <wp:posOffset>1237615</wp:posOffset>
            </wp:positionV>
            <wp:extent cx="5664200" cy="74561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664200" cy="7456170"/>
                    </a:xfrm>
                    <a:prstGeom prst="rect">
                      <a:avLst/>
                    </a:prstGeom>
                    <a:noFill/>
                  </pic:spPr>
                </pic:pic>
              </a:graphicData>
            </a:graphic>
          </wp:anchor>
        </w:drawing>
      </w:r>
    </w:p>
    <w:p>
      <w:pPr>
        <w:spacing w:after="0" w:line="200" w:lineRule="exact"/>
        <w:rPr>
          <w:sz w:val="20"/>
          <w:szCs w:val="20"/>
          <w:color w:val="auto"/>
        </w:rPr>
      </w:pPr>
    </w:p>
    <w:p>
      <w:pPr>
        <w:spacing w:after="0" w:line="22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b w:val="1"/>
          <w:bCs w:val="1"/>
          <w:color w:val="FFFFFF"/>
        </w:rPr>
        <w:t>Resources:</w:t>
      </w:r>
    </w:p>
    <w:p>
      <w:pPr>
        <w:spacing w:after="0" w:line="26" w:lineRule="exact"/>
        <w:rPr>
          <w:sz w:val="20"/>
          <w:szCs w:val="20"/>
          <w:color w:val="auto"/>
        </w:rPr>
      </w:pPr>
    </w:p>
    <w:p>
      <w:pPr>
        <w:ind w:left="940" w:right="3506" w:hanging="364"/>
        <w:spacing w:after="0" w:line="245" w:lineRule="auto"/>
        <w:tabs>
          <w:tab w:leader="none" w:pos="940" w:val="left"/>
        </w:tabs>
        <w:numPr>
          <w:ilvl w:val="0"/>
          <w:numId w:val="10"/>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Technical interim guidance for novel coronavirus, WHO: </w:t>
      </w:r>
      <w:hyperlink r:id="rId19">
        <w:r>
          <w:rPr>
            <w:rFonts w:ascii="Times New Roman" w:cs="Times New Roman" w:eastAsia="Times New Roman" w:hAnsi="Times New Roman"/>
            <w:sz w:val="20"/>
            <w:szCs w:val="20"/>
            <w:color w:val="FFFFFF"/>
          </w:rPr>
          <w:t>https://www.who.int/health-topics/coronavirus</w:t>
        </w:r>
      </w:hyperlink>
    </w:p>
    <w:p>
      <w:pPr>
        <w:spacing w:after="0" w:line="40" w:lineRule="exact"/>
        <w:rPr>
          <w:rFonts w:ascii="Times New Roman" w:cs="Times New Roman" w:eastAsia="Times New Roman" w:hAnsi="Times New Roman"/>
          <w:sz w:val="20"/>
          <w:szCs w:val="20"/>
          <w:color w:val="FFFFFF"/>
        </w:rPr>
      </w:pPr>
    </w:p>
    <w:p>
      <w:pPr>
        <w:ind w:left="940" w:right="786" w:hanging="364"/>
        <w:spacing w:after="0" w:line="245" w:lineRule="auto"/>
        <w:tabs>
          <w:tab w:leader="none" w:pos="940" w:val="left"/>
        </w:tabs>
        <w:numPr>
          <w:ilvl w:val="0"/>
          <w:numId w:val="10"/>
        </w:numPr>
        <w:rPr>
          <w:rFonts w:ascii="Arial" w:cs="Arial" w:eastAsia="Arial" w:hAnsi="Arial"/>
          <w:sz w:val="20"/>
          <w:szCs w:val="20"/>
          <w:color w:val="FFFFFF"/>
        </w:rPr>
      </w:pPr>
      <w:r>
        <w:rPr>
          <w:rFonts w:ascii="Times New Roman" w:cs="Times New Roman" w:eastAsia="Times New Roman" w:hAnsi="Times New Roman"/>
          <w:sz w:val="20"/>
          <w:szCs w:val="20"/>
          <w:color w:val="FFFFFF"/>
        </w:rPr>
        <w:t>WHO travel advice for international travel and trade in relation to the outbreak of the novel coronavirus 2019-nCoVaiwan</w:t>
      </w:r>
    </w:p>
    <w:p>
      <w:pPr>
        <w:spacing w:after="0" w:line="26" w:lineRule="exact"/>
        <w:rPr>
          <w:rFonts w:ascii="Arial" w:cs="Arial" w:eastAsia="Arial" w:hAnsi="Arial"/>
          <w:sz w:val="20"/>
          <w:szCs w:val="20"/>
          <w:color w:val="FFFFFF"/>
        </w:rPr>
      </w:pPr>
    </w:p>
    <w:p>
      <w:pPr>
        <w:ind w:left="940" w:hanging="364"/>
        <w:spacing w:after="0"/>
        <w:tabs>
          <w:tab w:leader="none" w:pos="940" w:val="left"/>
        </w:tabs>
        <w:numPr>
          <w:ilvl w:val="0"/>
          <w:numId w:val="10"/>
        </w:numPr>
        <w:rPr>
          <w:rFonts w:ascii="Arial" w:cs="Arial" w:eastAsia="Arial" w:hAnsi="Arial"/>
          <w:sz w:val="20"/>
          <w:szCs w:val="20"/>
          <w:color w:val="FFFFFF"/>
        </w:rPr>
      </w:pPr>
      <w:r>
        <w:rPr>
          <w:rFonts w:ascii="Times New Roman" w:cs="Times New Roman" w:eastAsia="Times New Roman" w:hAnsi="Times New Roman"/>
          <w:sz w:val="20"/>
          <w:szCs w:val="20"/>
          <w:color w:val="FFFFFF"/>
        </w:rPr>
        <w:t>:</w:t>
      </w:r>
    </w:p>
    <w:p>
      <w:pPr>
        <w:spacing w:after="0" w:line="19"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10">
        <w:r>
          <w:rPr>
            <w:rFonts w:ascii="Times New Roman" w:cs="Times New Roman" w:eastAsia="Times New Roman" w:hAnsi="Times New Roman"/>
            <w:sz w:val="20"/>
            <w:szCs w:val="20"/>
            <w:color w:val="FFFFFF"/>
          </w:rPr>
          <w:t>https://www.who.int/ith/2020-24-01-outbreak-of-Pneumonia-caused-by-new-coronavirus/en/</w:t>
        </w:r>
      </w:hyperlink>
    </w:p>
    <w:p>
      <w:pPr>
        <w:spacing w:after="0" w:line="42" w:lineRule="exact"/>
        <w:rPr>
          <w:rFonts w:ascii="Times New Roman" w:cs="Times New Roman" w:eastAsia="Times New Roman" w:hAnsi="Times New Roman"/>
          <w:sz w:val="20"/>
          <w:szCs w:val="20"/>
          <w:color w:val="FFFFFF"/>
        </w:rPr>
      </w:pPr>
    </w:p>
    <w:p>
      <w:pPr>
        <w:ind w:left="940" w:right="586" w:hanging="364"/>
        <w:spacing w:after="0" w:line="253" w:lineRule="auto"/>
        <w:tabs>
          <w:tab w:leader="none" w:pos="940" w:val="left"/>
        </w:tabs>
        <w:numPr>
          <w:ilvl w:val="0"/>
          <w:numId w:val="10"/>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WHO: Regional Office for Europe: 2019-nCoV outbreak:first cases confirmed in Europe </w:t>
      </w:r>
      <w:hyperlink r:id="rId20">
        <w:r>
          <w:rPr>
            <w:rFonts w:ascii="Times New Roman" w:cs="Times New Roman" w:eastAsia="Times New Roman" w:hAnsi="Times New Roman"/>
            <w:sz w:val="20"/>
            <w:szCs w:val="20"/>
            <w:color w:val="FFFFFF"/>
          </w:rPr>
          <w:t>http://www.euro.who.int/en/health-topics/emergencies/pages/news/news/2020/01/2019-ncov-</w:t>
        </w:r>
      </w:hyperlink>
      <w:hyperlink r:id="rId20">
        <w:r>
          <w:rPr>
            <w:rFonts w:ascii="Times New Roman" w:cs="Times New Roman" w:eastAsia="Times New Roman" w:hAnsi="Times New Roman"/>
            <w:sz w:val="20"/>
            <w:szCs w:val="20"/>
            <w:color w:val="FFFFFF"/>
          </w:rPr>
          <w:t>outbreak-first-cases-confirmed-in-europe</w:t>
        </w:r>
      </w:hyperlink>
    </w:p>
    <w:p>
      <w:pPr>
        <w:spacing w:after="0" w:line="30" w:lineRule="exact"/>
        <w:rPr>
          <w:rFonts w:ascii="Times New Roman" w:cs="Times New Roman" w:eastAsia="Times New Roman" w:hAnsi="Times New Roman"/>
          <w:sz w:val="20"/>
          <w:szCs w:val="20"/>
          <w:color w:val="FFFFFF"/>
        </w:rPr>
      </w:pPr>
    </w:p>
    <w:p>
      <w:pPr>
        <w:ind w:left="940" w:right="146" w:hanging="364"/>
        <w:spacing w:after="0" w:line="272" w:lineRule="auto"/>
        <w:tabs>
          <w:tab w:leader="none" w:pos="940" w:val="left"/>
        </w:tabs>
        <w:numPr>
          <w:ilvl w:val="0"/>
          <w:numId w:val="10"/>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Press statement by KCDC (in Korean): </w:t>
      </w:r>
      <w:hyperlink r:id="rId21">
        <w:r>
          <w:rPr>
            <w:rFonts w:ascii="Times New Roman" w:cs="Times New Roman" w:eastAsia="Times New Roman" w:hAnsi="Times New Roman"/>
            <w:sz w:val="19"/>
            <w:szCs w:val="19"/>
            <w:color w:val="FFFFFF"/>
          </w:rPr>
          <w:t>https://www.cdc.go.kr/board/board.es?mid=a20501000000&amp;bid=0015&amp;list_no=365794&amp;act=view</w:t>
        </w:r>
      </w:hyperlink>
    </w:p>
    <w:p>
      <w:pPr>
        <w:ind w:left="940"/>
        <w:spacing w:after="0"/>
        <w:rPr>
          <w:rFonts w:ascii="Times New Roman" w:cs="Times New Roman" w:eastAsia="Times New Roman" w:hAnsi="Times New Roman"/>
          <w:sz w:val="20"/>
          <w:szCs w:val="20"/>
          <w:color w:val="FFFFFF"/>
        </w:rPr>
      </w:pPr>
      <w:hyperlink r:id="rId21">
        <w:r>
          <w:rPr>
            <w:rFonts w:ascii="Times New Roman" w:cs="Times New Roman" w:eastAsia="Times New Roman" w:hAnsi="Times New Roman"/>
            <w:sz w:val="20"/>
            <w:szCs w:val="20"/>
            <w:color w:val="FFFFFF"/>
          </w:rPr>
          <w:t>#</w:t>
        </w:r>
      </w:hyperlink>
    </w:p>
    <w:p>
      <w:pPr>
        <w:spacing w:after="0" w:line="45" w:lineRule="exact"/>
        <w:rPr>
          <w:rFonts w:ascii="Times New Roman" w:cs="Times New Roman" w:eastAsia="Times New Roman" w:hAnsi="Times New Roman"/>
          <w:sz w:val="20"/>
          <w:szCs w:val="20"/>
          <w:color w:val="FFFFFF"/>
        </w:rPr>
      </w:pPr>
    </w:p>
    <w:p>
      <w:pPr>
        <w:ind w:left="940" w:right="146" w:hanging="364"/>
        <w:spacing w:after="0" w:line="271" w:lineRule="auto"/>
        <w:tabs>
          <w:tab w:leader="none" w:pos="940" w:val="left"/>
        </w:tabs>
        <w:numPr>
          <w:ilvl w:val="0"/>
          <w:numId w:val="10"/>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Second Press statement by KCDC (in Korean): </w:t>
      </w:r>
      <w:hyperlink r:id="rId22">
        <w:r>
          <w:rPr>
            <w:rFonts w:ascii="Times New Roman" w:cs="Times New Roman" w:eastAsia="Times New Roman" w:hAnsi="Times New Roman"/>
            <w:sz w:val="19"/>
            <w:szCs w:val="19"/>
            <w:color w:val="FFFFFF"/>
          </w:rPr>
          <w:t>https://www.cdc.go.kr/board/board.es?mid=a20501000000&amp;bid=0015&amp;list_no=365805&amp;act=view</w:t>
        </w:r>
      </w:hyperlink>
    </w:p>
    <w:p>
      <w:pPr>
        <w:ind w:left="940"/>
        <w:spacing w:after="0"/>
        <w:rPr>
          <w:rFonts w:ascii="Times New Roman" w:cs="Times New Roman" w:eastAsia="Times New Roman" w:hAnsi="Times New Roman"/>
          <w:sz w:val="20"/>
          <w:szCs w:val="20"/>
          <w:color w:val="FFFFFF"/>
        </w:rPr>
      </w:pPr>
      <w:hyperlink r:id="rId22">
        <w:r>
          <w:rPr>
            <w:rFonts w:ascii="Times New Roman" w:cs="Times New Roman" w:eastAsia="Times New Roman" w:hAnsi="Times New Roman"/>
            <w:sz w:val="20"/>
            <w:szCs w:val="20"/>
            <w:color w:val="FFFFFF"/>
          </w:rPr>
          <w:t>#</w:t>
        </w:r>
      </w:hyperlink>
    </w:p>
    <w:p>
      <w:pPr>
        <w:spacing w:after="0" w:line="44" w:lineRule="exact"/>
        <w:rPr>
          <w:rFonts w:ascii="Times New Roman" w:cs="Times New Roman" w:eastAsia="Times New Roman" w:hAnsi="Times New Roman"/>
          <w:sz w:val="20"/>
          <w:szCs w:val="20"/>
          <w:color w:val="FFFFFF"/>
        </w:rPr>
      </w:pPr>
    </w:p>
    <w:p>
      <w:pPr>
        <w:ind w:left="940" w:right="886" w:hanging="364"/>
        <w:spacing w:after="0" w:line="245" w:lineRule="auto"/>
        <w:tabs>
          <w:tab w:leader="none" w:pos="940" w:val="left"/>
        </w:tabs>
        <w:numPr>
          <w:ilvl w:val="0"/>
          <w:numId w:val="10"/>
        </w:numPr>
        <w:rPr>
          <w:rFonts w:ascii="Arial" w:cs="Arial" w:eastAsia="Arial" w:hAnsi="Arial"/>
          <w:sz w:val="20"/>
          <w:szCs w:val="20"/>
          <w:color w:val="FFFFFF"/>
        </w:rPr>
      </w:pPr>
      <w:r>
        <w:rPr>
          <w:rFonts w:ascii="Times New Roman" w:cs="Times New Roman" w:eastAsia="Times New Roman" w:hAnsi="Times New Roman"/>
          <w:sz w:val="20"/>
          <w:szCs w:val="20"/>
          <w:color w:val="FFFFFF"/>
        </w:rPr>
        <w:t>Wuhan Municipal Health Commission's briefing on the pneumonia epidemic situation, (in Chinese):</w:t>
      </w:r>
    </w:p>
    <w:p>
      <w:pPr>
        <w:spacing w:after="0" w:line="15"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23">
        <w:r>
          <w:rPr>
            <w:rFonts w:ascii="Times New Roman" w:cs="Times New Roman" w:eastAsia="Times New Roman" w:hAnsi="Times New Roman"/>
            <w:sz w:val="20"/>
            <w:szCs w:val="20"/>
            <w:color w:val="FFFFFF"/>
          </w:rPr>
          <w:t>http://wjw.wuhan.gov.cn/front/web/list2nd/no/710</w:t>
        </w:r>
      </w:hyperlink>
    </w:p>
    <w:p>
      <w:pPr>
        <w:spacing w:after="0" w:line="42" w:lineRule="exact"/>
        <w:rPr>
          <w:rFonts w:ascii="Times New Roman" w:cs="Times New Roman" w:eastAsia="Times New Roman" w:hAnsi="Times New Roman"/>
          <w:sz w:val="20"/>
          <w:szCs w:val="20"/>
          <w:color w:val="FFFFFF"/>
        </w:rPr>
      </w:pPr>
    </w:p>
    <w:p>
      <w:pPr>
        <w:ind w:left="940" w:right="4586" w:hanging="364"/>
        <w:spacing w:after="0" w:line="267" w:lineRule="auto"/>
        <w:tabs>
          <w:tab w:leader="none" w:pos="940" w:val="left"/>
        </w:tabs>
        <w:numPr>
          <w:ilvl w:val="0"/>
          <w:numId w:val="10"/>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Disease outbreak news, Novel Coronavirus: </w:t>
      </w:r>
      <w:hyperlink r:id="rId24">
        <w:r>
          <w:rPr>
            <w:rFonts w:ascii="Times New Roman" w:cs="Times New Roman" w:eastAsia="Times New Roman" w:hAnsi="Times New Roman"/>
            <w:sz w:val="19"/>
            <w:szCs w:val="19"/>
            <w:color w:val="FFFFFF"/>
          </w:rPr>
          <w:t>https://www.who.int/csr/don/en/</w:t>
        </w:r>
      </w:hyperlink>
    </w:p>
    <w:p>
      <w:pPr>
        <w:spacing w:after="0" w:line="24" w:lineRule="exact"/>
        <w:rPr>
          <w:rFonts w:ascii="Times New Roman" w:cs="Times New Roman" w:eastAsia="Times New Roman" w:hAnsi="Times New Roman"/>
          <w:sz w:val="19"/>
          <w:szCs w:val="19"/>
          <w:color w:val="FFFFFF"/>
        </w:rPr>
      </w:pPr>
    </w:p>
    <w:p>
      <w:pPr>
        <w:ind w:left="940" w:right="106" w:hanging="364"/>
        <w:spacing w:after="0" w:line="245" w:lineRule="auto"/>
        <w:tabs>
          <w:tab w:leader="none" w:pos="940" w:val="left"/>
        </w:tabs>
        <w:numPr>
          <w:ilvl w:val="0"/>
          <w:numId w:val="10"/>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Thailand Ministry of Public Health situation update on novel coronavirus (in Thai): </w:t>
      </w:r>
      <w:hyperlink r:id="rId25">
        <w:r>
          <w:rPr>
            <w:rFonts w:ascii="Times New Roman" w:cs="Times New Roman" w:eastAsia="Times New Roman" w:hAnsi="Times New Roman"/>
            <w:sz w:val="20"/>
            <w:szCs w:val="20"/>
            <w:color w:val="FFFFFF"/>
          </w:rPr>
          <w:t>https://ddc.moph.go.th/viralpneumonia/index.html</w:t>
        </w:r>
      </w:hyperlink>
    </w:p>
    <w:p>
      <w:pPr>
        <w:spacing w:after="0" w:line="40" w:lineRule="exact"/>
        <w:rPr>
          <w:rFonts w:ascii="Times New Roman" w:cs="Times New Roman" w:eastAsia="Times New Roman" w:hAnsi="Times New Roman"/>
          <w:sz w:val="20"/>
          <w:szCs w:val="20"/>
          <w:color w:val="FFFFFF"/>
        </w:rPr>
      </w:pPr>
    </w:p>
    <w:p>
      <w:pPr>
        <w:ind w:left="940" w:right="106" w:hanging="364"/>
        <w:spacing w:after="0" w:line="245" w:lineRule="auto"/>
        <w:tabs>
          <w:tab w:leader="none" w:pos="940" w:val="left"/>
        </w:tabs>
        <w:numPr>
          <w:ilvl w:val="0"/>
          <w:numId w:val="10"/>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16 January 2020 (in Japanese): </w:t>
      </w:r>
      <w:hyperlink r:id="rId26">
        <w:r>
          <w:rPr>
            <w:rFonts w:ascii="Times New Roman" w:cs="Times New Roman" w:eastAsia="Times New Roman" w:hAnsi="Times New Roman"/>
            <w:sz w:val="20"/>
            <w:szCs w:val="20"/>
            <w:color w:val="FFFFFF"/>
          </w:rPr>
          <w:t>https://www.mhlw.go.jp/stf/newpage_08906.html</w:t>
        </w:r>
      </w:hyperlink>
    </w:p>
    <w:p>
      <w:pPr>
        <w:spacing w:after="0" w:line="40" w:lineRule="exact"/>
        <w:rPr>
          <w:rFonts w:ascii="Times New Roman" w:cs="Times New Roman" w:eastAsia="Times New Roman" w:hAnsi="Times New Roman"/>
          <w:sz w:val="20"/>
          <w:szCs w:val="20"/>
          <w:color w:val="FFFFFF"/>
        </w:rPr>
      </w:pPr>
    </w:p>
    <w:p>
      <w:pPr>
        <w:ind w:left="940" w:right="126" w:hanging="364"/>
        <w:spacing w:after="0" w:line="244" w:lineRule="auto"/>
        <w:tabs>
          <w:tab w:leader="none" w:pos="940" w:val="left"/>
        </w:tabs>
        <w:numPr>
          <w:ilvl w:val="0"/>
          <w:numId w:val="10"/>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6 January 2020 (in Japanese): </w:t>
      </w:r>
      <w:hyperlink r:id="rId27">
        <w:r>
          <w:rPr>
            <w:rFonts w:ascii="Times New Roman" w:cs="Times New Roman" w:eastAsia="Times New Roman" w:hAnsi="Times New Roman"/>
            <w:sz w:val="20"/>
            <w:szCs w:val="20"/>
            <w:color w:val="FFFFFF"/>
          </w:rPr>
          <w:t>https://www.mhlw.go.jp/stf/newpage_08767.html</w:t>
        </w:r>
      </w:hyperlink>
    </w:p>
    <w:p>
      <w:pPr>
        <w:spacing w:after="0" w:line="23" w:lineRule="exact"/>
        <w:rPr>
          <w:rFonts w:ascii="Times New Roman" w:cs="Times New Roman" w:eastAsia="Times New Roman" w:hAnsi="Times New Roman"/>
          <w:sz w:val="20"/>
          <w:szCs w:val="20"/>
          <w:color w:val="FFFFFF"/>
        </w:rPr>
      </w:pPr>
    </w:p>
    <w:p>
      <w:pPr>
        <w:ind w:left="940" w:right="106" w:hanging="364"/>
        <w:spacing w:after="0" w:line="245" w:lineRule="auto"/>
        <w:tabs>
          <w:tab w:leader="none" w:pos="940" w:val="left"/>
        </w:tabs>
        <w:numPr>
          <w:ilvl w:val="0"/>
          <w:numId w:val="10"/>
        </w:numPr>
        <w:rPr>
          <w:rFonts w:ascii="Arial" w:cs="Arial" w:eastAsia="Arial" w:hAnsi="Arial"/>
          <w:sz w:val="20"/>
          <w:szCs w:val="20"/>
          <w:color w:val="FFFFFF"/>
        </w:rPr>
      </w:pPr>
      <w:r>
        <w:rPr>
          <w:rFonts w:ascii="Times New Roman" w:cs="Times New Roman" w:eastAsia="Times New Roman" w:hAnsi="Times New Roman"/>
          <w:sz w:val="20"/>
          <w:szCs w:val="20"/>
          <w:color w:val="FFFFFF"/>
        </w:rPr>
        <w:t>Notice sent out from Health and Food Safety Planning Division, Quarantine Station Operation Management Office (in Japanese):</w:t>
      </w:r>
    </w:p>
    <w:p>
      <w:pPr>
        <w:spacing w:after="0" w:line="16"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28">
        <w:r>
          <w:rPr>
            <w:rFonts w:ascii="Times New Roman" w:cs="Times New Roman" w:eastAsia="Times New Roman" w:hAnsi="Times New Roman"/>
            <w:sz w:val="20"/>
            <w:szCs w:val="20"/>
            <w:color w:val="FFFFFF"/>
          </w:rPr>
          <w:t>https://www.mhlw.go.jp/content/10900000/000582967.pdf</w:t>
        </w:r>
      </w:hyperlink>
    </w:p>
    <w:p>
      <w:pPr>
        <w:spacing w:after="0" w:line="28" w:lineRule="exact"/>
        <w:rPr>
          <w:rFonts w:ascii="Arial" w:cs="Arial" w:eastAsia="Arial" w:hAnsi="Arial"/>
          <w:sz w:val="20"/>
          <w:szCs w:val="20"/>
          <w:color w:val="FFFFFF"/>
        </w:rPr>
      </w:pPr>
    </w:p>
    <w:p>
      <w:pPr>
        <w:ind w:left="940" w:right="2706" w:hanging="364"/>
        <w:spacing w:after="0" w:line="180" w:lineRule="auto"/>
        <w:tabs>
          <w:tab w:leader="none" w:pos="940" w:val="left"/>
        </w:tabs>
        <w:numPr>
          <w:ilvl w:val="0"/>
          <w:numId w:val="11"/>
        </w:numPr>
        <w:rPr>
          <w:rFonts w:ascii="Times New Roman" w:cs="Times New Roman" w:eastAsia="Times New Roman" w:hAnsi="Times New Roman"/>
          <w:sz w:val="18"/>
          <w:szCs w:val="18"/>
          <w:color w:val="FFFFFF"/>
        </w:rPr>
      </w:pPr>
      <w:r>
        <w:rPr>
          <w:rFonts w:ascii="Times New Roman" w:cs="Times New Roman" w:eastAsia="Times New Roman" w:hAnsi="Times New Roman"/>
          <w:sz w:val="18"/>
          <w:szCs w:val="18"/>
          <w:color w:val="FFFFFF"/>
        </w:rPr>
        <w:t xml:space="preserve">Situation report by WHO on Novel Coronavirus (2019-nCoV) </w:t>
      </w:r>
      <w:hyperlink r:id="rId29">
        <w:r>
          <w:rPr>
            <w:rFonts w:ascii="Times New Roman" w:cs="Times New Roman" w:eastAsia="Times New Roman" w:hAnsi="Times New Roman"/>
            <w:sz w:val="18"/>
            <w:szCs w:val="18"/>
            <w:color w:val="FFFFFF"/>
          </w:rPr>
          <w:t>https://www.who.int/emergencies/diseases/novel-coronavirus-2019</w:t>
        </w:r>
      </w:hyperlink>
    </w:p>
    <w:p>
      <w:pPr>
        <w:spacing w:after="0" w:line="45" w:lineRule="exact"/>
        <w:rPr>
          <w:rFonts w:ascii="Arial" w:cs="Arial" w:eastAsia="Arial" w:hAnsi="Arial"/>
          <w:sz w:val="20"/>
          <w:szCs w:val="20"/>
          <w:color w:val="FFFFFF"/>
        </w:rPr>
      </w:pPr>
    </w:p>
    <w:p>
      <w:pPr>
        <w:ind w:left="940" w:right="186" w:hanging="364"/>
        <w:spacing w:after="0" w:line="245" w:lineRule="auto"/>
        <w:tabs>
          <w:tab w:leader="none" w:pos="940" w:val="left"/>
        </w:tabs>
        <w:numPr>
          <w:ilvl w:val="0"/>
          <w:numId w:val="12"/>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CDC press release. First Travel-related Case of 2019 Novel Coronavirus Detected in United States </w:t>
      </w:r>
      <w:hyperlink r:id="rId30">
        <w:r>
          <w:rPr>
            <w:rFonts w:ascii="Times New Roman" w:cs="Times New Roman" w:eastAsia="Times New Roman" w:hAnsi="Times New Roman"/>
            <w:sz w:val="20"/>
            <w:szCs w:val="20"/>
            <w:color w:val="FFFFFF"/>
          </w:rPr>
          <w:t>https://www.cdc.gov/media/releases/2020/p0121-novel-coronavirus-travel-case.html</w:t>
        </w:r>
      </w:hyperlink>
    </w:p>
    <w:p>
      <w:pPr>
        <w:spacing w:after="0" w:line="40" w:lineRule="exact"/>
        <w:rPr>
          <w:rFonts w:ascii="Times New Roman" w:cs="Times New Roman" w:eastAsia="Times New Roman" w:hAnsi="Times New Roman"/>
          <w:sz w:val="20"/>
          <w:szCs w:val="20"/>
          <w:color w:val="FFFFFF"/>
        </w:rPr>
      </w:pPr>
    </w:p>
    <w:p>
      <w:pPr>
        <w:ind w:left="940" w:right="2446" w:hanging="364"/>
        <w:spacing w:after="0" w:line="266" w:lineRule="auto"/>
        <w:tabs>
          <w:tab w:leader="none" w:pos="940" w:val="left"/>
        </w:tabs>
        <w:numPr>
          <w:ilvl w:val="0"/>
          <w:numId w:val="12"/>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Hong Kong SAR Department of Health, Press Release </w:t>
      </w:r>
      <w:hyperlink r:id="rId31">
        <w:r>
          <w:rPr>
            <w:rFonts w:ascii="Times New Roman" w:cs="Times New Roman" w:eastAsia="Times New Roman" w:hAnsi="Times New Roman"/>
            <w:sz w:val="19"/>
            <w:szCs w:val="19"/>
            <w:color w:val="FFFFFF"/>
          </w:rPr>
          <w:t>https://www.info.gov.hk/gia/general/202001/23/P2020012300970.htm</w:t>
        </w:r>
      </w:hyperlink>
    </w:p>
    <w:p>
      <w:pPr>
        <w:spacing w:after="0" w:line="23" w:lineRule="exact"/>
        <w:rPr>
          <w:rFonts w:ascii="Times New Roman" w:cs="Times New Roman" w:eastAsia="Times New Roman" w:hAnsi="Times New Roman"/>
          <w:sz w:val="19"/>
          <w:szCs w:val="19"/>
          <w:color w:val="FFFFFF"/>
        </w:rPr>
      </w:pPr>
    </w:p>
    <w:p>
      <w:pPr>
        <w:ind w:left="940" w:right="2086" w:hanging="364"/>
        <w:spacing w:after="0" w:line="248" w:lineRule="auto"/>
        <w:tabs>
          <w:tab w:leader="none" w:pos="940" w:val="left"/>
        </w:tabs>
        <w:numPr>
          <w:ilvl w:val="0"/>
          <w:numId w:val="12"/>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Epidemic Prevention Measures, Macau SAR Health Bureau </w:t>
      </w:r>
      <w:hyperlink r:id="rId32">
        <w:r>
          <w:rPr>
            <w:rFonts w:ascii="Times New Roman" w:cs="Times New Roman" w:eastAsia="Times New Roman" w:hAnsi="Times New Roman"/>
            <w:sz w:val="20"/>
            <w:szCs w:val="20"/>
            <w:color w:val="FFFFFF"/>
          </w:rPr>
          <w:t>https://www.ssm.gov.mo/apps1/PreventWuhanInfection/ch.aspx#clg17048</w:t>
        </w:r>
      </w:hyperlink>
    </w:p>
    <w:p>
      <w:pPr>
        <w:spacing w:after="0" w:line="35" w:lineRule="exact"/>
        <w:rPr>
          <w:rFonts w:ascii="Times New Roman" w:cs="Times New Roman" w:eastAsia="Times New Roman" w:hAnsi="Times New Roman"/>
          <w:sz w:val="20"/>
          <w:szCs w:val="20"/>
          <w:color w:val="FFFFFF"/>
        </w:rPr>
      </w:pPr>
    </w:p>
    <w:p>
      <w:pPr>
        <w:ind w:left="940" w:right="306" w:hanging="364"/>
        <w:spacing w:after="0" w:line="253" w:lineRule="auto"/>
        <w:tabs>
          <w:tab w:leader="none" w:pos="940" w:val="left"/>
        </w:tabs>
        <w:numPr>
          <w:ilvl w:val="0"/>
          <w:numId w:val="12"/>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release on 23 January 2020, Ministry of Health Singapore. </w:t>
      </w:r>
      <w:hyperlink r:id="rId33">
        <w:r>
          <w:rPr>
            <w:rFonts w:ascii="Times New Roman" w:cs="Times New Roman" w:eastAsia="Times New Roman" w:hAnsi="Times New Roman"/>
            <w:sz w:val="20"/>
            <w:szCs w:val="20"/>
            <w:color w:val="FFFFFF"/>
          </w:rPr>
          <w:t>https://www.moh.gov.sg/news-highlights/details/confirmed-imported-case-of-novel-coronavirus-</w:t>
        </w:r>
      </w:hyperlink>
      <w:hyperlink r:id="rId33">
        <w:r>
          <w:rPr>
            <w:rFonts w:ascii="Times New Roman" w:cs="Times New Roman" w:eastAsia="Times New Roman" w:hAnsi="Times New Roman"/>
            <w:sz w:val="20"/>
            <w:szCs w:val="20"/>
            <w:color w:val="FFFFFF"/>
          </w:rPr>
          <w:t>infection-in-singapore-multi-ministry-taskforce-ramps-up-precautionary-measures</w:t>
        </w:r>
      </w:hyperlink>
    </w:p>
    <w:p>
      <w:pPr>
        <w:spacing w:after="0" w:line="30" w:lineRule="exact"/>
        <w:rPr>
          <w:rFonts w:ascii="Times New Roman" w:cs="Times New Roman" w:eastAsia="Times New Roman" w:hAnsi="Times New Roman"/>
          <w:sz w:val="20"/>
          <w:szCs w:val="20"/>
          <w:color w:val="FFFFFF"/>
        </w:rPr>
      </w:pPr>
    </w:p>
    <w:p>
      <w:pPr>
        <w:ind w:left="940" w:right="106" w:hanging="364"/>
        <w:spacing w:after="0" w:line="248" w:lineRule="auto"/>
        <w:tabs>
          <w:tab w:leader="none" w:pos="940" w:val="left"/>
        </w:tabs>
        <w:numPr>
          <w:ilvl w:val="0"/>
          <w:numId w:val="12"/>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CDC press release. Second Travel-related Case of 2019 Novel Coronavirus Detected in United States </w:t>
      </w:r>
      <w:hyperlink r:id="rId34">
        <w:r>
          <w:rPr>
            <w:rFonts w:ascii="Times New Roman" w:cs="Times New Roman" w:eastAsia="Times New Roman" w:hAnsi="Times New Roman"/>
            <w:sz w:val="20"/>
            <w:szCs w:val="20"/>
            <w:color w:val="FFFFFF"/>
          </w:rPr>
          <w:t>https://www.cdc.gov/media/releases/2020/p0124-second-travel-coronavirus.html</w:t>
        </w:r>
      </w:hyperlink>
    </w:p>
    <w:p>
      <w:pPr>
        <w:spacing w:after="0" w:line="35" w:lineRule="exact"/>
        <w:rPr>
          <w:rFonts w:ascii="Times New Roman" w:cs="Times New Roman" w:eastAsia="Times New Roman" w:hAnsi="Times New Roman"/>
          <w:sz w:val="20"/>
          <w:szCs w:val="20"/>
          <w:color w:val="FFFFFF"/>
        </w:rPr>
      </w:pPr>
    </w:p>
    <w:p>
      <w:pPr>
        <w:ind w:left="940" w:right="1826" w:hanging="364"/>
        <w:spacing w:after="0" w:line="248" w:lineRule="auto"/>
        <w:tabs>
          <w:tab w:leader="none" w:pos="940" w:val="left"/>
        </w:tabs>
        <w:numPr>
          <w:ilvl w:val="0"/>
          <w:numId w:val="12"/>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New South Wales Government: Health: Coronavirus cases confirmed in NSW </w:t>
      </w:r>
      <w:hyperlink r:id="rId35">
        <w:r>
          <w:rPr>
            <w:rFonts w:ascii="Times New Roman" w:cs="Times New Roman" w:eastAsia="Times New Roman" w:hAnsi="Times New Roman"/>
            <w:sz w:val="20"/>
            <w:szCs w:val="20"/>
            <w:color w:val="FFFFFF"/>
          </w:rPr>
          <w:t>https://www.health.nsw.gov.au/news/Pages/20200125_03.aspx</w:t>
        </w:r>
      </w:hyperlink>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315" w:lineRule="exact"/>
        <w:rPr>
          <w:rFonts w:ascii="Arial" w:cs="Arial" w:eastAsia="Arial" w:hAnsi="Arial"/>
          <w:sz w:val="20"/>
          <w:szCs w:val="20"/>
          <w:color w:val="FFFFFF"/>
        </w:rPr>
      </w:pPr>
    </w:p>
    <w:p>
      <w:pPr>
        <w:jc w:val="right"/>
        <w:ind w:right="6"/>
        <w:spacing w:after="0"/>
        <w:rPr>
          <w:sz w:val="20"/>
          <w:szCs w:val="20"/>
          <w:color w:val="auto"/>
        </w:rPr>
      </w:pPr>
      <w:r>
        <w:rPr>
          <w:rFonts w:ascii="Calibri" w:cs="Calibri" w:eastAsia="Calibri" w:hAnsi="Calibri"/>
          <w:sz w:val="24"/>
          <w:szCs w:val="24"/>
          <w:color w:val="auto"/>
        </w:rPr>
        <w:t>7</w:t>
      </w:r>
    </w:p>
    <w:sectPr>
      <w:pgSz w:w="11900" w:h="16838" w:orient="portrait"/>
      <w:cols w:equalWidth="0" w:num="1">
        <w:col w:w="9026"/>
      </w:cols>
      <w:pgMar w:left="1440" w:top="1440" w:right="1440"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
      <w:numFmt w:val="bullet"/>
      <w:start w:val="1"/>
    </w:lvl>
  </w:abstractNum>
  <w:abstractNum w:abstractNumId="1">
    <w:nsid w:val="41B71EFB"/>
    <w:multiLevelType w:val="hybridMultilevel"/>
    <w:lvl w:ilvl="0">
      <w:lvlJc w:val="left"/>
      <w:lvlText w:val="%1"/>
      <w:numFmt w:val="decimal"/>
      <w:start w:val="1"/>
    </w:lvl>
  </w:abstractNum>
  <w:abstractNum w:abstractNumId="2">
    <w:nsid w:val="79E2A9E3"/>
    <w:multiLevelType w:val="hybridMultilevel"/>
    <w:lvl w:ilvl="0">
      <w:lvlJc w:val="left"/>
      <w:lvlText w:val="(%1)"/>
      <w:numFmt w:val="decimal"/>
      <w:start w:val="1"/>
    </w:lvl>
  </w:abstractNum>
  <w:abstractNum w:abstractNumId="3">
    <w:nsid w:val="7545E146"/>
    <w:multiLevelType w:val="hybridMultilevel"/>
    <w:lvl w:ilvl="0">
      <w:lvlJc w:val="left"/>
      <w:lvlText w:val="%1"/>
      <w:numFmt w:val="decimal"/>
      <w:start w:val="3"/>
    </w:lvl>
  </w:abstractNum>
  <w:abstractNum w:abstractNumId="4">
    <w:nsid w:val="515F007C"/>
    <w:multiLevelType w:val="hybridMultilevel"/>
    <w:lvl w:ilvl="0">
      <w:lvlJc w:val="left"/>
      <w:lvlText w:val="•"/>
      <w:numFmt w:val="bullet"/>
      <w:start w:val="1"/>
    </w:lvl>
  </w:abstractNum>
  <w:abstractNum w:abstractNumId="5">
    <w:nsid w:val="5BD062C2"/>
    <w:multiLevelType w:val="hybridMultilevel"/>
    <w:lvl w:ilvl="0">
      <w:lvlJc w:val="left"/>
      <w:lvlText w:val="•"/>
      <w:numFmt w:val="bullet"/>
      <w:start w:val="1"/>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
      <w:numFmt w:val="bullet"/>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
      <w:numFmt w:val="bullet"/>
      <w:start w:val="1"/>
    </w:lvl>
  </w:abstractNum>
  <w:abstractNum w:abstractNumId="10">
    <w:nsid w:val="1190CDE7"/>
    <w:multiLevelType w:val="hybridMultilevel"/>
    <w:lvl w:ilvl="0">
      <w:lvlJc w:val="left"/>
      <w:lvlText w:val="▪"/>
      <w:numFmt w:val="bullet"/>
      <w:start w:val="1"/>
    </w:lvl>
  </w:abstractNum>
  <w:abstractNum w:abstractNumId="11">
    <w:nsid w:val="66EF438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8" Type="http://schemas.openxmlformats.org/officeDocument/2006/relationships/image" Target="media/image3.png"/><Relationship Id="rId10" Type="http://schemas.openxmlformats.org/officeDocument/2006/relationships/hyperlink" Target="https://www.who.int/ith/2020-24-01-outbreak-of-Pneumonia-caused-by-new-coronavirus/en/" TargetMode="External"/><Relationship Id="rId11" Type="http://schemas.openxmlformats.org/officeDocument/2006/relationships/hyperlink" Target="https://www.who.int/publications-detail/global-surveillance-for-human-infection-with-novel-coronavirus-(2019-ncov)" TargetMode="External"/><Relationship Id="rId12" Type="http://schemas.openxmlformats.org/officeDocument/2006/relationships/hyperlink" Target="https://www.who.int/health-topics/coronavirus/laboratory-diagnostics-for-novel-coronavirus" TargetMode="External"/><Relationship Id="rId13" Type="http://schemas.openxmlformats.org/officeDocument/2006/relationships/hyperlink" Target="https://www.who.int/internal-publications-detail/clinical-management-of-severe-acute-respiratory-infection-when-novel-coronavirus-(ncov)-infection-is-suspected" TargetMode="External"/><Relationship Id="rId14" Type="http://schemas.openxmlformats.org/officeDocument/2006/relationships/hyperlink" Target="https://www.who.int/publications-detail/infection-prevention-and-control-during-health-care-when-novel-coronavirus-(ncov)-infection-is-suspected" TargetMode="External"/><Relationship Id="rId15" Type="http://schemas.openxmlformats.org/officeDocument/2006/relationships/hyperlink" Target="https://www.who.int/publications-detail/risk-communication-and-community-engagement-readiness-and-initial-response-for-novel-coronaviruses-(-ncov)" TargetMode="External"/><Relationship Id="rId16" Type="http://schemas.openxmlformats.org/officeDocument/2006/relationships/hyperlink" Target="https://www.who.int/internal-publications-detail/disease-commodity-package---novel-coronavirus-(ncov)" TargetMode="External"/><Relationship Id="rId17" Type="http://schemas.openxmlformats.org/officeDocument/2006/relationships/hyperlink" Target="https://www.who.int/health-topics/coronavirus/who-recommendations-to-reduce-risk-of-transmission-of-emerging-pathogens-from-animals-to-humans-in-live-animal-markets" TargetMode="External"/><Relationship Id="rId19" Type="http://schemas.openxmlformats.org/officeDocument/2006/relationships/hyperlink" Target="https://www.who.int/health-topics/coronavirus" TargetMode="External"/><Relationship Id="rId20" Type="http://schemas.openxmlformats.org/officeDocument/2006/relationships/hyperlink" Target="http://www.euro.who.int/en/health-topics/emergencies/pages/news/news/2020/01/2019-ncov-outbreak-first-cases-confirmed-in-europe" TargetMode="External"/><Relationship Id="rId21" Type="http://schemas.openxmlformats.org/officeDocument/2006/relationships/hyperlink" Target="https://www.cdc.go.kr/board/board.es?mid=a20501000000&amp;bid=0015&amp;list_no=365794&amp;act=view" TargetMode="External"/><Relationship Id="rId22" Type="http://schemas.openxmlformats.org/officeDocument/2006/relationships/hyperlink" Target="https://www.cdc.go.kr/board/board.es?mid=a20501000000&amp;bid=0015&amp;list_no=365805&amp;act=view" TargetMode="External"/><Relationship Id="rId23" Type="http://schemas.openxmlformats.org/officeDocument/2006/relationships/hyperlink" Target="http://wjw.wuhan.gov.cn/front/web/list2nd/no/710" TargetMode="External"/><Relationship Id="rId24" Type="http://schemas.openxmlformats.org/officeDocument/2006/relationships/hyperlink" Target="https://www.who.int/csr/don/en/" TargetMode="External"/><Relationship Id="rId25" Type="http://schemas.openxmlformats.org/officeDocument/2006/relationships/hyperlink" Target="https://ddc.moph.go.th/viralpneumonia/index.html" TargetMode="External"/><Relationship Id="rId26" Type="http://schemas.openxmlformats.org/officeDocument/2006/relationships/hyperlink" Target="https://www.mhlw.go.jp/stf/newpage_08906.html" TargetMode="External"/><Relationship Id="rId27" Type="http://schemas.openxmlformats.org/officeDocument/2006/relationships/hyperlink" Target="https://www.mhlw.go.jp/stf/newpage_08767.html" TargetMode="External"/><Relationship Id="rId28" Type="http://schemas.openxmlformats.org/officeDocument/2006/relationships/hyperlink" Target="https://www.mhlw.go.jp/content/10900000/000582967.pdf" TargetMode="External"/><Relationship Id="rId29" Type="http://schemas.openxmlformats.org/officeDocument/2006/relationships/hyperlink" Target="https://www.who.int/emergencies/diseases/novel-coronavirus-2019" TargetMode="External"/><Relationship Id="rId30" Type="http://schemas.openxmlformats.org/officeDocument/2006/relationships/hyperlink" Target="https://www.cdc.gov/media/releases/2020/p0121-novel-coronavirus-travel-case.html" TargetMode="External"/><Relationship Id="rId31" Type="http://schemas.openxmlformats.org/officeDocument/2006/relationships/hyperlink" Target="https://www.info.gov.hk/gia/general/202001/23/P2020012300970.htm" TargetMode="External"/><Relationship Id="rId32" Type="http://schemas.openxmlformats.org/officeDocument/2006/relationships/hyperlink" Target="https://www.ssm.gov.mo/apps1/PreventWuhanInfection/ch.aspx#clg17048" TargetMode="External"/><Relationship Id="rId33" Type="http://schemas.openxmlformats.org/officeDocument/2006/relationships/hyperlink" Target="https://www.moh.gov.sg/news-highlights/details/confirmed-imported-case-of-novel-coronavirus-infection-in-singapore-multi-ministry-taskforce-ramps-up-precautionary-measures" TargetMode="External"/><Relationship Id="rId34" Type="http://schemas.openxmlformats.org/officeDocument/2006/relationships/hyperlink" Target="https://www.cdc.gov/media/releases/2020/p0124-second-travel-coronavirus.html" TargetMode="External"/><Relationship Id="rId35" Type="http://schemas.openxmlformats.org/officeDocument/2006/relationships/hyperlink" Target="https://www.health.nsw.gov.au/news/Pages/20200125_03.asp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2020-03-10T16:41:45Z</dcterms:created>
  <dcterms:modified xsi:type="dcterms:W3CDTF">2020-03-10T16:41:45Z</dcterms:modified>
</cp:coreProperties>
</file>