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6900"/>
        <w:spacing w:after="0"/>
        <w:rPr>
          <w:sz w:val="20"/>
          <w:szCs w:val="20"/>
          <w:color w:val="auto"/>
        </w:rPr>
      </w:pPr>
      <w:r>
        <w:rPr>
          <w:rFonts w:ascii="Times New Roman" w:cs="Times New Roman" w:eastAsia="Times New Roman" w:hAnsi="Times New Roman"/>
          <w:sz w:val="36"/>
          <w:szCs w:val="36"/>
          <w:b w:val="1"/>
          <w:bCs w:val="1"/>
          <w:color w:val="0070C0"/>
        </w:rPr>
        <w:drawing>
          <wp:anchor simplePos="0" relativeHeight="251657728" behindDoc="1" locked="0" layoutInCell="0" allowOverlap="1">
            <wp:simplePos x="0" y="0"/>
            <wp:positionH relativeFrom="page">
              <wp:posOffset>982980</wp:posOffset>
            </wp:positionH>
            <wp:positionV relativeFrom="page">
              <wp:posOffset>283845</wp:posOffset>
            </wp:positionV>
            <wp:extent cx="5729605" cy="22510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729605" cy="2251075"/>
                    </a:xfrm>
                    <a:prstGeom prst="rect">
                      <a:avLst/>
                    </a:prstGeom>
                    <a:noFill/>
                  </pic:spPr>
                </pic:pic>
              </a:graphicData>
            </a:graphic>
          </wp:anchor>
        </w:drawing>
        <w:t>ZIKA VIRUS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3" w:lineRule="exact"/>
        <w:rPr>
          <w:sz w:val="24"/>
          <w:szCs w:val="24"/>
          <w:color w:val="auto"/>
        </w:rPr>
      </w:pPr>
    </w:p>
    <w:p>
      <w:pPr>
        <w:ind w:left="3480"/>
        <w:spacing w:after="0"/>
        <w:rPr>
          <w:sz w:val="20"/>
          <w:szCs w:val="20"/>
          <w:color w:val="auto"/>
        </w:rPr>
      </w:pPr>
      <w:r>
        <w:rPr>
          <w:rFonts w:ascii="Times New Roman" w:cs="Times New Roman" w:eastAsia="Times New Roman" w:hAnsi="Times New Roman"/>
          <w:sz w:val="40"/>
          <w:szCs w:val="40"/>
          <w:b w:val="1"/>
          <w:bCs w:val="1"/>
          <w:color w:val="FFFFFF"/>
        </w:rPr>
        <w:t>Novel Coronavirus (2019-nCoV)</w:t>
      </w:r>
    </w:p>
    <w:p>
      <w:pPr>
        <w:jc w:val="right"/>
        <w:ind w:right="20"/>
        <w:spacing w:after="0" w:line="238" w:lineRule="auto"/>
        <w:rPr>
          <w:sz w:val="20"/>
          <w:szCs w:val="20"/>
          <w:color w:val="auto"/>
        </w:rPr>
      </w:pPr>
      <w:r>
        <w:rPr>
          <w:rFonts w:ascii="Times New Roman" w:cs="Times New Roman" w:eastAsia="Times New Roman" w:hAnsi="Times New Roman"/>
          <w:sz w:val="30"/>
          <w:szCs w:val="30"/>
          <w:b w:val="1"/>
          <w:bCs w:val="1"/>
          <w:color w:val="FFFFFF"/>
        </w:rPr>
        <w:t>SITUATION REPORT - 6</w:t>
      </w:r>
    </w:p>
    <w:p>
      <w:pPr>
        <w:spacing w:after="0" w:line="1" w:lineRule="exact"/>
        <w:rPr>
          <w:sz w:val="24"/>
          <w:szCs w:val="24"/>
          <w:color w:val="auto"/>
        </w:rPr>
      </w:pPr>
    </w:p>
    <w:p>
      <w:pPr>
        <w:jc w:val="right"/>
        <w:ind w:right="20"/>
        <w:spacing w:after="0"/>
        <w:rPr>
          <w:sz w:val="20"/>
          <w:szCs w:val="20"/>
          <w:color w:val="auto"/>
        </w:rPr>
      </w:pPr>
      <w:r>
        <w:rPr>
          <w:rFonts w:ascii="Times New Roman" w:cs="Times New Roman" w:eastAsia="Times New Roman" w:hAnsi="Times New Roman"/>
          <w:sz w:val="30"/>
          <w:szCs w:val="30"/>
          <w:b w:val="1"/>
          <w:bCs w:val="1"/>
          <w:color w:val="FFFFFF"/>
        </w:rPr>
        <w:t>26 JANUARY 2020</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7"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0070C0"/>
        </w:rPr>
        <w:t>Data as reported by: 26 January 2020</w:t>
      </w:r>
      <w:r>
        <w:rPr>
          <w:rFonts w:ascii="Calibri" w:cs="Calibri" w:eastAsia="Calibri" w:hAnsi="Calibri"/>
          <w:sz w:val="32"/>
          <w:szCs w:val="32"/>
          <w:b w:val="1"/>
          <w:bCs w:val="1"/>
          <w:color w:val="0070C0"/>
          <w:vertAlign w:val="superscript"/>
        </w:rPr>
        <w:t>1</w:t>
      </w:r>
    </w:p>
    <w:p>
      <w:pPr>
        <w:spacing w:after="0" w:line="282" w:lineRule="exact"/>
        <w:rPr>
          <w:sz w:val="24"/>
          <w:szCs w:val="24"/>
          <w:color w:val="auto"/>
        </w:rPr>
      </w:pPr>
    </w:p>
    <w:p>
      <w:pPr>
        <w:spacing w:after="0"/>
        <w:rPr>
          <w:sz w:val="20"/>
          <w:szCs w:val="20"/>
          <w:color w:val="auto"/>
        </w:rPr>
      </w:pPr>
      <w:r>
        <w:rPr>
          <w:rFonts w:ascii="Calibri" w:cs="Calibri" w:eastAsia="Calibri" w:hAnsi="Calibri"/>
          <w:sz w:val="26"/>
          <w:szCs w:val="26"/>
          <w:b w:val="1"/>
          <w:bCs w:val="1"/>
          <w:color w:val="0070C0"/>
        </w:rPr>
        <w:t>SUMMARY</w:t>
      </w:r>
    </w:p>
    <w:p>
      <w:pPr>
        <w:spacing w:after="0" w:line="168"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0070C0"/>
        </w:rPr>
        <w:t>Situation update:</w:t>
      </w:r>
    </w:p>
    <w:p>
      <w:pPr>
        <w:spacing w:after="0" w:line="222" w:lineRule="exact"/>
        <w:rPr>
          <w:sz w:val="24"/>
          <w:szCs w:val="24"/>
          <w:color w:val="auto"/>
        </w:rPr>
      </w:pPr>
    </w:p>
    <w:p>
      <w:pPr>
        <w:ind w:left="360" w:right="20" w:hanging="360"/>
        <w:spacing w:after="0" w:line="235" w:lineRule="auto"/>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On 26 January 2020, the number of reported confirmed cases of novel coronavirus (2019-nCoV) has increased by 694 cases since the last situation report published yesterday.</w:t>
      </w:r>
    </w:p>
    <w:p>
      <w:pPr>
        <w:spacing w:after="0" w:line="53" w:lineRule="exact"/>
        <w:rPr>
          <w:rFonts w:ascii="Arial" w:cs="Arial" w:eastAsia="Arial" w:hAnsi="Arial"/>
          <w:sz w:val="22"/>
          <w:szCs w:val="22"/>
          <w:color w:val="auto"/>
        </w:rPr>
      </w:pPr>
    </w:p>
    <w:p>
      <w:pPr>
        <w:ind w:left="360" w:hanging="360"/>
        <w:spacing w:after="0"/>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A total of 2,014 confirmed 2019-nCoV cases have been reported globally;</w:t>
      </w:r>
    </w:p>
    <w:p>
      <w:pPr>
        <w:spacing w:after="0" w:line="102" w:lineRule="exact"/>
        <w:rPr>
          <w:rFonts w:ascii="Arial" w:cs="Arial" w:eastAsia="Arial" w:hAnsi="Arial"/>
          <w:sz w:val="22"/>
          <w:szCs w:val="22"/>
          <w:color w:val="auto"/>
        </w:rPr>
      </w:pPr>
    </w:p>
    <w:p>
      <w:pPr>
        <w:ind w:left="360" w:right="20" w:hanging="360"/>
        <w:spacing w:after="0" w:line="235" w:lineRule="auto"/>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Of the 2,014 cases reported, 1,985 cases were reported from China, including Hong Kong SAR (5 confirmed cases), Macau SAR (2 confirmed cases) and Taipei (3 confirmed cases).</w:t>
      </w:r>
    </w:p>
    <w:p>
      <w:pPr>
        <w:spacing w:after="0" w:line="53" w:lineRule="exact"/>
        <w:rPr>
          <w:rFonts w:ascii="Arial" w:cs="Arial" w:eastAsia="Arial" w:hAnsi="Arial"/>
          <w:sz w:val="22"/>
          <w:szCs w:val="22"/>
          <w:color w:val="auto"/>
        </w:rPr>
      </w:pPr>
    </w:p>
    <w:p>
      <w:pPr>
        <w:ind w:left="360" w:hanging="360"/>
        <w:spacing w:after="0"/>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Twenty-nine confirmed cases have been reported outside of China in ten countries (see table-1).</w:t>
      </w:r>
    </w:p>
    <w:p>
      <w:pPr>
        <w:spacing w:after="0" w:line="38" w:lineRule="exact"/>
        <w:rPr>
          <w:rFonts w:ascii="Arial" w:cs="Arial" w:eastAsia="Arial" w:hAnsi="Arial"/>
          <w:sz w:val="22"/>
          <w:szCs w:val="22"/>
          <w:color w:val="auto"/>
        </w:rPr>
      </w:pPr>
    </w:p>
    <w:p>
      <w:pPr>
        <w:ind w:left="1080" w:hanging="360"/>
        <w:spacing w:after="0"/>
        <w:tabs>
          <w:tab w:leader="none" w:pos="1080" w:val="left"/>
        </w:tabs>
        <w:numPr>
          <w:ilvl w:val="1"/>
          <w:numId w:val="1"/>
        </w:numPr>
        <w:rPr>
          <w:rFonts w:ascii="Calibri" w:cs="Calibri" w:eastAsia="Calibri" w:hAnsi="Calibri"/>
          <w:sz w:val="22"/>
          <w:szCs w:val="22"/>
          <w:color w:val="auto"/>
        </w:rPr>
      </w:pPr>
      <w:r>
        <w:rPr>
          <w:rFonts w:ascii="Calibri" w:cs="Calibri" w:eastAsia="Calibri" w:hAnsi="Calibri"/>
          <w:sz w:val="22"/>
          <w:szCs w:val="22"/>
          <w:color w:val="auto"/>
        </w:rPr>
        <w:t>Of these 29 exported cases, 26 had a travel history from Wuhan City, China.</w:t>
      </w:r>
    </w:p>
    <w:p>
      <w:pPr>
        <w:spacing w:after="0" w:line="53" w:lineRule="exact"/>
        <w:rPr>
          <w:rFonts w:ascii="Calibri" w:cs="Calibri" w:eastAsia="Calibri" w:hAnsi="Calibri"/>
          <w:sz w:val="22"/>
          <w:szCs w:val="22"/>
          <w:color w:val="auto"/>
        </w:rPr>
      </w:pPr>
    </w:p>
    <w:p>
      <w:pPr>
        <w:ind w:left="360" w:hanging="360"/>
        <w:spacing w:after="0"/>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Among the three cases identified in countries outside of China:</w:t>
      </w:r>
    </w:p>
    <w:p>
      <w:pPr>
        <w:spacing w:after="0" w:line="53" w:lineRule="exact"/>
        <w:rPr>
          <w:rFonts w:ascii="Arial" w:cs="Arial" w:eastAsia="Arial" w:hAnsi="Arial"/>
          <w:sz w:val="22"/>
          <w:szCs w:val="22"/>
          <w:color w:val="auto"/>
        </w:rPr>
      </w:pPr>
    </w:p>
    <w:p>
      <w:pPr>
        <w:ind w:left="1080" w:hanging="360"/>
        <w:spacing w:after="0"/>
        <w:tabs>
          <w:tab w:leader="none" w:pos="1080" w:val="left"/>
        </w:tabs>
        <w:numPr>
          <w:ilvl w:val="1"/>
          <w:numId w:val="1"/>
        </w:numPr>
        <w:rPr>
          <w:rFonts w:ascii="Calibri" w:cs="Calibri" w:eastAsia="Calibri" w:hAnsi="Calibri"/>
          <w:sz w:val="21"/>
          <w:szCs w:val="21"/>
          <w:color w:val="auto"/>
        </w:rPr>
      </w:pPr>
      <w:r>
        <w:rPr>
          <w:rFonts w:ascii="Calibri" w:cs="Calibri" w:eastAsia="Calibri" w:hAnsi="Calibri"/>
          <w:sz w:val="21"/>
          <w:szCs w:val="21"/>
          <w:color w:val="auto"/>
        </w:rPr>
        <w:t>One case in Australia had direct contact with a confirmed case from Wuhan while in China;</w:t>
      </w:r>
    </w:p>
    <w:p>
      <w:pPr>
        <w:spacing w:after="0" w:line="39" w:lineRule="exact"/>
        <w:rPr>
          <w:rFonts w:ascii="Calibri" w:cs="Calibri" w:eastAsia="Calibri" w:hAnsi="Calibri"/>
          <w:sz w:val="21"/>
          <w:szCs w:val="21"/>
          <w:color w:val="auto"/>
        </w:rPr>
      </w:pPr>
    </w:p>
    <w:p>
      <w:pPr>
        <w:ind w:left="1080" w:hanging="360"/>
        <w:spacing w:after="0"/>
        <w:tabs>
          <w:tab w:leader="none" w:pos="1080" w:val="left"/>
        </w:tabs>
        <w:numPr>
          <w:ilvl w:val="1"/>
          <w:numId w:val="1"/>
        </w:numPr>
        <w:rPr>
          <w:rFonts w:ascii="Calibri" w:cs="Calibri" w:eastAsia="Calibri" w:hAnsi="Calibri"/>
          <w:sz w:val="22"/>
          <w:szCs w:val="22"/>
          <w:color w:val="auto"/>
        </w:rPr>
      </w:pPr>
      <w:r>
        <w:rPr>
          <w:rFonts w:ascii="Calibri" w:cs="Calibri" w:eastAsia="Calibri" w:hAnsi="Calibri"/>
          <w:sz w:val="22"/>
          <w:szCs w:val="22"/>
          <w:color w:val="auto"/>
        </w:rPr>
        <w:t>One case in Australia reported today; travel history is not yet known.</w:t>
      </w:r>
    </w:p>
    <w:p>
      <w:pPr>
        <w:spacing w:after="0" w:line="90" w:lineRule="exact"/>
        <w:rPr>
          <w:rFonts w:ascii="Calibri" w:cs="Calibri" w:eastAsia="Calibri" w:hAnsi="Calibri"/>
          <w:sz w:val="22"/>
          <w:szCs w:val="22"/>
          <w:color w:val="auto"/>
        </w:rPr>
      </w:pPr>
    </w:p>
    <w:p>
      <w:pPr>
        <w:jc w:val="both"/>
        <w:ind w:left="1080" w:hanging="360"/>
        <w:spacing w:after="0" w:line="253" w:lineRule="auto"/>
        <w:tabs>
          <w:tab w:leader="none" w:pos="1080" w:val="left"/>
        </w:tabs>
        <w:numPr>
          <w:ilvl w:val="1"/>
          <w:numId w:val="1"/>
        </w:numPr>
        <w:rPr>
          <w:rFonts w:ascii="Calibri" w:cs="Calibri" w:eastAsia="Calibri" w:hAnsi="Calibri"/>
          <w:sz w:val="22"/>
          <w:szCs w:val="22"/>
          <w:color w:val="auto"/>
        </w:rPr>
      </w:pPr>
      <w:r>
        <w:rPr>
          <w:rFonts w:ascii="Calibri" w:cs="Calibri" w:eastAsia="Calibri" w:hAnsi="Calibri"/>
          <w:sz w:val="22"/>
          <w:szCs w:val="22"/>
          <w:color w:val="auto"/>
        </w:rPr>
        <w:t>One case in Viet Nam had no travel history but was in contact with a confirmed case (his father with travel history to Wuhan), resulting from human to human transmission within a family.</w:t>
      </w:r>
    </w:p>
    <w:p>
      <w:pPr>
        <w:spacing w:after="0" w:line="89" w:lineRule="exact"/>
        <w:rPr>
          <w:rFonts w:ascii="Calibri" w:cs="Calibri" w:eastAsia="Calibri" w:hAnsi="Calibri"/>
          <w:sz w:val="22"/>
          <w:szCs w:val="22"/>
          <w:color w:val="auto"/>
        </w:rPr>
      </w:pPr>
    </w:p>
    <w:p>
      <w:pPr>
        <w:ind w:left="360" w:right="20" w:hanging="360"/>
        <w:spacing w:after="0" w:line="235" w:lineRule="auto"/>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Of the 1,975 confirmed cases (excluding Hong Kong SAR, Macau SAR and Taipei), 324 cases have been reported as severely ill</w:t>
      </w:r>
      <w:r>
        <w:rPr>
          <w:rFonts w:ascii="Calibri" w:cs="Calibri" w:eastAsia="Calibri" w:hAnsi="Calibri"/>
          <w:sz w:val="27"/>
          <w:szCs w:val="27"/>
          <w:color w:val="auto"/>
          <w:vertAlign w:val="superscript"/>
        </w:rPr>
        <w:t>2</w:t>
      </w:r>
      <w:r>
        <w:rPr>
          <w:rFonts w:ascii="Calibri" w:cs="Calibri" w:eastAsia="Calibri" w:hAnsi="Calibri"/>
          <w:sz w:val="22"/>
          <w:szCs w:val="22"/>
          <w:color w:val="auto"/>
        </w:rPr>
        <w:t xml:space="preserve"> .</w:t>
      </w:r>
    </w:p>
    <w:p>
      <w:pPr>
        <w:spacing w:after="0" w:line="43" w:lineRule="exact"/>
        <w:rPr>
          <w:rFonts w:ascii="Arial" w:cs="Arial" w:eastAsia="Arial" w:hAnsi="Arial"/>
          <w:sz w:val="22"/>
          <w:szCs w:val="22"/>
          <w:color w:val="auto"/>
        </w:rPr>
      </w:pPr>
    </w:p>
    <w:p>
      <w:pPr>
        <w:ind w:left="360" w:right="20" w:hanging="360"/>
        <w:spacing w:after="0" w:line="236" w:lineRule="auto"/>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Fifty-six deaths have been reported to date (52 deaths in Hubei province and 4 from outside Hubei).</w:t>
      </w:r>
    </w:p>
    <w:p>
      <w:pPr>
        <w:spacing w:after="0" w:line="398" w:lineRule="exact"/>
        <w:rPr>
          <w:sz w:val="24"/>
          <w:szCs w:val="24"/>
          <w:color w:val="auto"/>
        </w:rPr>
      </w:pPr>
    </w:p>
    <w:p>
      <w:pPr>
        <w:spacing w:after="0" w:line="218" w:lineRule="auto"/>
        <w:rPr>
          <w:sz w:val="20"/>
          <w:szCs w:val="20"/>
          <w:color w:val="auto"/>
        </w:rPr>
      </w:pPr>
      <w:r>
        <w:rPr>
          <w:rFonts w:ascii="Calibri" w:cs="Calibri" w:eastAsia="Calibri" w:hAnsi="Calibri"/>
          <w:sz w:val="22"/>
          <w:szCs w:val="22"/>
          <w:color w:val="auto"/>
        </w:rPr>
        <w:t>WHO’s assessment of the risk of this event has not changed since the last risk assessment conducted on 22 January: very high in China, high at the regional level and high at the global level.</w:t>
      </w:r>
      <w:r>
        <w:rPr>
          <w:rFonts w:ascii="Calibri" w:cs="Calibri" w:eastAsia="Calibri" w:hAnsi="Calibri"/>
          <w:sz w:val="27"/>
          <w:szCs w:val="27"/>
          <w:color w:val="auto"/>
          <w:vertAlign w:val="superscript"/>
        </w:rPr>
        <w:t>3</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1133475</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9.25pt" to="144pt,89.25pt" o:allowincell="f" strokecolor="#000000" strokeweight="0.72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0" w:lineRule="exact"/>
        <w:rPr>
          <w:sz w:val="24"/>
          <w:szCs w:val="24"/>
          <w:color w:val="auto"/>
        </w:rPr>
      </w:pPr>
    </w:p>
    <w:p>
      <w:pPr>
        <w:ind w:left="80" w:hanging="80"/>
        <w:spacing w:after="0"/>
        <w:tabs>
          <w:tab w:leader="none" w:pos="80" w:val="left"/>
        </w:tabs>
        <w:numPr>
          <w:ilvl w:val="0"/>
          <w:numId w:val="2"/>
        </w:numPr>
        <w:rPr>
          <w:rFonts w:ascii="Calibri" w:cs="Calibri" w:eastAsia="Calibri" w:hAnsi="Calibri"/>
          <w:sz w:val="20"/>
          <w:szCs w:val="20"/>
          <w:color w:val="auto"/>
          <w:vertAlign w:val="superscript"/>
        </w:rPr>
      </w:pPr>
      <w:r>
        <w:rPr>
          <w:rFonts w:ascii="Calibri" w:cs="Calibri" w:eastAsia="Calibri" w:hAnsi="Calibri"/>
          <w:sz w:val="16"/>
          <w:szCs w:val="16"/>
          <w:color w:val="auto"/>
        </w:rPr>
        <w:t>The situation report includes information reported to WHO Geneva by 10 AM CET</w:t>
      </w:r>
    </w:p>
    <w:p>
      <w:pPr>
        <w:spacing w:after="0" w:line="46" w:lineRule="exact"/>
        <w:rPr>
          <w:rFonts w:ascii="Calibri" w:cs="Calibri" w:eastAsia="Calibri" w:hAnsi="Calibri"/>
          <w:sz w:val="20"/>
          <w:szCs w:val="20"/>
          <w:color w:val="auto"/>
          <w:vertAlign w:val="superscript"/>
        </w:rPr>
      </w:pPr>
    </w:p>
    <w:p>
      <w:pPr>
        <w:ind w:left="140" w:hanging="140"/>
        <w:spacing w:after="0" w:line="191" w:lineRule="auto"/>
        <w:tabs>
          <w:tab w:leader="none" w:pos="140" w:val="left"/>
        </w:tabs>
        <w:numPr>
          <w:ilvl w:val="0"/>
          <w:numId w:val="2"/>
        </w:numPr>
        <w:rPr>
          <w:rFonts w:ascii="Times New Roman" w:cs="Times New Roman" w:eastAsia="Times New Roman" w:hAnsi="Times New Roman"/>
          <w:sz w:val="20"/>
          <w:szCs w:val="20"/>
          <w:color w:val="auto"/>
        </w:rPr>
      </w:pPr>
      <w:r>
        <w:rPr>
          <w:rFonts w:ascii="Calibri" w:cs="Calibri" w:eastAsia="Calibri" w:hAnsi="Calibri"/>
          <w:sz w:val="16"/>
          <w:szCs w:val="16"/>
          <w:color w:val="auto"/>
        </w:rPr>
        <w:t>Severe illness: According to any of the following criteria:</w:t>
      </w:r>
    </w:p>
    <w:p>
      <w:pPr>
        <w:spacing w:after="0" w:line="34" w:lineRule="exact"/>
        <w:rPr>
          <w:sz w:val="24"/>
          <w:szCs w:val="24"/>
          <w:color w:val="auto"/>
        </w:rPr>
      </w:pPr>
    </w:p>
    <w:p>
      <w:pPr>
        <w:ind w:left="280" w:right="360" w:hanging="282"/>
        <w:spacing w:after="0" w:line="219" w:lineRule="auto"/>
        <w:rPr>
          <w:sz w:val="20"/>
          <w:szCs w:val="20"/>
          <w:color w:val="auto"/>
        </w:rPr>
      </w:pPr>
      <w:r>
        <w:rPr>
          <w:rFonts w:ascii="Calibri" w:cs="Calibri" w:eastAsia="Calibri" w:hAnsi="Calibri"/>
          <w:sz w:val="16"/>
          <w:szCs w:val="16"/>
          <w:color w:val="auto"/>
        </w:rPr>
        <w:t>(1) shortness of breath; (2) respiratory rate more than 30 bpm; (3) hypoxemia; (4) chest X-ray with multi-lobar infiltrates or pulmonary infiltration progressed more than 50% within 24 - 48 hours.</w:t>
      </w:r>
    </w:p>
    <w:p>
      <w:pPr>
        <w:spacing w:after="0" w:line="35" w:lineRule="exact"/>
        <w:rPr>
          <w:sz w:val="24"/>
          <w:szCs w:val="24"/>
          <w:color w:val="auto"/>
        </w:rPr>
      </w:pPr>
    </w:p>
    <w:p>
      <w:pPr>
        <w:ind w:left="280" w:right="380" w:hanging="282"/>
        <w:spacing w:after="0" w:line="218" w:lineRule="auto"/>
        <w:rPr>
          <w:sz w:val="20"/>
          <w:szCs w:val="20"/>
          <w:color w:val="auto"/>
        </w:rPr>
      </w:pPr>
      <w:r>
        <w:rPr>
          <w:rFonts w:ascii="Calibri" w:cs="Calibri" w:eastAsia="Calibri" w:hAnsi="Calibri"/>
          <w:sz w:val="16"/>
          <w:szCs w:val="16"/>
          <w:color w:val="auto"/>
        </w:rPr>
        <w:t>3 Note: Error in situation reports published on 23,24 and 25 January as originally published, which incorrectly summarized the risk for global level to be moderate.</w:t>
      </w:r>
    </w:p>
    <w:p>
      <w:pPr>
        <w:spacing w:after="0" w:line="171" w:lineRule="exact"/>
        <w:rPr>
          <w:sz w:val="24"/>
          <w:szCs w:val="24"/>
          <w:color w:val="auto"/>
        </w:rPr>
      </w:pPr>
    </w:p>
    <w:p>
      <w:pPr>
        <w:ind w:left="8900"/>
        <w:spacing w:after="0"/>
        <w:rPr>
          <w:sz w:val="20"/>
          <w:szCs w:val="20"/>
          <w:color w:val="auto"/>
        </w:rPr>
      </w:pPr>
      <w:r>
        <w:rPr>
          <w:rFonts w:ascii="Calibri" w:cs="Calibri" w:eastAsia="Calibri" w:hAnsi="Calibri"/>
          <w:sz w:val="24"/>
          <w:szCs w:val="24"/>
          <w:color w:val="auto"/>
        </w:rPr>
        <w:t>1</w:t>
      </w:r>
    </w:p>
    <w:p>
      <w:pPr>
        <w:sectPr>
          <w:pgSz w:w="11900" w:h="16838" w:orient="portrait"/>
          <w:cols w:equalWidth="0" w:num="1">
            <w:col w:w="9040"/>
          </w:cols>
          <w:pgMar w:left="1440" w:top="446" w:right="1426" w:bottom="415" w:gutter="0" w:footer="0" w:header="0"/>
        </w:sectPr>
      </w:pPr>
    </w:p>
    <w:bookmarkStart w:id="1" w:name="page2"/>
    <w:bookmarkEnd w:id="1"/>
    <w:p>
      <w:pPr>
        <w:spacing w:after="0" w:line="200" w:lineRule="exact"/>
        <w:rPr>
          <w:sz w:val="20"/>
          <w:szCs w:val="20"/>
          <w:color w:val="auto"/>
        </w:rPr>
      </w:pPr>
    </w:p>
    <w:p>
      <w:pPr>
        <w:spacing w:after="0" w:line="352" w:lineRule="exact"/>
        <w:rPr>
          <w:sz w:val="20"/>
          <w:szCs w:val="20"/>
          <w:color w:val="auto"/>
        </w:rPr>
      </w:pPr>
    </w:p>
    <w:p>
      <w:pPr>
        <w:ind w:right="266"/>
        <w:spacing w:after="0" w:line="236" w:lineRule="auto"/>
        <w:rPr>
          <w:sz w:val="20"/>
          <w:szCs w:val="20"/>
          <w:color w:val="auto"/>
        </w:rPr>
      </w:pPr>
      <w:r>
        <w:rPr>
          <w:rFonts w:ascii="Calibri" w:cs="Calibri" w:eastAsia="Calibri" w:hAnsi="Calibri"/>
          <w:sz w:val="22"/>
          <w:szCs w:val="22"/>
          <w:b w:val="1"/>
          <w:bCs w:val="1"/>
          <w:color w:val="auto"/>
        </w:rPr>
        <w:t>Figure 1. Countries, territories or areas with reported confirmed cases of 2019-nCoV, 26 January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352425</wp:posOffset>
            </wp:positionV>
            <wp:extent cx="5730875" cy="39084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5730875" cy="3908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jc w:val="right"/>
        <w:ind w:right="6"/>
        <w:spacing w:after="0"/>
        <w:rPr>
          <w:sz w:val="20"/>
          <w:szCs w:val="20"/>
          <w:color w:val="auto"/>
        </w:rPr>
      </w:pPr>
      <w:r>
        <w:rPr>
          <w:rFonts w:ascii="Calibri" w:cs="Calibri" w:eastAsia="Calibri" w:hAnsi="Calibri"/>
          <w:sz w:val="24"/>
          <w:szCs w:val="24"/>
          <w:color w:val="auto"/>
        </w:rPr>
        <w:t>2</w:t>
      </w:r>
    </w:p>
    <w:p>
      <w:pPr>
        <w:sectPr>
          <w:pgSz w:w="11900" w:h="16838" w:orient="portrait"/>
          <w:cols w:equalWidth="0" w:num="1">
            <w:col w:w="9026"/>
          </w:cols>
          <w:pgMar w:left="1440" w:top="1440" w:right="1440" w:bottom="415" w:gutter="0" w:footer="0" w:header="0"/>
        </w:sectPr>
      </w:pPr>
    </w:p>
    <w:bookmarkStart w:id="2" w:name="page3"/>
    <w:bookmarkEnd w:id="2"/>
    <w:p>
      <w:pPr>
        <w:spacing w:after="0"/>
        <w:rPr>
          <w:sz w:val="20"/>
          <w:szCs w:val="20"/>
          <w:color w:val="auto"/>
        </w:rPr>
      </w:pPr>
      <w:r>
        <w:rPr>
          <w:rFonts w:ascii="Calibri" w:cs="Calibri" w:eastAsia="Calibri" w:hAnsi="Calibri"/>
          <w:sz w:val="26"/>
          <w:szCs w:val="26"/>
          <w:b w:val="1"/>
          <w:bCs w:val="1"/>
          <w:color w:val="0070C0"/>
        </w:rPr>
        <w:t>I. SURVEILLANCE</w:t>
      </w:r>
    </w:p>
    <w:p>
      <w:pPr>
        <w:spacing w:after="0" w:line="217" w:lineRule="exact"/>
        <w:rPr>
          <w:sz w:val="20"/>
          <w:szCs w:val="20"/>
          <w:color w:val="auto"/>
        </w:rPr>
      </w:pPr>
    </w:p>
    <w:p>
      <w:pPr>
        <w:ind w:right="360"/>
        <w:spacing w:after="0" w:line="218" w:lineRule="auto"/>
        <w:rPr>
          <w:sz w:val="20"/>
          <w:szCs w:val="20"/>
          <w:color w:val="auto"/>
        </w:rPr>
      </w:pPr>
      <w:r>
        <w:rPr>
          <w:rFonts w:ascii="Calibri" w:cs="Calibri" w:eastAsia="Calibri" w:hAnsi="Calibri"/>
          <w:sz w:val="22"/>
          <w:szCs w:val="22"/>
          <w:color w:val="auto"/>
        </w:rPr>
        <w:t>Limiting international spread of 2019-nCoV depends on understanding the global epidemiology. Key questions that global surveillance must answer include the following:</w:t>
      </w:r>
    </w:p>
    <w:p>
      <w:pPr>
        <w:spacing w:after="0" w:line="1" w:lineRule="exact"/>
        <w:rPr>
          <w:sz w:val="20"/>
          <w:szCs w:val="20"/>
          <w:color w:val="auto"/>
        </w:rPr>
      </w:pPr>
    </w:p>
    <w:p>
      <w:pPr>
        <w:ind w:left="720" w:hanging="360"/>
        <w:spacing w:after="0"/>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How fast is 2019-nCoV spreading from China to other countries?</w:t>
      </w:r>
    </w:p>
    <w:p>
      <w:pPr>
        <w:ind w:left="720" w:hanging="360"/>
        <w:spacing w:after="0"/>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Where are cases exported from and to?</w:t>
      </w:r>
    </w:p>
    <w:p>
      <w:pPr>
        <w:spacing w:after="0" w:line="49" w:lineRule="exact"/>
        <w:rPr>
          <w:rFonts w:ascii="Calibri" w:cs="Calibri" w:eastAsia="Calibri" w:hAnsi="Calibri"/>
          <w:sz w:val="22"/>
          <w:szCs w:val="22"/>
          <w:color w:val="auto"/>
        </w:rPr>
      </w:pPr>
    </w:p>
    <w:p>
      <w:pPr>
        <w:ind w:left="720" w:right="1080" w:hanging="360"/>
        <w:spacing w:after="0" w:line="217" w:lineRule="auto"/>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What types of exposures are reported by travellers originating in Wuhan or in other provinces in China reporting cases and human to human transmission?</w:t>
      </w:r>
    </w:p>
    <w:p>
      <w:pPr>
        <w:spacing w:after="0" w:line="49" w:lineRule="exact"/>
        <w:rPr>
          <w:rFonts w:ascii="Calibri" w:cs="Calibri" w:eastAsia="Calibri" w:hAnsi="Calibri"/>
          <w:sz w:val="22"/>
          <w:szCs w:val="22"/>
          <w:color w:val="auto"/>
        </w:rPr>
      </w:pPr>
    </w:p>
    <w:p>
      <w:pPr>
        <w:ind w:left="720" w:right="500" w:hanging="360"/>
        <w:spacing w:after="0" w:line="218" w:lineRule="auto"/>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Are individuals symptomatic before travel and potentially detectable through exit or entry screening?</w:t>
      </w:r>
    </w:p>
    <w:p>
      <w:pPr>
        <w:ind w:left="720" w:hanging="360"/>
        <w:spacing w:after="0"/>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Is there person-to-person transmission occurring in countries reporting imported cases?</w:t>
      </w:r>
    </w:p>
    <w:p>
      <w:pPr>
        <w:ind w:left="720" w:hanging="360"/>
        <w:spacing w:after="0"/>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What is the clinical presentation of illness among travellers?</w:t>
      </w:r>
    </w:p>
    <w:p>
      <w:pPr>
        <w:spacing w:after="0" w:line="318" w:lineRule="exact"/>
        <w:rPr>
          <w:sz w:val="20"/>
          <w:szCs w:val="20"/>
          <w:color w:val="auto"/>
        </w:rPr>
      </w:pPr>
    </w:p>
    <w:p>
      <w:pPr>
        <w:ind w:right="900"/>
        <w:spacing w:after="0" w:line="225"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requests countries to notify WHO of cases following the guidance included in </w:t>
      </w:r>
      <w:hyperlink r:id="rId10">
        <w:r>
          <w:rPr>
            <w:rFonts w:ascii="Calibri" w:cs="Calibri" w:eastAsia="Calibri" w:hAnsi="Calibri"/>
            <w:sz w:val="22"/>
            <w:szCs w:val="22"/>
            <w:u w:val="single" w:color="auto"/>
            <w:color w:val="0000FF"/>
          </w:rPr>
          <w:t>https://www.who.int/publications-detail/global-surveillance-for-human-infection-with-novel-</w:t>
        </w:r>
      </w:hyperlink>
      <w:hyperlink r:id="rId10">
        <w:r>
          <w:rPr>
            <w:rFonts w:ascii="Calibri" w:cs="Calibri" w:eastAsia="Calibri" w:hAnsi="Calibri"/>
            <w:sz w:val="22"/>
            <w:szCs w:val="22"/>
            <w:u w:val="single" w:color="auto"/>
            <w:color w:val="0000FF"/>
          </w:rPr>
          <w:t>coronavirus-(2019-ncov)</w:t>
        </w:r>
      </w:hyperlink>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Reported incidence of confirmed 2019-nCoV cases</w:t>
      </w:r>
    </w:p>
    <w:p>
      <w:pPr>
        <w:spacing w:after="0" w:line="208" w:lineRule="exact"/>
        <w:rPr>
          <w:sz w:val="20"/>
          <w:szCs w:val="20"/>
          <w:color w:val="auto"/>
        </w:rPr>
      </w:pPr>
    </w:p>
    <w:p>
      <w:pPr>
        <w:ind w:right="600"/>
        <w:spacing w:after="0" w:line="236" w:lineRule="auto"/>
        <w:rPr>
          <w:sz w:val="20"/>
          <w:szCs w:val="20"/>
          <w:color w:val="auto"/>
        </w:rPr>
      </w:pPr>
      <w:r>
        <w:rPr>
          <w:rFonts w:ascii="Calibri" w:cs="Calibri" w:eastAsia="Calibri" w:hAnsi="Calibri"/>
          <w:sz w:val="22"/>
          <w:szCs w:val="22"/>
          <w:b w:val="1"/>
          <w:bCs w:val="1"/>
          <w:color w:val="auto"/>
        </w:rPr>
        <w:t>Table 1. Countries, territories or areas with reported confirmed cases of 2019-nCoV, 26 January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1960245</wp:posOffset>
                </wp:positionH>
                <wp:positionV relativeFrom="paragraph">
                  <wp:posOffset>29845</wp:posOffset>
                </wp:positionV>
                <wp:extent cx="12065" cy="2286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2860"/>
                        </a:xfrm>
                        <a:prstGeom prst="rect">
                          <a:avLst/>
                        </a:prstGeom>
                        <a:solidFill>
                          <a:srgbClr val="FFFFFF"/>
                        </a:solidFill>
                      </wps:spPr>
                      <wps:bodyPr/>
                    </wps:wsp>
                  </a:graphicData>
                </a:graphic>
              </wp:anchor>
            </w:drawing>
          </mc:Choice>
          <mc:Fallback>
            <w:pict>
              <v:rect id="Shape 4" o:spid="_x0000_s1029" style="position:absolute;margin-left:154.35pt;margin-top:2.35pt;width:0.95pt;height:1.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1972310</wp:posOffset>
                </wp:positionH>
                <wp:positionV relativeFrom="paragraph">
                  <wp:posOffset>36195</wp:posOffset>
                </wp:positionV>
                <wp:extent cx="196024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024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3pt,2.85pt" to="309.65pt,2.8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1960245</wp:posOffset>
                </wp:positionH>
                <wp:positionV relativeFrom="paragraph">
                  <wp:posOffset>276225</wp:posOffset>
                </wp:positionV>
                <wp:extent cx="197231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72310" cy="4763"/>
                        </a:xfrm>
                        <a:prstGeom prst="line">
                          <a:avLst/>
                        </a:prstGeom>
                        <a:solidFill>
                          <a:srgbClr val="FFFFFF"/>
                        </a:solidFill>
                        <a:ln w="38100">
                          <a:solidFill>
                            <a:srgbClr val="FFFFFF"/>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35pt,21.75pt" to="309.65pt,21.75pt" o:allowincell="f" strokecolor="#FFFFFF" strokeweight="3pt"/>
            </w:pict>
          </mc:Fallback>
        </mc:AlternateContent>
        <mc:AlternateContent>
          <mc:Choice Requires="wps">
            <w:drawing>
              <wp:anchor simplePos="0" relativeHeight="251657728" behindDoc="1" locked="0" layoutInCell="0" allowOverlap="1">
                <wp:simplePos x="0" y="0"/>
                <wp:positionH relativeFrom="column">
                  <wp:posOffset>1960245</wp:posOffset>
                </wp:positionH>
                <wp:positionV relativeFrom="paragraph">
                  <wp:posOffset>586105</wp:posOffset>
                </wp:positionV>
                <wp:extent cx="197231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7231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35pt,46.15pt" to="309.65pt,46.1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1960245</wp:posOffset>
                </wp:positionH>
                <wp:positionV relativeFrom="paragraph">
                  <wp:posOffset>890905</wp:posOffset>
                </wp:positionV>
                <wp:extent cx="197231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7231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35pt,70.15pt" to="309.65pt,70.1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1960245</wp:posOffset>
                </wp:positionH>
                <wp:positionV relativeFrom="paragraph">
                  <wp:posOffset>1197610</wp:posOffset>
                </wp:positionV>
                <wp:extent cx="197231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7231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35pt,94.3pt" to="309.65pt,94.3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1960245</wp:posOffset>
                </wp:positionH>
                <wp:positionV relativeFrom="paragraph">
                  <wp:posOffset>1504315</wp:posOffset>
                </wp:positionV>
                <wp:extent cx="197231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7231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35pt,118.45pt" to="309.65pt,118.4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1960245</wp:posOffset>
                </wp:positionH>
                <wp:positionV relativeFrom="paragraph">
                  <wp:posOffset>1810385</wp:posOffset>
                </wp:positionV>
                <wp:extent cx="197231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7231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35pt,142.55pt" to="309.65pt,142.5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1960245</wp:posOffset>
                </wp:positionH>
                <wp:positionV relativeFrom="paragraph">
                  <wp:posOffset>2116455</wp:posOffset>
                </wp:positionV>
                <wp:extent cx="197231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7231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35pt,166.65pt" to="309.65pt,166.6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1960245</wp:posOffset>
                </wp:positionH>
                <wp:positionV relativeFrom="paragraph">
                  <wp:posOffset>2423160</wp:posOffset>
                </wp:positionV>
                <wp:extent cx="197231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7231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35pt,190.8pt" to="309.65pt,190.8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1960245</wp:posOffset>
                </wp:positionH>
                <wp:positionV relativeFrom="paragraph">
                  <wp:posOffset>2727960</wp:posOffset>
                </wp:positionV>
                <wp:extent cx="197231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7231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35pt,214.8pt" to="309.65pt,214.8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1960245</wp:posOffset>
                </wp:positionH>
                <wp:positionV relativeFrom="paragraph">
                  <wp:posOffset>3034030</wp:posOffset>
                </wp:positionV>
                <wp:extent cx="197231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7231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35pt,238.9pt" to="309.65pt,238.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3340735</wp:posOffset>
                </wp:positionV>
                <wp:extent cx="589407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9407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3.05pt" to="464.1pt,263.0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3647440</wp:posOffset>
                </wp:positionV>
                <wp:extent cx="589407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9407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7.2pt" to="464.1pt,287.2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29845</wp:posOffset>
                </wp:positionV>
                <wp:extent cx="0" cy="393001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93001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35pt" to="0.5pt,311.8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3926205</wp:posOffset>
                </wp:positionH>
                <wp:positionV relativeFrom="paragraph">
                  <wp:posOffset>29845</wp:posOffset>
                </wp:positionV>
                <wp:extent cx="0" cy="393001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93001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15pt,2.35pt" to="309.15pt,311.8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5888355</wp:posOffset>
                </wp:positionH>
                <wp:positionV relativeFrom="paragraph">
                  <wp:posOffset>29845</wp:posOffset>
                </wp:positionV>
                <wp:extent cx="0" cy="393001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93001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3.65pt,2.35pt" to="463.65pt,311.8pt" o:allowincell="f" strokecolor="#FFFFFF" strokeweight="0.9599pt"/>
            </w:pict>
          </mc:Fallback>
        </mc:AlternateContent>
      </w:r>
    </w:p>
    <w:p>
      <w:pPr>
        <w:spacing w:after="0" w:line="47" w:lineRule="exact"/>
        <w:rPr>
          <w:sz w:val="20"/>
          <w:szCs w:val="20"/>
          <w:color w:val="auto"/>
        </w:rPr>
      </w:pPr>
    </w:p>
    <w:tbl>
      <w:tblPr>
        <w:tblLayout w:type="fixed"/>
        <w:tblInd w:w="20" w:type="dxa"/>
        <w:tblCellMar>
          <w:top w:w="0" w:type="dxa"/>
          <w:left w:w="0" w:type="dxa"/>
          <w:bottom w:w="0" w:type="dxa"/>
          <w:right w:w="0" w:type="dxa"/>
        </w:tblCellMar>
      </w:tblPr>
      <w:tr>
        <w:trPr>
          <w:trHeight w:val="20"/>
        </w:trPr>
        <w:tc>
          <w:tcPr>
            <w:tcW w:w="306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WHO Regional Office</w:t>
            </w:r>
          </w:p>
        </w:tc>
        <w:tc>
          <w:tcPr>
            <w:tcW w:w="20" w:type="dxa"/>
            <w:vAlign w:val="bottom"/>
          </w:tcPr>
          <w:p>
            <w:pPr>
              <w:spacing w:after="0" w:line="20" w:lineRule="exact"/>
              <w:rPr>
                <w:sz w:val="1"/>
                <w:szCs w:val="1"/>
                <w:color w:val="auto"/>
              </w:rPr>
            </w:pPr>
          </w:p>
        </w:tc>
        <w:tc>
          <w:tcPr>
            <w:tcW w:w="3080" w:type="dxa"/>
            <w:vAlign w:val="bottom"/>
            <w:vMerge w:val="restart"/>
            <w:shd w:val="clear" w:color="auto" w:fill="4F81BD"/>
          </w:tcPr>
          <w:p>
            <w:pPr>
              <w:ind w:left="20"/>
              <w:spacing w:after="0"/>
              <w:rPr>
                <w:sz w:val="20"/>
                <w:szCs w:val="20"/>
                <w:color w:val="auto"/>
              </w:rPr>
            </w:pPr>
            <w:r>
              <w:rPr>
                <w:rFonts w:ascii="Calibri" w:cs="Calibri" w:eastAsia="Calibri" w:hAnsi="Calibri"/>
                <w:sz w:val="22"/>
                <w:szCs w:val="22"/>
                <w:b w:val="1"/>
                <w:bCs w:val="1"/>
                <w:color w:val="FFFFFF"/>
              </w:rPr>
              <w:t>Country/Territory/Area</w:t>
            </w:r>
          </w:p>
        </w:tc>
        <w:tc>
          <w:tcPr>
            <w:tcW w:w="20" w:type="dxa"/>
            <w:vAlign w:val="bottom"/>
          </w:tcPr>
          <w:p>
            <w:pPr>
              <w:spacing w:after="0" w:line="20" w:lineRule="exact"/>
              <w:rPr>
                <w:sz w:val="1"/>
                <w:szCs w:val="1"/>
                <w:color w:val="auto"/>
              </w:rPr>
            </w:pPr>
          </w:p>
        </w:tc>
        <w:tc>
          <w:tcPr>
            <w:tcW w:w="3060" w:type="dxa"/>
            <w:vAlign w:val="bottom"/>
            <w:vMerge w:val="restart"/>
            <w:shd w:val="clear" w:color="auto" w:fill="4F81BD"/>
          </w:tcPr>
          <w:p>
            <w:pPr>
              <w:ind w:left="760"/>
              <w:spacing w:after="0"/>
              <w:rPr>
                <w:sz w:val="20"/>
                <w:szCs w:val="20"/>
                <w:color w:val="auto"/>
              </w:rPr>
            </w:pPr>
            <w:r>
              <w:rPr>
                <w:rFonts w:ascii="Calibri" w:cs="Calibri" w:eastAsia="Calibri" w:hAnsi="Calibri"/>
                <w:sz w:val="22"/>
                <w:szCs w:val="22"/>
                <w:b w:val="1"/>
                <w:bCs w:val="1"/>
                <w:color w:val="FFFFFF"/>
              </w:rPr>
              <w:t>Confirmed Cases</w:t>
            </w: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7"/>
        </w:trPr>
        <w:tc>
          <w:tcPr>
            <w:tcW w:w="3060" w:type="dxa"/>
            <w:vAlign w:val="bottom"/>
            <w:vMerge w:val="continue"/>
            <w:shd w:val="clear" w:color="auto" w:fill="4F81BD"/>
          </w:tcPr>
          <w:p>
            <w:pPr>
              <w:spacing w:after="0"/>
              <w:rPr>
                <w:sz w:val="22"/>
                <w:szCs w:val="22"/>
                <w:color w:val="auto"/>
              </w:rPr>
            </w:pPr>
          </w:p>
        </w:tc>
        <w:tc>
          <w:tcPr>
            <w:tcW w:w="20" w:type="dxa"/>
            <w:vAlign w:val="bottom"/>
          </w:tcPr>
          <w:p>
            <w:pPr>
              <w:spacing w:after="0"/>
              <w:rPr>
                <w:sz w:val="22"/>
                <w:szCs w:val="22"/>
                <w:color w:val="auto"/>
              </w:rPr>
            </w:pPr>
          </w:p>
        </w:tc>
        <w:tc>
          <w:tcPr>
            <w:tcW w:w="3080" w:type="dxa"/>
            <w:vAlign w:val="bottom"/>
            <w:vMerge w:val="continue"/>
            <w:shd w:val="clear" w:color="auto" w:fill="4F81BD"/>
          </w:tcPr>
          <w:p>
            <w:pPr>
              <w:spacing w:after="0"/>
              <w:rPr>
                <w:sz w:val="22"/>
                <w:szCs w:val="22"/>
                <w:color w:val="auto"/>
              </w:rPr>
            </w:pPr>
          </w:p>
        </w:tc>
        <w:tc>
          <w:tcPr>
            <w:tcW w:w="20" w:type="dxa"/>
            <w:vAlign w:val="bottom"/>
          </w:tcPr>
          <w:p>
            <w:pPr>
              <w:spacing w:after="0"/>
              <w:rPr>
                <w:sz w:val="22"/>
                <w:szCs w:val="22"/>
                <w:color w:val="auto"/>
              </w:rPr>
            </w:pPr>
          </w:p>
        </w:tc>
        <w:tc>
          <w:tcPr>
            <w:tcW w:w="3060" w:type="dxa"/>
            <w:vAlign w:val="bottom"/>
            <w:vMerge w:val="continue"/>
            <w:shd w:val="clear" w:color="auto" w:fill="4F81BD"/>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7"/>
        </w:trPr>
        <w:tc>
          <w:tcPr>
            <w:tcW w:w="3060" w:type="dxa"/>
            <w:vAlign w:val="bottom"/>
            <w:tcBorders>
              <w:bottom w:val="single" w:sz="8" w:color="4F81BD"/>
            </w:tcBorders>
            <w:shd w:val="clear" w:color="auto" w:fill="4F81BD"/>
          </w:tcPr>
          <w:p>
            <w:pPr>
              <w:spacing w:after="0"/>
              <w:rPr>
                <w:sz w:val="4"/>
                <w:szCs w:val="4"/>
                <w:color w:val="auto"/>
              </w:rPr>
            </w:pPr>
          </w:p>
        </w:tc>
        <w:tc>
          <w:tcPr>
            <w:tcW w:w="20" w:type="dxa"/>
            <w:vAlign w:val="bottom"/>
            <w:tcBorders>
              <w:bottom w:val="single" w:sz="8" w:color="4F81BD"/>
            </w:tcBorders>
          </w:tcPr>
          <w:p>
            <w:pPr>
              <w:spacing w:after="0"/>
              <w:rPr>
                <w:sz w:val="4"/>
                <w:szCs w:val="4"/>
                <w:color w:val="auto"/>
              </w:rPr>
            </w:pPr>
          </w:p>
        </w:tc>
        <w:tc>
          <w:tcPr>
            <w:tcW w:w="3080" w:type="dxa"/>
            <w:vAlign w:val="bottom"/>
            <w:tcBorders>
              <w:bottom w:val="single" w:sz="8" w:color="4F81BD"/>
            </w:tcBorders>
            <w:shd w:val="clear" w:color="auto" w:fill="4F81BD"/>
          </w:tcPr>
          <w:p>
            <w:pPr>
              <w:spacing w:after="0"/>
              <w:rPr>
                <w:sz w:val="4"/>
                <w:szCs w:val="4"/>
                <w:color w:val="auto"/>
              </w:rPr>
            </w:pPr>
          </w:p>
        </w:tc>
        <w:tc>
          <w:tcPr>
            <w:tcW w:w="20" w:type="dxa"/>
            <w:vAlign w:val="bottom"/>
            <w:tcBorders>
              <w:bottom w:val="single" w:sz="8" w:color="4F81BD"/>
            </w:tcBorders>
          </w:tcPr>
          <w:p>
            <w:pPr>
              <w:spacing w:after="0"/>
              <w:rPr>
                <w:sz w:val="4"/>
                <w:szCs w:val="4"/>
                <w:color w:val="auto"/>
              </w:rPr>
            </w:pPr>
          </w:p>
        </w:tc>
        <w:tc>
          <w:tcPr>
            <w:tcW w:w="3060" w:type="dxa"/>
            <w:vAlign w:val="bottom"/>
            <w:tcBorders>
              <w:bottom w:val="single" w:sz="8" w:color="4F81BD"/>
            </w:tcBorders>
            <w:shd w:val="clear" w:color="auto" w:fill="4F81BD"/>
          </w:tcPr>
          <w:p>
            <w:pPr>
              <w:spacing w:after="0"/>
              <w:rPr>
                <w:sz w:val="4"/>
                <w:szCs w:val="4"/>
                <w:color w:val="auto"/>
              </w:rPr>
            </w:pPr>
          </w:p>
        </w:tc>
        <w:tc>
          <w:tcPr>
            <w:tcW w:w="20" w:type="dxa"/>
            <w:vAlign w:val="bottom"/>
            <w:tcBorders>
              <w:bottom w:val="single" w:sz="8" w:color="4F81BD"/>
            </w:tcBorders>
          </w:tcPr>
          <w:p>
            <w:pPr>
              <w:spacing w:after="0"/>
              <w:rPr>
                <w:sz w:val="4"/>
                <w:szCs w:val="4"/>
                <w:color w:val="auto"/>
              </w:rPr>
            </w:pPr>
          </w:p>
        </w:tc>
        <w:tc>
          <w:tcPr>
            <w:tcW w:w="0" w:type="dxa"/>
            <w:vAlign w:val="bottom"/>
          </w:tcPr>
          <w:p>
            <w:pPr>
              <w:spacing w:after="0"/>
              <w:rPr>
                <w:sz w:val="1"/>
                <w:szCs w:val="1"/>
                <w:color w:val="auto"/>
              </w:rPr>
            </w:pPr>
          </w:p>
        </w:tc>
      </w:tr>
      <w:tr>
        <w:trPr>
          <w:trHeight w:val="27"/>
        </w:trPr>
        <w:tc>
          <w:tcPr>
            <w:tcW w:w="3060" w:type="dxa"/>
            <w:vAlign w:val="bottom"/>
            <w:shd w:val="clear" w:color="auto" w:fill="4F81BD"/>
          </w:tcPr>
          <w:p>
            <w:pPr>
              <w:spacing w:after="0"/>
              <w:rPr>
                <w:sz w:val="2"/>
                <w:szCs w:val="2"/>
                <w:color w:val="auto"/>
              </w:rPr>
            </w:pPr>
          </w:p>
        </w:tc>
        <w:tc>
          <w:tcPr>
            <w:tcW w:w="20" w:type="dxa"/>
            <w:vAlign w:val="bottom"/>
          </w:tcPr>
          <w:p>
            <w:pPr>
              <w:spacing w:after="0"/>
              <w:rPr>
                <w:sz w:val="2"/>
                <w:szCs w:val="2"/>
                <w:color w:val="auto"/>
              </w:rPr>
            </w:pPr>
          </w:p>
        </w:tc>
        <w:tc>
          <w:tcPr>
            <w:tcW w:w="3080" w:type="dxa"/>
            <w:vAlign w:val="bottom"/>
          </w:tcPr>
          <w:p>
            <w:pPr>
              <w:spacing w:after="0"/>
              <w:rPr>
                <w:sz w:val="2"/>
                <w:szCs w:val="2"/>
                <w:color w:val="auto"/>
              </w:rPr>
            </w:pPr>
          </w:p>
        </w:tc>
        <w:tc>
          <w:tcPr>
            <w:tcW w:w="3080" w:type="dxa"/>
            <w:vAlign w:val="bottom"/>
            <w:gridSpan w:val="2"/>
          </w:tcPr>
          <w:p>
            <w:pPr>
              <w:spacing w:after="0"/>
              <w:rPr>
                <w:sz w:val="2"/>
                <w:szCs w:val="2"/>
                <w:color w:val="auto"/>
              </w:rPr>
            </w:pPr>
          </w:p>
        </w:tc>
        <w:tc>
          <w:tcPr>
            <w:tcW w:w="2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332"/>
        </w:trPr>
        <w:tc>
          <w:tcPr>
            <w:tcW w:w="3060" w:type="dxa"/>
            <w:vAlign w:val="bottom"/>
            <w:tcBorders>
              <w:top w:val="single" w:sz="8" w:color="4F81BD"/>
            </w:tcBorders>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080" w:type="dxa"/>
            <w:vAlign w:val="bottom"/>
            <w:shd w:val="clear" w:color="auto" w:fill="E9EDF4"/>
          </w:tcPr>
          <w:p>
            <w:pPr>
              <w:ind w:left="20"/>
              <w:spacing w:after="0"/>
              <w:rPr>
                <w:sz w:val="20"/>
                <w:szCs w:val="20"/>
                <w:color w:val="auto"/>
              </w:rPr>
            </w:pPr>
            <w:r>
              <w:rPr>
                <w:rFonts w:ascii="Calibri" w:cs="Calibri" w:eastAsia="Calibri" w:hAnsi="Calibri"/>
                <w:sz w:val="22"/>
                <w:szCs w:val="22"/>
                <w:b w:val="1"/>
                <w:bCs w:val="1"/>
                <w:color w:val="auto"/>
              </w:rPr>
              <w:t>China</w:t>
            </w:r>
            <w:r>
              <w:rPr>
                <w:rFonts w:ascii="Calibri" w:cs="Calibri" w:eastAsia="Calibri" w:hAnsi="Calibri"/>
                <w:sz w:val="22"/>
                <w:szCs w:val="22"/>
                <w:color w:val="auto"/>
              </w:rPr>
              <w:t>*</w:t>
            </w:r>
          </w:p>
        </w:tc>
        <w:tc>
          <w:tcPr>
            <w:tcW w:w="20" w:type="dxa"/>
            <w:vAlign w:val="bottom"/>
          </w:tcPr>
          <w:p>
            <w:pPr>
              <w:spacing w:after="0"/>
              <w:rPr>
                <w:sz w:val="24"/>
                <w:szCs w:val="24"/>
                <w:color w:val="auto"/>
              </w:rPr>
            </w:pPr>
          </w:p>
        </w:tc>
        <w:tc>
          <w:tcPr>
            <w:tcW w:w="3060" w:type="dxa"/>
            <w:vAlign w:val="bottom"/>
            <w:tcBorders>
              <w:top w:val="single" w:sz="8" w:color="E9EDF4"/>
            </w:tcBorders>
            <w:shd w:val="clear" w:color="auto" w:fill="E9EDF4"/>
          </w:tcPr>
          <w:p>
            <w:pPr>
              <w:jc w:val="center"/>
              <w:spacing w:after="0"/>
              <w:rPr>
                <w:sz w:val="20"/>
                <w:szCs w:val="20"/>
                <w:color w:val="auto"/>
              </w:rPr>
            </w:pPr>
            <w:r>
              <w:rPr>
                <w:rFonts w:ascii="Calibri" w:cs="Calibri" w:eastAsia="Calibri" w:hAnsi="Calibri"/>
                <w:sz w:val="22"/>
                <w:szCs w:val="22"/>
                <w:b w:val="1"/>
                <w:bCs w:val="1"/>
                <w:color w:val="auto"/>
                <w:w w:val="99"/>
              </w:rPr>
              <w:t>1,985</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7"/>
        </w:trPr>
        <w:tc>
          <w:tcPr>
            <w:tcW w:w="3060" w:type="dxa"/>
            <w:vAlign w:val="bottom"/>
            <w:tcBorders>
              <w:bottom w:val="single" w:sz="8" w:color="4F81BD"/>
            </w:tcBorders>
            <w:shd w:val="clear" w:color="auto" w:fill="4F81BD"/>
          </w:tcPr>
          <w:p>
            <w:pPr>
              <w:spacing w:after="0"/>
              <w:rPr>
                <w:sz w:val="9"/>
                <w:szCs w:val="9"/>
                <w:color w:val="auto"/>
              </w:rPr>
            </w:pPr>
          </w:p>
        </w:tc>
        <w:tc>
          <w:tcPr>
            <w:tcW w:w="20" w:type="dxa"/>
            <w:vAlign w:val="bottom"/>
          </w:tcPr>
          <w:p>
            <w:pPr>
              <w:spacing w:after="0"/>
              <w:rPr>
                <w:sz w:val="9"/>
                <w:szCs w:val="9"/>
                <w:color w:val="auto"/>
              </w:rPr>
            </w:pPr>
          </w:p>
        </w:tc>
        <w:tc>
          <w:tcPr>
            <w:tcW w:w="308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06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306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080" w:type="dxa"/>
            <w:vAlign w:val="bottom"/>
          </w:tcPr>
          <w:p>
            <w:pPr>
              <w:spacing w:after="0" w:line="20" w:lineRule="exact"/>
              <w:rPr>
                <w:sz w:val="1"/>
                <w:szCs w:val="1"/>
                <w:color w:val="auto"/>
              </w:rPr>
            </w:pPr>
          </w:p>
        </w:tc>
        <w:tc>
          <w:tcPr>
            <w:tcW w:w="30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306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080" w:type="dxa"/>
            <w:vAlign w:val="bottom"/>
            <w:vMerge w:val="restart"/>
            <w:shd w:val="clear" w:color="auto" w:fill="E9EDF4"/>
          </w:tcPr>
          <w:p>
            <w:pPr>
              <w:ind w:left="20"/>
              <w:spacing w:after="0"/>
              <w:rPr>
                <w:sz w:val="20"/>
                <w:szCs w:val="20"/>
                <w:color w:val="auto"/>
              </w:rPr>
            </w:pPr>
            <w:r>
              <w:rPr>
                <w:rFonts w:ascii="Calibri" w:cs="Calibri" w:eastAsia="Calibri" w:hAnsi="Calibri"/>
                <w:sz w:val="22"/>
                <w:szCs w:val="22"/>
                <w:color w:val="auto"/>
              </w:rPr>
              <w:t>Japan</w:t>
            </w:r>
          </w:p>
        </w:tc>
        <w:tc>
          <w:tcPr>
            <w:tcW w:w="20" w:type="dxa"/>
            <w:vAlign w:val="bottom"/>
          </w:tcPr>
          <w:p>
            <w:pPr>
              <w:spacing w:after="0" w:line="20" w:lineRule="exact"/>
              <w:rPr>
                <w:sz w:val="1"/>
                <w:szCs w:val="1"/>
                <w:color w:val="auto"/>
              </w:rPr>
            </w:pPr>
          </w:p>
        </w:tc>
        <w:tc>
          <w:tcPr>
            <w:tcW w:w="306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3</w:t>
            </w: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6"/>
        </w:trPr>
        <w:tc>
          <w:tcPr>
            <w:tcW w:w="306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080" w:type="dxa"/>
            <w:vAlign w:val="bottom"/>
            <w:vMerge w:val="continue"/>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3060" w:type="dxa"/>
            <w:vAlign w:val="bottom"/>
            <w:vMerge w:val="continue"/>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4"/>
        </w:trPr>
        <w:tc>
          <w:tcPr>
            <w:tcW w:w="3060" w:type="dxa"/>
            <w:vAlign w:val="bottom"/>
            <w:tcBorders>
              <w:bottom w:val="single" w:sz="8" w:color="4F81BD"/>
            </w:tcBorders>
            <w:shd w:val="clear" w:color="auto" w:fill="4F81BD"/>
          </w:tcPr>
          <w:p>
            <w:pPr>
              <w:spacing w:after="0"/>
              <w:rPr>
                <w:sz w:val="9"/>
                <w:szCs w:val="9"/>
                <w:color w:val="auto"/>
              </w:rPr>
            </w:pPr>
          </w:p>
        </w:tc>
        <w:tc>
          <w:tcPr>
            <w:tcW w:w="20" w:type="dxa"/>
            <w:vAlign w:val="bottom"/>
          </w:tcPr>
          <w:p>
            <w:pPr>
              <w:spacing w:after="0"/>
              <w:rPr>
                <w:sz w:val="9"/>
                <w:szCs w:val="9"/>
                <w:color w:val="auto"/>
              </w:rPr>
            </w:pPr>
          </w:p>
        </w:tc>
        <w:tc>
          <w:tcPr>
            <w:tcW w:w="308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06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306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080" w:type="dxa"/>
            <w:vAlign w:val="bottom"/>
          </w:tcPr>
          <w:p>
            <w:pPr>
              <w:spacing w:after="0" w:line="20" w:lineRule="exact"/>
              <w:rPr>
                <w:sz w:val="1"/>
                <w:szCs w:val="1"/>
                <w:color w:val="auto"/>
              </w:rPr>
            </w:pPr>
          </w:p>
        </w:tc>
        <w:tc>
          <w:tcPr>
            <w:tcW w:w="30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306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080" w:type="dxa"/>
            <w:vAlign w:val="bottom"/>
            <w:vMerge w:val="restart"/>
            <w:shd w:val="clear" w:color="auto" w:fill="E9EDF4"/>
          </w:tcPr>
          <w:p>
            <w:pPr>
              <w:ind w:left="20"/>
              <w:spacing w:after="0"/>
              <w:rPr>
                <w:sz w:val="20"/>
                <w:szCs w:val="20"/>
                <w:color w:val="auto"/>
              </w:rPr>
            </w:pPr>
            <w:r>
              <w:rPr>
                <w:rFonts w:ascii="Calibri" w:cs="Calibri" w:eastAsia="Calibri" w:hAnsi="Calibri"/>
                <w:sz w:val="22"/>
                <w:szCs w:val="22"/>
                <w:color w:val="auto"/>
              </w:rPr>
              <w:t>Republic of Korea</w:t>
            </w:r>
          </w:p>
        </w:tc>
        <w:tc>
          <w:tcPr>
            <w:tcW w:w="20" w:type="dxa"/>
            <w:vAlign w:val="bottom"/>
          </w:tcPr>
          <w:p>
            <w:pPr>
              <w:spacing w:after="0" w:line="20" w:lineRule="exact"/>
              <w:rPr>
                <w:sz w:val="1"/>
                <w:szCs w:val="1"/>
                <w:color w:val="auto"/>
              </w:rPr>
            </w:pPr>
          </w:p>
        </w:tc>
        <w:tc>
          <w:tcPr>
            <w:tcW w:w="306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8"/>
        </w:trPr>
        <w:tc>
          <w:tcPr>
            <w:tcW w:w="306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080" w:type="dxa"/>
            <w:vAlign w:val="bottom"/>
            <w:vMerge w:val="continue"/>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3060" w:type="dxa"/>
            <w:vAlign w:val="bottom"/>
            <w:vMerge w:val="continue"/>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4"/>
        </w:trPr>
        <w:tc>
          <w:tcPr>
            <w:tcW w:w="3060" w:type="dxa"/>
            <w:vAlign w:val="bottom"/>
            <w:tcBorders>
              <w:bottom w:val="single" w:sz="8" w:color="4F81BD"/>
            </w:tcBorders>
            <w:shd w:val="clear" w:color="auto" w:fill="4F81BD"/>
          </w:tcPr>
          <w:p>
            <w:pPr>
              <w:spacing w:after="0"/>
              <w:rPr>
                <w:sz w:val="9"/>
                <w:szCs w:val="9"/>
                <w:color w:val="auto"/>
              </w:rPr>
            </w:pPr>
          </w:p>
        </w:tc>
        <w:tc>
          <w:tcPr>
            <w:tcW w:w="20" w:type="dxa"/>
            <w:vAlign w:val="bottom"/>
          </w:tcPr>
          <w:p>
            <w:pPr>
              <w:spacing w:after="0"/>
              <w:rPr>
                <w:sz w:val="9"/>
                <w:szCs w:val="9"/>
                <w:color w:val="auto"/>
              </w:rPr>
            </w:pPr>
          </w:p>
        </w:tc>
        <w:tc>
          <w:tcPr>
            <w:tcW w:w="308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06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306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0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0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306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Western Pacific</w:t>
            </w:r>
          </w:p>
        </w:tc>
        <w:tc>
          <w:tcPr>
            <w:tcW w:w="20" w:type="dxa"/>
            <w:vAlign w:val="bottom"/>
          </w:tcPr>
          <w:p>
            <w:pPr>
              <w:spacing w:after="0" w:line="20" w:lineRule="exact"/>
              <w:rPr>
                <w:sz w:val="1"/>
                <w:szCs w:val="1"/>
                <w:color w:val="auto"/>
              </w:rPr>
            </w:pPr>
          </w:p>
        </w:tc>
        <w:tc>
          <w:tcPr>
            <w:tcW w:w="3080" w:type="dxa"/>
            <w:vAlign w:val="bottom"/>
            <w:vMerge w:val="restart"/>
            <w:shd w:val="clear" w:color="auto" w:fill="E9EDF4"/>
          </w:tcPr>
          <w:p>
            <w:pPr>
              <w:ind w:left="20"/>
              <w:spacing w:after="0"/>
              <w:rPr>
                <w:sz w:val="20"/>
                <w:szCs w:val="20"/>
                <w:color w:val="auto"/>
              </w:rPr>
            </w:pPr>
            <w:r>
              <w:rPr>
                <w:rFonts w:ascii="Calibri" w:cs="Calibri" w:eastAsia="Calibri" w:hAnsi="Calibri"/>
                <w:sz w:val="22"/>
                <w:szCs w:val="22"/>
                <w:color w:val="auto"/>
              </w:rPr>
              <w:t>Viet Nam</w:t>
            </w:r>
          </w:p>
        </w:tc>
        <w:tc>
          <w:tcPr>
            <w:tcW w:w="20" w:type="dxa"/>
            <w:vAlign w:val="bottom"/>
          </w:tcPr>
          <w:p>
            <w:pPr>
              <w:spacing w:after="0" w:line="20" w:lineRule="exact"/>
              <w:rPr>
                <w:sz w:val="1"/>
                <w:szCs w:val="1"/>
                <w:color w:val="auto"/>
              </w:rPr>
            </w:pPr>
          </w:p>
        </w:tc>
        <w:tc>
          <w:tcPr>
            <w:tcW w:w="306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6"/>
        </w:trPr>
        <w:tc>
          <w:tcPr>
            <w:tcW w:w="3060" w:type="dxa"/>
            <w:vAlign w:val="bottom"/>
            <w:vMerge w:val="continue"/>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080" w:type="dxa"/>
            <w:vAlign w:val="bottom"/>
            <w:vMerge w:val="continue"/>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3060" w:type="dxa"/>
            <w:vAlign w:val="bottom"/>
            <w:vMerge w:val="continue"/>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7"/>
        </w:trPr>
        <w:tc>
          <w:tcPr>
            <w:tcW w:w="3060" w:type="dxa"/>
            <w:vAlign w:val="bottom"/>
            <w:tcBorders>
              <w:bottom w:val="single" w:sz="8" w:color="4F81BD"/>
            </w:tcBorders>
            <w:shd w:val="clear" w:color="auto" w:fill="4F81BD"/>
          </w:tcPr>
          <w:p>
            <w:pPr>
              <w:spacing w:after="0"/>
              <w:rPr>
                <w:sz w:val="9"/>
                <w:szCs w:val="9"/>
                <w:color w:val="auto"/>
              </w:rPr>
            </w:pPr>
          </w:p>
        </w:tc>
        <w:tc>
          <w:tcPr>
            <w:tcW w:w="20" w:type="dxa"/>
            <w:vAlign w:val="bottom"/>
          </w:tcPr>
          <w:p>
            <w:pPr>
              <w:spacing w:after="0"/>
              <w:rPr>
                <w:sz w:val="9"/>
                <w:szCs w:val="9"/>
                <w:color w:val="auto"/>
              </w:rPr>
            </w:pPr>
          </w:p>
        </w:tc>
        <w:tc>
          <w:tcPr>
            <w:tcW w:w="308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06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306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080" w:type="dxa"/>
            <w:vAlign w:val="bottom"/>
          </w:tcPr>
          <w:p>
            <w:pPr>
              <w:spacing w:after="0" w:line="20" w:lineRule="exact"/>
              <w:rPr>
                <w:sz w:val="1"/>
                <w:szCs w:val="1"/>
                <w:color w:val="auto"/>
              </w:rPr>
            </w:pPr>
          </w:p>
        </w:tc>
        <w:tc>
          <w:tcPr>
            <w:tcW w:w="30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306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080" w:type="dxa"/>
            <w:vAlign w:val="bottom"/>
            <w:vMerge w:val="restart"/>
            <w:shd w:val="clear" w:color="auto" w:fill="E9EDF4"/>
          </w:tcPr>
          <w:p>
            <w:pPr>
              <w:ind w:left="20"/>
              <w:spacing w:after="0"/>
              <w:rPr>
                <w:sz w:val="20"/>
                <w:szCs w:val="20"/>
                <w:color w:val="auto"/>
              </w:rPr>
            </w:pPr>
            <w:r>
              <w:rPr>
                <w:rFonts w:ascii="Calibri" w:cs="Calibri" w:eastAsia="Calibri" w:hAnsi="Calibri"/>
                <w:sz w:val="22"/>
                <w:szCs w:val="22"/>
                <w:color w:val="auto"/>
              </w:rPr>
              <w:t>Singapore</w:t>
            </w:r>
          </w:p>
        </w:tc>
        <w:tc>
          <w:tcPr>
            <w:tcW w:w="20" w:type="dxa"/>
            <w:vAlign w:val="bottom"/>
          </w:tcPr>
          <w:p>
            <w:pPr>
              <w:spacing w:after="0" w:line="20" w:lineRule="exact"/>
              <w:rPr>
                <w:sz w:val="1"/>
                <w:szCs w:val="1"/>
                <w:color w:val="auto"/>
              </w:rPr>
            </w:pPr>
          </w:p>
        </w:tc>
        <w:tc>
          <w:tcPr>
            <w:tcW w:w="306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4</w:t>
            </w: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6"/>
        </w:trPr>
        <w:tc>
          <w:tcPr>
            <w:tcW w:w="306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080" w:type="dxa"/>
            <w:vAlign w:val="bottom"/>
            <w:vMerge w:val="continue"/>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3060" w:type="dxa"/>
            <w:vAlign w:val="bottom"/>
            <w:vMerge w:val="continue"/>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7"/>
        </w:trPr>
        <w:tc>
          <w:tcPr>
            <w:tcW w:w="3060" w:type="dxa"/>
            <w:vAlign w:val="bottom"/>
            <w:tcBorders>
              <w:bottom w:val="single" w:sz="8" w:color="4F81BD"/>
            </w:tcBorders>
            <w:shd w:val="clear" w:color="auto" w:fill="4F81BD"/>
          </w:tcPr>
          <w:p>
            <w:pPr>
              <w:spacing w:after="0"/>
              <w:rPr>
                <w:sz w:val="9"/>
                <w:szCs w:val="9"/>
                <w:color w:val="auto"/>
              </w:rPr>
            </w:pPr>
          </w:p>
        </w:tc>
        <w:tc>
          <w:tcPr>
            <w:tcW w:w="20" w:type="dxa"/>
            <w:vAlign w:val="bottom"/>
          </w:tcPr>
          <w:p>
            <w:pPr>
              <w:spacing w:after="0"/>
              <w:rPr>
                <w:sz w:val="9"/>
                <w:szCs w:val="9"/>
                <w:color w:val="auto"/>
              </w:rPr>
            </w:pPr>
          </w:p>
        </w:tc>
        <w:tc>
          <w:tcPr>
            <w:tcW w:w="308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06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306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080" w:type="dxa"/>
            <w:vAlign w:val="bottom"/>
          </w:tcPr>
          <w:p>
            <w:pPr>
              <w:spacing w:after="0" w:line="20" w:lineRule="exact"/>
              <w:rPr>
                <w:sz w:val="1"/>
                <w:szCs w:val="1"/>
                <w:color w:val="auto"/>
              </w:rPr>
            </w:pPr>
          </w:p>
        </w:tc>
        <w:tc>
          <w:tcPr>
            <w:tcW w:w="30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306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080" w:type="dxa"/>
            <w:vAlign w:val="bottom"/>
            <w:vMerge w:val="restart"/>
            <w:shd w:val="clear" w:color="auto" w:fill="E9EDF4"/>
          </w:tcPr>
          <w:p>
            <w:pPr>
              <w:ind w:left="20"/>
              <w:spacing w:after="0"/>
              <w:rPr>
                <w:sz w:val="20"/>
                <w:szCs w:val="20"/>
                <w:color w:val="auto"/>
              </w:rPr>
            </w:pPr>
            <w:r>
              <w:rPr>
                <w:rFonts w:ascii="Calibri" w:cs="Calibri" w:eastAsia="Calibri" w:hAnsi="Calibri"/>
                <w:sz w:val="22"/>
                <w:szCs w:val="22"/>
                <w:color w:val="auto"/>
              </w:rPr>
              <w:t>Australia</w:t>
            </w:r>
          </w:p>
        </w:tc>
        <w:tc>
          <w:tcPr>
            <w:tcW w:w="20" w:type="dxa"/>
            <w:vAlign w:val="bottom"/>
          </w:tcPr>
          <w:p>
            <w:pPr>
              <w:spacing w:after="0" w:line="20" w:lineRule="exact"/>
              <w:rPr>
                <w:sz w:val="1"/>
                <w:szCs w:val="1"/>
                <w:color w:val="auto"/>
              </w:rPr>
            </w:pPr>
          </w:p>
        </w:tc>
        <w:tc>
          <w:tcPr>
            <w:tcW w:w="306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4</w:t>
            </w: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6"/>
        </w:trPr>
        <w:tc>
          <w:tcPr>
            <w:tcW w:w="306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080" w:type="dxa"/>
            <w:vAlign w:val="bottom"/>
            <w:vMerge w:val="continue"/>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3060" w:type="dxa"/>
            <w:vAlign w:val="bottom"/>
            <w:vMerge w:val="continue"/>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7"/>
        </w:trPr>
        <w:tc>
          <w:tcPr>
            <w:tcW w:w="3060" w:type="dxa"/>
            <w:vAlign w:val="bottom"/>
            <w:tcBorders>
              <w:bottom w:val="single" w:sz="8" w:color="4F81BD"/>
            </w:tcBorders>
            <w:shd w:val="clear" w:color="auto" w:fill="4F81BD"/>
          </w:tcPr>
          <w:p>
            <w:pPr>
              <w:spacing w:after="0"/>
              <w:rPr>
                <w:sz w:val="9"/>
                <w:szCs w:val="9"/>
                <w:color w:val="auto"/>
              </w:rPr>
            </w:pPr>
          </w:p>
        </w:tc>
        <w:tc>
          <w:tcPr>
            <w:tcW w:w="20" w:type="dxa"/>
            <w:vAlign w:val="bottom"/>
          </w:tcPr>
          <w:p>
            <w:pPr>
              <w:spacing w:after="0"/>
              <w:rPr>
                <w:sz w:val="9"/>
                <w:szCs w:val="9"/>
                <w:color w:val="auto"/>
              </w:rPr>
            </w:pPr>
          </w:p>
        </w:tc>
        <w:tc>
          <w:tcPr>
            <w:tcW w:w="308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06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306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080" w:type="dxa"/>
            <w:vAlign w:val="bottom"/>
          </w:tcPr>
          <w:p>
            <w:pPr>
              <w:spacing w:after="0" w:line="20" w:lineRule="exact"/>
              <w:rPr>
                <w:sz w:val="1"/>
                <w:szCs w:val="1"/>
                <w:color w:val="auto"/>
              </w:rPr>
            </w:pPr>
          </w:p>
        </w:tc>
        <w:tc>
          <w:tcPr>
            <w:tcW w:w="30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306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080" w:type="dxa"/>
            <w:vAlign w:val="bottom"/>
            <w:vMerge w:val="restart"/>
            <w:shd w:val="clear" w:color="auto" w:fill="E9EDF4"/>
          </w:tcPr>
          <w:p>
            <w:pPr>
              <w:ind w:left="20"/>
              <w:spacing w:after="0"/>
              <w:rPr>
                <w:sz w:val="20"/>
                <w:szCs w:val="20"/>
                <w:color w:val="auto"/>
              </w:rPr>
            </w:pPr>
            <w:r>
              <w:rPr>
                <w:rFonts w:ascii="Calibri" w:cs="Calibri" w:eastAsia="Calibri" w:hAnsi="Calibri"/>
                <w:sz w:val="22"/>
                <w:szCs w:val="22"/>
                <w:color w:val="auto"/>
              </w:rPr>
              <w:t>Malaysia</w:t>
            </w:r>
          </w:p>
        </w:tc>
        <w:tc>
          <w:tcPr>
            <w:tcW w:w="20" w:type="dxa"/>
            <w:vAlign w:val="bottom"/>
          </w:tcPr>
          <w:p>
            <w:pPr>
              <w:spacing w:after="0" w:line="20" w:lineRule="exact"/>
              <w:rPr>
                <w:sz w:val="1"/>
                <w:szCs w:val="1"/>
                <w:color w:val="auto"/>
              </w:rPr>
            </w:pPr>
          </w:p>
        </w:tc>
        <w:tc>
          <w:tcPr>
            <w:tcW w:w="306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3</w:t>
            </w: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6"/>
        </w:trPr>
        <w:tc>
          <w:tcPr>
            <w:tcW w:w="306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080" w:type="dxa"/>
            <w:vAlign w:val="bottom"/>
            <w:vMerge w:val="continue"/>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3060" w:type="dxa"/>
            <w:vAlign w:val="bottom"/>
            <w:vMerge w:val="continue"/>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7"/>
        </w:trPr>
        <w:tc>
          <w:tcPr>
            <w:tcW w:w="3060" w:type="dxa"/>
            <w:vAlign w:val="bottom"/>
            <w:tcBorders>
              <w:bottom w:val="single" w:sz="8" w:color="4F81BD"/>
            </w:tcBorders>
            <w:shd w:val="clear" w:color="auto" w:fill="4F81BD"/>
          </w:tcPr>
          <w:p>
            <w:pPr>
              <w:spacing w:after="0"/>
              <w:rPr>
                <w:sz w:val="9"/>
                <w:szCs w:val="9"/>
                <w:color w:val="auto"/>
              </w:rPr>
            </w:pPr>
          </w:p>
        </w:tc>
        <w:tc>
          <w:tcPr>
            <w:tcW w:w="20" w:type="dxa"/>
            <w:vAlign w:val="bottom"/>
          </w:tcPr>
          <w:p>
            <w:pPr>
              <w:spacing w:after="0"/>
              <w:rPr>
                <w:sz w:val="9"/>
                <w:szCs w:val="9"/>
                <w:color w:val="auto"/>
              </w:rPr>
            </w:pPr>
          </w:p>
        </w:tc>
        <w:tc>
          <w:tcPr>
            <w:tcW w:w="308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06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30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080" w:type="dxa"/>
            <w:vAlign w:val="bottom"/>
          </w:tcPr>
          <w:p>
            <w:pPr>
              <w:spacing w:after="0" w:line="20" w:lineRule="exact"/>
              <w:rPr>
                <w:sz w:val="1"/>
                <w:szCs w:val="1"/>
                <w:color w:val="auto"/>
              </w:rPr>
            </w:pPr>
          </w:p>
        </w:tc>
        <w:tc>
          <w:tcPr>
            <w:tcW w:w="30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93"/>
        </w:trPr>
        <w:tc>
          <w:tcPr>
            <w:tcW w:w="3060" w:type="dxa"/>
            <w:vAlign w:val="bottom"/>
            <w:tcBorders>
              <w:top w:val="single" w:sz="8" w:color="4F81BD"/>
            </w:tcBorders>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080" w:type="dxa"/>
            <w:vAlign w:val="bottom"/>
            <w:tcBorders>
              <w:top w:val="single" w:sz="8" w:color="E9EDF4"/>
            </w:tcBorders>
            <w:shd w:val="clear" w:color="auto" w:fill="E9EDF4"/>
          </w:tcPr>
          <w:p>
            <w:pPr>
              <w:ind w:left="20"/>
              <w:spacing w:after="0"/>
              <w:rPr>
                <w:sz w:val="20"/>
                <w:szCs w:val="20"/>
                <w:color w:val="auto"/>
              </w:rPr>
            </w:pPr>
            <w:r>
              <w:rPr>
                <w:rFonts w:ascii="Calibri" w:cs="Calibri" w:eastAsia="Calibri" w:hAnsi="Calibri"/>
                <w:sz w:val="22"/>
                <w:szCs w:val="22"/>
                <w:color w:val="auto"/>
              </w:rPr>
              <w:t>Thailand</w:t>
            </w:r>
          </w:p>
        </w:tc>
        <w:tc>
          <w:tcPr>
            <w:tcW w:w="20" w:type="dxa"/>
            <w:vAlign w:val="bottom"/>
          </w:tcPr>
          <w:p>
            <w:pPr>
              <w:spacing w:after="0"/>
              <w:rPr>
                <w:sz w:val="24"/>
                <w:szCs w:val="24"/>
                <w:color w:val="auto"/>
              </w:rPr>
            </w:pPr>
          </w:p>
        </w:tc>
        <w:tc>
          <w:tcPr>
            <w:tcW w:w="3060" w:type="dxa"/>
            <w:vAlign w:val="bottom"/>
            <w:tcBorders>
              <w:top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5</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7"/>
        </w:trPr>
        <w:tc>
          <w:tcPr>
            <w:tcW w:w="3060" w:type="dxa"/>
            <w:vAlign w:val="bottom"/>
            <w:tcBorders>
              <w:bottom w:val="single" w:sz="8" w:color="4F81BD"/>
            </w:tcBorders>
            <w:vMerge w:val="restart"/>
            <w:shd w:val="clear" w:color="auto" w:fill="4F81BD"/>
          </w:tcPr>
          <w:p>
            <w:pPr>
              <w:spacing w:after="0" w:line="222" w:lineRule="exact"/>
              <w:rPr>
                <w:sz w:val="20"/>
                <w:szCs w:val="20"/>
                <w:color w:val="auto"/>
              </w:rPr>
            </w:pPr>
            <w:r>
              <w:rPr>
                <w:rFonts w:ascii="Calibri" w:cs="Calibri" w:eastAsia="Calibri" w:hAnsi="Calibri"/>
                <w:sz w:val="22"/>
                <w:szCs w:val="22"/>
                <w:b w:val="1"/>
                <w:bCs w:val="1"/>
                <w:color w:val="FFFFFF"/>
              </w:rPr>
              <w:t>South-East Asia</w:t>
            </w:r>
          </w:p>
        </w:tc>
        <w:tc>
          <w:tcPr>
            <w:tcW w:w="20" w:type="dxa"/>
            <w:vAlign w:val="bottom"/>
          </w:tcPr>
          <w:p>
            <w:pPr>
              <w:spacing w:after="0"/>
              <w:rPr>
                <w:sz w:val="11"/>
                <w:szCs w:val="11"/>
                <w:color w:val="auto"/>
              </w:rPr>
            </w:pPr>
          </w:p>
        </w:tc>
        <w:tc>
          <w:tcPr>
            <w:tcW w:w="3080" w:type="dxa"/>
            <w:vAlign w:val="bottom"/>
            <w:tcBorders>
              <w:bottom w:val="single" w:sz="8" w:color="E9EDF4"/>
            </w:tcBorders>
            <w:shd w:val="clear" w:color="auto" w:fill="E9EDF4"/>
          </w:tcPr>
          <w:p>
            <w:pPr>
              <w:spacing w:after="0"/>
              <w:rPr>
                <w:sz w:val="11"/>
                <w:szCs w:val="11"/>
                <w:color w:val="auto"/>
              </w:rPr>
            </w:pPr>
          </w:p>
        </w:tc>
        <w:tc>
          <w:tcPr>
            <w:tcW w:w="20" w:type="dxa"/>
            <w:vAlign w:val="bottom"/>
            <w:tcBorders>
              <w:bottom w:val="single" w:sz="8" w:color="E9EDF4"/>
            </w:tcBorders>
          </w:tcPr>
          <w:p>
            <w:pPr>
              <w:spacing w:after="0"/>
              <w:rPr>
                <w:sz w:val="11"/>
                <w:szCs w:val="11"/>
                <w:color w:val="auto"/>
              </w:rPr>
            </w:pPr>
          </w:p>
        </w:tc>
        <w:tc>
          <w:tcPr>
            <w:tcW w:w="3060" w:type="dxa"/>
            <w:vAlign w:val="bottom"/>
            <w:tcBorders>
              <w:bottom w:val="single" w:sz="8" w:color="E9EDF4"/>
            </w:tcBorders>
            <w:shd w:val="clear" w:color="auto" w:fill="E9EDF4"/>
          </w:tcPr>
          <w:p>
            <w:pPr>
              <w:spacing w:after="0"/>
              <w:rPr>
                <w:sz w:val="11"/>
                <w:szCs w:val="11"/>
                <w:color w:val="auto"/>
              </w:rPr>
            </w:pPr>
          </w:p>
        </w:tc>
        <w:tc>
          <w:tcPr>
            <w:tcW w:w="20" w:type="dxa"/>
            <w:vAlign w:val="bottom"/>
            <w:tcBorders>
              <w:bottom w:val="single" w:sz="8" w:color="E9EDF4"/>
            </w:tcBorders>
          </w:tcPr>
          <w:p>
            <w:pPr>
              <w:spacing w:after="0"/>
              <w:rPr>
                <w:sz w:val="11"/>
                <w:szCs w:val="11"/>
                <w:color w:val="auto"/>
              </w:rPr>
            </w:pPr>
          </w:p>
        </w:tc>
        <w:tc>
          <w:tcPr>
            <w:tcW w:w="0" w:type="dxa"/>
            <w:vAlign w:val="bottom"/>
          </w:tcPr>
          <w:p>
            <w:pPr>
              <w:spacing w:after="0"/>
              <w:rPr>
                <w:sz w:val="1"/>
                <w:szCs w:val="1"/>
                <w:color w:val="auto"/>
              </w:rPr>
            </w:pPr>
          </w:p>
        </w:tc>
      </w:tr>
      <w:tr>
        <w:trPr>
          <w:trHeight w:val="75"/>
        </w:trPr>
        <w:tc>
          <w:tcPr>
            <w:tcW w:w="3060" w:type="dxa"/>
            <w:vAlign w:val="bottom"/>
            <w:tcBorders>
              <w:bottom w:val="single" w:sz="8" w:color="4F81BD"/>
            </w:tcBorders>
            <w:vMerge w:val="continue"/>
            <w:shd w:val="clear" w:color="auto" w:fill="4F81BD"/>
          </w:tcPr>
          <w:p>
            <w:pPr>
              <w:spacing w:after="0"/>
              <w:rPr>
                <w:sz w:val="6"/>
                <w:szCs w:val="6"/>
                <w:color w:val="auto"/>
              </w:rPr>
            </w:pPr>
          </w:p>
        </w:tc>
        <w:tc>
          <w:tcPr>
            <w:tcW w:w="20" w:type="dxa"/>
            <w:vAlign w:val="bottom"/>
          </w:tcPr>
          <w:p>
            <w:pPr>
              <w:spacing w:after="0"/>
              <w:rPr>
                <w:sz w:val="6"/>
                <w:szCs w:val="6"/>
                <w:color w:val="auto"/>
              </w:rPr>
            </w:pPr>
          </w:p>
        </w:tc>
        <w:tc>
          <w:tcPr>
            <w:tcW w:w="3080" w:type="dxa"/>
            <w:vAlign w:val="bottom"/>
            <w:tcBorders>
              <w:bottom w:val="single" w:sz="8" w:color="E9EDF4"/>
            </w:tcBorders>
          </w:tcPr>
          <w:p>
            <w:pPr>
              <w:spacing w:after="0"/>
              <w:rPr>
                <w:sz w:val="6"/>
                <w:szCs w:val="6"/>
                <w:color w:val="auto"/>
              </w:rPr>
            </w:pPr>
          </w:p>
        </w:tc>
        <w:tc>
          <w:tcPr>
            <w:tcW w:w="20" w:type="dxa"/>
            <w:vAlign w:val="bottom"/>
          </w:tcPr>
          <w:p>
            <w:pPr>
              <w:spacing w:after="0"/>
              <w:rPr>
                <w:sz w:val="6"/>
                <w:szCs w:val="6"/>
                <w:color w:val="auto"/>
              </w:rPr>
            </w:pPr>
          </w:p>
        </w:tc>
        <w:tc>
          <w:tcPr>
            <w:tcW w:w="3060" w:type="dxa"/>
            <w:vAlign w:val="bottom"/>
            <w:tcBorders>
              <w:bottom w:val="single" w:sz="8" w:color="E9EDF4"/>
            </w:tcBorders>
          </w:tcPr>
          <w:p>
            <w:pPr>
              <w:spacing w:after="0"/>
              <w:rPr>
                <w:sz w:val="6"/>
                <w:szCs w:val="6"/>
                <w:color w:val="auto"/>
              </w:rPr>
            </w:pPr>
          </w:p>
        </w:tc>
        <w:tc>
          <w:tcPr>
            <w:tcW w:w="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63"/>
        </w:trPr>
        <w:tc>
          <w:tcPr>
            <w:tcW w:w="3060" w:type="dxa"/>
            <w:vAlign w:val="bottom"/>
            <w:shd w:val="clear" w:color="auto" w:fill="4F81BD"/>
          </w:tcPr>
          <w:p>
            <w:pPr>
              <w:spacing w:after="0"/>
              <w:rPr>
                <w:sz w:val="22"/>
                <w:szCs w:val="22"/>
                <w:color w:val="auto"/>
              </w:rPr>
            </w:pPr>
          </w:p>
        </w:tc>
        <w:tc>
          <w:tcPr>
            <w:tcW w:w="20" w:type="dxa"/>
            <w:vAlign w:val="bottom"/>
          </w:tcPr>
          <w:p>
            <w:pPr>
              <w:spacing w:after="0"/>
              <w:rPr>
                <w:sz w:val="22"/>
                <w:szCs w:val="22"/>
                <w:color w:val="auto"/>
              </w:rPr>
            </w:pPr>
          </w:p>
        </w:tc>
        <w:tc>
          <w:tcPr>
            <w:tcW w:w="3080" w:type="dxa"/>
            <w:vAlign w:val="bottom"/>
            <w:shd w:val="clear" w:color="auto" w:fill="E9EDF4"/>
          </w:tcPr>
          <w:p>
            <w:pPr>
              <w:ind w:left="20"/>
              <w:spacing w:after="0" w:line="262" w:lineRule="exact"/>
              <w:rPr>
                <w:sz w:val="20"/>
                <w:szCs w:val="20"/>
                <w:color w:val="auto"/>
              </w:rPr>
            </w:pPr>
            <w:r>
              <w:rPr>
                <w:rFonts w:ascii="Calibri" w:cs="Calibri" w:eastAsia="Calibri" w:hAnsi="Calibri"/>
                <w:sz w:val="22"/>
                <w:szCs w:val="22"/>
                <w:color w:val="auto"/>
              </w:rPr>
              <w:t>Nepal</w:t>
            </w:r>
          </w:p>
        </w:tc>
        <w:tc>
          <w:tcPr>
            <w:tcW w:w="20" w:type="dxa"/>
            <w:vAlign w:val="bottom"/>
          </w:tcPr>
          <w:p>
            <w:pPr>
              <w:spacing w:after="0"/>
              <w:rPr>
                <w:sz w:val="22"/>
                <w:szCs w:val="22"/>
                <w:color w:val="auto"/>
              </w:rPr>
            </w:pPr>
          </w:p>
        </w:tc>
        <w:tc>
          <w:tcPr>
            <w:tcW w:w="3060" w:type="dxa"/>
            <w:vAlign w:val="bottom"/>
            <w:shd w:val="clear" w:color="auto" w:fill="E9EDF4"/>
          </w:tcPr>
          <w:p>
            <w:pPr>
              <w:jc w:val="center"/>
              <w:spacing w:after="0" w:line="262" w:lineRule="exact"/>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04"/>
        </w:trPr>
        <w:tc>
          <w:tcPr>
            <w:tcW w:w="3060" w:type="dxa"/>
            <w:vAlign w:val="bottom"/>
            <w:tcBorders>
              <w:bottom w:val="single" w:sz="8" w:color="4F81BD"/>
            </w:tcBorders>
            <w:shd w:val="clear" w:color="auto" w:fill="4F81BD"/>
          </w:tcPr>
          <w:p>
            <w:pPr>
              <w:spacing w:after="0"/>
              <w:rPr>
                <w:sz w:val="9"/>
                <w:szCs w:val="9"/>
                <w:color w:val="auto"/>
              </w:rPr>
            </w:pPr>
          </w:p>
        </w:tc>
        <w:tc>
          <w:tcPr>
            <w:tcW w:w="20" w:type="dxa"/>
            <w:vAlign w:val="bottom"/>
            <w:tcBorders>
              <w:bottom w:val="single" w:sz="8" w:color="4F81BD"/>
            </w:tcBorders>
          </w:tcPr>
          <w:p>
            <w:pPr>
              <w:spacing w:after="0"/>
              <w:rPr>
                <w:sz w:val="9"/>
                <w:szCs w:val="9"/>
                <w:color w:val="auto"/>
              </w:rPr>
            </w:pPr>
          </w:p>
        </w:tc>
        <w:tc>
          <w:tcPr>
            <w:tcW w:w="308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06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30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080" w:type="dxa"/>
            <w:vAlign w:val="bottom"/>
          </w:tcPr>
          <w:p>
            <w:pPr>
              <w:spacing w:after="0" w:line="20" w:lineRule="exact"/>
              <w:rPr>
                <w:sz w:val="1"/>
                <w:szCs w:val="1"/>
                <w:color w:val="auto"/>
              </w:rPr>
            </w:pPr>
          </w:p>
        </w:tc>
        <w:tc>
          <w:tcPr>
            <w:tcW w:w="30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306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Region of the Americas</w:t>
            </w:r>
          </w:p>
        </w:tc>
        <w:tc>
          <w:tcPr>
            <w:tcW w:w="20" w:type="dxa"/>
            <w:vAlign w:val="bottom"/>
          </w:tcPr>
          <w:p>
            <w:pPr>
              <w:spacing w:after="0" w:line="20" w:lineRule="exact"/>
              <w:rPr>
                <w:sz w:val="1"/>
                <w:szCs w:val="1"/>
                <w:color w:val="auto"/>
              </w:rPr>
            </w:pPr>
          </w:p>
        </w:tc>
        <w:tc>
          <w:tcPr>
            <w:tcW w:w="3080" w:type="dxa"/>
            <w:vAlign w:val="bottom"/>
            <w:vMerge w:val="restart"/>
            <w:shd w:val="clear" w:color="auto" w:fill="E9EDF4"/>
          </w:tcPr>
          <w:p>
            <w:pPr>
              <w:ind w:left="20"/>
              <w:spacing w:after="0"/>
              <w:rPr>
                <w:sz w:val="20"/>
                <w:szCs w:val="20"/>
                <w:color w:val="auto"/>
              </w:rPr>
            </w:pPr>
            <w:r>
              <w:rPr>
                <w:rFonts w:ascii="Calibri" w:cs="Calibri" w:eastAsia="Calibri" w:hAnsi="Calibri"/>
                <w:sz w:val="22"/>
                <w:szCs w:val="22"/>
                <w:color w:val="auto"/>
              </w:rPr>
              <w:t>United States of America</w:t>
            </w:r>
          </w:p>
        </w:tc>
        <w:tc>
          <w:tcPr>
            <w:tcW w:w="20" w:type="dxa"/>
            <w:vAlign w:val="bottom"/>
          </w:tcPr>
          <w:p>
            <w:pPr>
              <w:spacing w:after="0" w:line="20" w:lineRule="exact"/>
              <w:rPr>
                <w:sz w:val="1"/>
                <w:szCs w:val="1"/>
                <w:color w:val="auto"/>
              </w:rPr>
            </w:pPr>
          </w:p>
        </w:tc>
        <w:tc>
          <w:tcPr>
            <w:tcW w:w="306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6"/>
        </w:trPr>
        <w:tc>
          <w:tcPr>
            <w:tcW w:w="3060" w:type="dxa"/>
            <w:vAlign w:val="bottom"/>
            <w:vMerge w:val="continue"/>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080" w:type="dxa"/>
            <w:vAlign w:val="bottom"/>
            <w:vMerge w:val="continue"/>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3060" w:type="dxa"/>
            <w:vAlign w:val="bottom"/>
            <w:vMerge w:val="continue"/>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7"/>
        </w:trPr>
        <w:tc>
          <w:tcPr>
            <w:tcW w:w="3060" w:type="dxa"/>
            <w:vAlign w:val="bottom"/>
            <w:tcBorders>
              <w:bottom w:val="single" w:sz="8" w:color="4F81BD"/>
            </w:tcBorders>
            <w:shd w:val="clear" w:color="auto" w:fill="4F81BD"/>
          </w:tcPr>
          <w:p>
            <w:pPr>
              <w:spacing w:after="0"/>
              <w:rPr>
                <w:sz w:val="9"/>
                <w:szCs w:val="9"/>
                <w:color w:val="auto"/>
              </w:rPr>
            </w:pPr>
          </w:p>
        </w:tc>
        <w:tc>
          <w:tcPr>
            <w:tcW w:w="20" w:type="dxa"/>
            <w:vAlign w:val="bottom"/>
            <w:tcBorders>
              <w:bottom w:val="single" w:sz="8" w:color="4F81BD"/>
            </w:tcBorders>
          </w:tcPr>
          <w:p>
            <w:pPr>
              <w:spacing w:after="0"/>
              <w:rPr>
                <w:sz w:val="9"/>
                <w:szCs w:val="9"/>
                <w:color w:val="auto"/>
              </w:rPr>
            </w:pPr>
          </w:p>
        </w:tc>
        <w:tc>
          <w:tcPr>
            <w:tcW w:w="308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06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30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080" w:type="dxa"/>
            <w:vAlign w:val="bottom"/>
          </w:tcPr>
          <w:p>
            <w:pPr>
              <w:spacing w:after="0" w:line="20" w:lineRule="exact"/>
              <w:rPr>
                <w:sz w:val="1"/>
                <w:szCs w:val="1"/>
                <w:color w:val="auto"/>
              </w:rPr>
            </w:pPr>
          </w:p>
        </w:tc>
        <w:tc>
          <w:tcPr>
            <w:tcW w:w="30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306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European Region</w:t>
            </w:r>
          </w:p>
        </w:tc>
        <w:tc>
          <w:tcPr>
            <w:tcW w:w="20" w:type="dxa"/>
            <w:vAlign w:val="bottom"/>
          </w:tcPr>
          <w:p>
            <w:pPr>
              <w:spacing w:after="0" w:line="20" w:lineRule="exact"/>
              <w:rPr>
                <w:sz w:val="1"/>
                <w:szCs w:val="1"/>
                <w:color w:val="auto"/>
              </w:rPr>
            </w:pPr>
          </w:p>
        </w:tc>
        <w:tc>
          <w:tcPr>
            <w:tcW w:w="3080" w:type="dxa"/>
            <w:vAlign w:val="bottom"/>
            <w:vMerge w:val="restart"/>
            <w:shd w:val="clear" w:color="auto" w:fill="E9EDF4"/>
          </w:tcPr>
          <w:p>
            <w:pPr>
              <w:ind w:left="20"/>
              <w:spacing w:after="0"/>
              <w:rPr>
                <w:sz w:val="20"/>
                <w:szCs w:val="20"/>
                <w:color w:val="auto"/>
              </w:rPr>
            </w:pPr>
            <w:r>
              <w:rPr>
                <w:rFonts w:ascii="Calibri" w:cs="Calibri" w:eastAsia="Calibri" w:hAnsi="Calibri"/>
                <w:sz w:val="22"/>
                <w:szCs w:val="22"/>
                <w:color w:val="auto"/>
              </w:rPr>
              <w:t>France</w:t>
            </w:r>
          </w:p>
        </w:tc>
        <w:tc>
          <w:tcPr>
            <w:tcW w:w="20" w:type="dxa"/>
            <w:vAlign w:val="bottom"/>
          </w:tcPr>
          <w:p>
            <w:pPr>
              <w:spacing w:after="0" w:line="20" w:lineRule="exact"/>
              <w:rPr>
                <w:sz w:val="1"/>
                <w:szCs w:val="1"/>
                <w:color w:val="auto"/>
              </w:rPr>
            </w:pPr>
          </w:p>
        </w:tc>
        <w:tc>
          <w:tcPr>
            <w:tcW w:w="306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3</w:t>
            </w: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6"/>
        </w:trPr>
        <w:tc>
          <w:tcPr>
            <w:tcW w:w="3060" w:type="dxa"/>
            <w:vAlign w:val="bottom"/>
            <w:vMerge w:val="continue"/>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080" w:type="dxa"/>
            <w:vAlign w:val="bottom"/>
            <w:vMerge w:val="continue"/>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3060" w:type="dxa"/>
            <w:vAlign w:val="bottom"/>
            <w:vMerge w:val="continue"/>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7"/>
        </w:trPr>
        <w:tc>
          <w:tcPr>
            <w:tcW w:w="3060" w:type="dxa"/>
            <w:vAlign w:val="bottom"/>
            <w:tcBorders>
              <w:bottom w:val="single" w:sz="8" w:color="4F81BD"/>
            </w:tcBorders>
            <w:shd w:val="clear" w:color="auto" w:fill="4F81BD"/>
          </w:tcPr>
          <w:p>
            <w:pPr>
              <w:spacing w:after="0"/>
              <w:rPr>
                <w:sz w:val="9"/>
                <w:szCs w:val="9"/>
                <w:color w:val="auto"/>
              </w:rPr>
            </w:pPr>
          </w:p>
        </w:tc>
        <w:tc>
          <w:tcPr>
            <w:tcW w:w="20" w:type="dxa"/>
            <w:vAlign w:val="bottom"/>
            <w:tcBorders>
              <w:bottom w:val="single" w:sz="8" w:color="4F81BD"/>
            </w:tcBorders>
          </w:tcPr>
          <w:p>
            <w:pPr>
              <w:spacing w:after="0"/>
              <w:rPr>
                <w:sz w:val="9"/>
                <w:szCs w:val="9"/>
                <w:color w:val="auto"/>
              </w:rPr>
            </w:pPr>
          </w:p>
        </w:tc>
        <w:tc>
          <w:tcPr>
            <w:tcW w:w="308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06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30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080" w:type="dxa"/>
            <w:vAlign w:val="bottom"/>
          </w:tcPr>
          <w:p>
            <w:pPr>
              <w:spacing w:after="0" w:line="20" w:lineRule="exact"/>
              <w:rPr>
                <w:sz w:val="1"/>
                <w:szCs w:val="1"/>
                <w:color w:val="auto"/>
              </w:rPr>
            </w:pPr>
          </w:p>
        </w:tc>
        <w:tc>
          <w:tcPr>
            <w:tcW w:w="30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306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Total Confirmed cases</w:t>
            </w:r>
          </w:p>
        </w:tc>
        <w:tc>
          <w:tcPr>
            <w:tcW w:w="20" w:type="dxa"/>
            <w:vAlign w:val="bottom"/>
          </w:tcPr>
          <w:p>
            <w:pPr>
              <w:spacing w:after="0" w:line="20" w:lineRule="exact"/>
              <w:rPr>
                <w:sz w:val="1"/>
                <w:szCs w:val="1"/>
                <w:color w:val="auto"/>
              </w:rPr>
            </w:pPr>
          </w:p>
        </w:tc>
        <w:tc>
          <w:tcPr>
            <w:tcW w:w="3080" w:type="dxa"/>
            <w:vAlign w:val="bottom"/>
            <w:vMerge w:val="restart"/>
            <w:shd w:val="clear" w:color="auto" w:fill="E9EDF4"/>
          </w:tcPr>
          <w:p>
            <w:pPr>
              <w:ind w:left="20"/>
              <w:spacing w:after="0"/>
              <w:rPr>
                <w:sz w:val="20"/>
                <w:szCs w:val="20"/>
                <w:color w:val="auto"/>
              </w:rPr>
            </w:pPr>
            <w:r>
              <w:rPr>
                <w:rFonts w:ascii="Calibri" w:cs="Calibri" w:eastAsia="Calibri" w:hAnsi="Calibri"/>
                <w:sz w:val="22"/>
                <w:szCs w:val="22"/>
                <w:color w:val="auto"/>
              </w:rPr>
              <w:t>Total</w:t>
            </w:r>
          </w:p>
        </w:tc>
        <w:tc>
          <w:tcPr>
            <w:tcW w:w="20" w:type="dxa"/>
            <w:vAlign w:val="bottom"/>
          </w:tcPr>
          <w:p>
            <w:pPr>
              <w:spacing w:after="0" w:line="20" w:lineRule="exact"/>
              <w:rPr>
                <w:sz w:val="1"/>
                <w:szCs w:val="1"/>
                <w:color w:val="auto"/>
              </w:rPr>
            </w:pPr>
          </w:p>
        </w:tc>
        <w:tc>
          <w:tcPr>
            <w:tcW w:w="306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w w:val="99"/>
              </w:rPr>
              <w:t>2,014</w:t>
            </w: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6"/>
        </w:trPr>
        <w:tc>
          <w:tcPr>
            <w:tcW w:w="3060" w:type="dxa"/>
            <w:vAlign w:val="bottom"/>
            <w:vMerge w:val="continue"/>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080" w:type="dxa"/>
            <w:vAlign w:val="bottom"/>
            <w:vMerge w:val="continue"/>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3060" w:type="dxa"/>
            <w:vAlign w:val="bottom"/>
            <w:vMerge w:val="continue"/>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7"/>
        </w:trPr>
        <w:tc>
          <w:tcPr>
            <w:tcW w:w="3060" w:type="dxa"/>
            <w:vAlign w:val="bottom"/>
            <w:tcBorders>
              <w:bottom w:val="single" w:sz="8" w:color="4F81BD"/>
            </w:tcBorders>
            <w:shd w:val="clear" w:color="auto" w:fill="4F81BD"/>
          </w:tcPr>
          <w:p>
            <w:pPr>
              <w:spacing w:after="0"/>
              <w:rPr>
                <w:sz w:val="9"/>
                <w:szCs w:val="9"/>
                <w:color w:val="auto"/>
              </w:rPr>
            </w:pPr>
          </w:p>
        </w:tc>
        <w:tc>
          <w:tcPr>
            <w:tcW w:w="20" w:type="dxa"/>
            <w:vAlign w:val="bottom"/>
            <w:tcBorders>
              <w:bottom w:val="single" w:sz="8" w:color="4F81BD"/>
            </w:tcBorders>
          </w:tcPr>
          <w:p>
            <w:pPr>
              <w:spacing w:after="0"/>
              <w:rPr>
                <w:sz w:val="9"/>
                <w:szCs w:val="9"/>
                <w:color w:val="auto"/>
              </w:rPr>
            </w:pPr>
          </w:p>
        </w:tc>
        <w:tc>
          <w:tcPr>
            <w:tcW w:w="308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06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1966595</wp:posOffset>
                </wp:positionH>
                <wp:positionV relativeFrom="paragraph">
                  <wp:posOffset>-3892550</wp:posOffset>
                </wp:positionV>
                <wp:extent cx="0" cy="390588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905885"/>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85pt,-306.4999pt" to="154.85pt,1.0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1960245</wp:posOffset>
                </wp:positionH>
                <wp:positionV relativeFrom="paragraph">
                  <wp:posOffset>6985</wp:posOffset>
                </wp:positionV>
                <wp:extent cx="197231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7231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35pt,0.55pt" to="309.65pt,0.55pt" o:allowincell="f" strokecolor="#FFFFFF" strokeweight="0.96pt"/>
            </w:pict>
          </mc:Fallback>
        </mc:AlternateContent>
      </w:r>
    </w:p>
    <w:p>
      <w:pPr>
        <w:spacing w:after="0" w:line="37" w:lineRule="exact"/>
        <w:rPr>
          <w:sz w:val="20"/>
          <w:szCs w:val="20"/>
          <w:color w:val="auto"/>
        </w:rPr>
      </w:pPr>
    </w:p>
    <w:p>
      <w:pPr>
        <w:ind w:right="380"/>
        <w:spacing w:after="0" w:line="235" w:lineRule="auto"/>
        <w:rPr>
          <w:sz w:val="20"/>
          <w:szCs w:val="20"/>
          <w:color w:val="auto"/>
        </w:rPr>
      </w:pPr>
      <w:r>
        <w:rPr>
          <w:rFonts w:ascii="Calibri" w:cs="Calibri" w:eastAsia="Calibri" w:hAnsi="Calibri"/>
          <w:sz w:val="18"/>
          <w:szCs w:val="18"/>
          <w:color w:val="auto"/>
        </w:rPr>
        <w:t>*Confirmed cases in China include cases confirmed in Hong Kong SAR (5 confirmed cases), Macau SAR (2 confirmed cases) and Taipei (3 confirmed cases).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ind w:left="8900"/>
        <w:spacing w:after="0"/>
        <w:rPr>
          <w:sz w:val="20"/>
          <w:szCs w:val="20"/>
          <w:color w:val="auto"/>
        </w:rPr>
      </w:pPr>
      <w:r>
        <w:rPr>
          <w:rFonts w:ascii="Calibri" w:cs="Calibri" w:eastAsia="Calibri" w:hAnsi="Calibri"/>
          <w:sz w:val="24"/>
          <w:szCs w:val="24"/>
          <w:color w:val="auto"/>
        </w:rPr>
        <w:t>3</w:t>
      </w:r>
    </w:p>
    <w:p>
      <w:pPr>
        <w:sectPr>
          <w:pgSz w:w="11900" w:h="16838" w:orient="portrait"/>
          <w:cols w:equalWidth="0" w:num="1">
            <w:col w:w="9280"/>
          </w:cols>
          <w:pgMar w:left="1440" w:top="1433" w:right="1186" w:bottom="415" w:gutter="0" w:footer="0" w:header="0"/>
        </w:sectPr>
      </w:pPr>
    </w:p>
    <w:bookmarkStart w:id="3" w:name="page4"/>
    <w:bookmarkEnd w:id="3"/>
    <w:p>
      <w:pPr>
        <w:spacing w:after="0" w:line="296" w:lineRule="exact"/>
        <w:rPr>
          <w:sz w:val="20"/>
          <w:szCs w:val="20"/>
          <w:color w:val="auto"/>
        </w:rPr>
      </w:pPr>
    </w:p>
    <w:p>
      <w:pPr>
        <w:ind w:right="646"/>
        <w:spacing w:after="0" w:line="236" w:lineRule="auto"/>
        <w:rPr>
          <w:sz w:val="20"/>
          <w:szCs w:val="20"/>
          <w:color w:val="auto"/>
        </w:rPr>
      </w:pPr>
      <w:r>
        <w:rPr>
          <w:rFonts w:ascii="Calibri" w:cs="Calibri" w:eastAsia="Calibri" w:hAnsi="Calibri"/>
          <w:sz w:val="22"/>
          <w:szCs w:val="22"/>
          <w:b w:val="1"/>
          <w:bCs w:val="1"/>
          <w:color w:val="auto"/>
        </w:rPr>
        <w:t>Figure 2: Epidemic curve by date of onset of 2019-nCoV cases identified outside of China, 26 January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673735</wp:posOffset>
            </wp:positionV>
            <wp:extent cx="5731510" cy="31629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extLst>
                    </a:blip>
                    <a:srcRect/>
                    <a:stretch>
                      <a:fillRect/>
                    </a:stretch>
                  </pic:blipFill>
                  <pic:spPr bwMode="auto">
                    <a:xfrm>
                      <a:off x="0" y="0"/>
                      <a:ext cx="5731510" cy="31629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right"/>
        <w:ind w:right="6"/>
        <w:spacing w:after="0"/>
        <w:rPr>
          <w:sz w:val="20"/>
          <w:szCs w:val="20"/>
          <w:color w:val="auto"/>
        </w:rPr>
      </w:pPr>
      <w:r>
        <w:rPr>
          <w:rFonts w:ascii="Calibri" w:cs="Calibri" w:eastAsia="Calibri" w:hAnsi="Calibri"/>
          <w:sz w:val="24"/>
          <w:szCs w:val="24"/>
          <w:color w:val="auto"/>
        </w:rPr>
        <w:t>4</w:t>
      </w:r>
    </w:p>
    <w:p>
      <w:pPr>
        <w:sectPr>
          <w:pgSz w:w="11900" w:h="16838" w:orient="portrait"/>
          <w:cols w:equalWidth="0" w:num="1">
            <w:col w:w="9026"/>
          </w:cols>
          <w:pgMar w:left="1440" w:top="1440" w:right="1440" w:bottom="415" w:gutter="0" w:footer="0" w:header="0"/>
        </w:sectPr>
      </w:pPr>
    </w:p>
    <w:bookmarkStart w:id="4" w:name="page5"/>
    <w:bookmarkEnd w:id="4"/>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Calibri" w:cs="Calibri" w:eastAsia="Calibri" w:hAnsi="Calibri"/>
          <w:sz w:val="26"/>
          <w:szCs w:val="26"/>
          <w:b w:val="1"/>
          <w:bCs w:val="1"/>
          <w:color w:val="0070C0"/>
        </w:rPr>
        <w:t>II. PREPAREDNESS AND RESPONSE:</w:t>
      </w:r>
    </w:p>
    <w:p>
      <w:pPr>
        <w:spacing w:after="0" w:line="247"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WHO:</w:t>
      </w:r>
    </w:p>
    <w:p>
      <w:pPr>
        <w:spacing w:after="0" w:line="289" w:lineRule="exact"/>
        <w:rPr>
          <w:sz w:val="20"/>
          <w:szCs w:val="20"/>
          <w:color w:val="auto"/>
        </w:rPr>
      </w:pPr>
    </w:p>
    <w:p>
      <w:pPr>
        <w:ind w:left="360" w:right="306" w:hanging="360"/>
        <w:spacing w:after="0" w:line="225"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51" w:lineRule="exact"/>
        <w:rPr>
          <w:rFonts w:ascii="Arial" w:cs="Arial" w:eastAsia="Arial" w:hAnsi="Arial"/>
          <w:sz w:val="22"/>
          <w:szCs w:val="22"/>
          <w:color w:val="auto"/>
        </w:rPr>
      </w:pPr>
    </w:p>
    <w:p>
      <w:pPr>
        <w:ind w:left="360" w:right="106" w:hanging="360"/>
        <w:spacing w:after="0" w:line="236" w:lineRule="auto"/>
        <w:tabs>
          <w:tab w:leader="none" w:pos="360" w:val="left"/>
        </w:tabs>
        <w:numPr>
          <w:ilvl w:val="0"/>
          <w:numId w:val="4"/>
        </w:numPr>
        <w:rPr>
          <w:rFonts w:ascii="Calibri" w:cs="Calibri" w:eastAsia="Calibri" w:hAnsi="Calibri"/>
          <w:sz w:val="22"/>
          <w:szCs w:val="22"/>
          <w:color w:val="0000FF"/>
        </w:rPr>
      </w:pPr>
      <w:r>
        <w:rPr>
          <w:rFonts w:ascii="Calibri" w:cs="Calibri" w:eastAsia="Calibri" w:hAnsi="Calibri"/>
          <w:sz w:val="22"/>
          <w:szCs w:val="22"/>
          <w:color w:val="auto"/>
        </w:rPr>
        <w:t xml:space="preserve">Developed the </w:t>
      </w:r>
      <w:hyperlink r:id="rId10">
        <w:r>
          <w:rPr>
            <w:rFonts w:ascii="Calibri" w:cs="Calibri" w:eastAsia="Calibri" w:hAnsi="Calibri"/>
            <w:sz w:val="22"/>
            <w:szCs w:val="22"/>
            <w:u w:val="single" w:color="auto"/>
            <w:color w:val="0000FF"/>
          </w:rPr>
          <w:t>surveillance case definitions and reporting forms for human infection with 2019-</w:t>
        </w:r>
      </w:hyperlink>
      <w:hyperlink r:id="rId10">
        <w:r>
          <w:rPr>
            <w:rFonts w:ascii="Calibri" w:cs="Calibri" w:eastAsia="Calibri" w:hAnsi="Calibri"/>
            <w:sz w:val="22"/>
            <w:szCs w:val="22"/>
            <w:u w:val="single" w:color="auto"/>
            <w:color w:val="0000FF"/>
          </w:rPr>
          <w:t>nCoV</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r>
        <w:rPr>
          <w:rFonts w:ascii="Calibri" w:cs="Calibri" w:eastAsia="Calibri" w:hAnsi="Calibri"/>
          <w:sz w:val="22"/>
          <w:szCs w:val="22"/>
          <w:color w:val="000000"/>
        </w:rPr>
        <w:t>is updating it as the new information becomes available.</w:t>
      </w:r>
    </w:p>
    <w:p>
      <w:pPr>
        <w:spacing w:after="0" w:line="91" w:lineRule="exact"/>
        <w:rPr>
          <w:rFonts w:ascii="Calibri" w:cs="Calibri" w:eastAsia="Calibri" w:hAnsi="Calibri"/>
          <w:sz w:val="22"/>
          <w:szCs w:val="22"/>
          <w:color w:val="0000FF"/>
        </w:rPr>
      </w:pPr>
    </w:p>
    <w:p>
      <w:pPr>
        <w:ind w:left="360" w:right="86" w:hanging="360"/>
        <w:spacing w:after="0" w:line="253" w:lineRule="auto"/>
        <w:tabs>
          <w:tab w:leader="none" w:pos="360" w:val="left"/>
        </w:tabs>
        <w:numPr>
          <w:ilvl w:val="0"/>
          <w:numId w:val="4"/>
        </w:numPr>
        <w:rPr>
          <w:rFonts w:ascii="Calibri" w:cs="Calibri" w:eastAsia="Calibri" w:hAnsi="Calibri"/>
          <w:sz w:val="22"/>
          <w:szCs w:val="22"/>
          <w:color w:val="0000FF"/>
        </w:rPr>
      </w:pPr>
      <w:r>
        <w:rPr>
          <w:rFonts w:ascii="Calibri" w:cs="Calibri" w:eastAsia="Calibri" w:hAnsi="Calibri"/>
          <w:sz w:val="22"/>
          <w:szCs w:val="22"/>
          <w:color w:val="auto"/>
        </w:rPr>
        <w:t xml:space="preserve">Developed interim guidance for </w:t>
      </w:r>
      <w:hyperlink r:id="rId12">
        <w:r>
          <w:rPr>
            <w:rFonts w:ascii="Calibri" w:cs="Calibri" w:eastAsia="Calibri" w:hAnsi="Calibri"/>
            <w:sz w:val="22"/>
            <w:szCs w:val="22"/>
            <w:color w:val="0000FF"/>
          </w:rPr>
          <w:t>laboratory diagnosis</w:t>
        </w:r>
        <w:r>
          <w:rPr>
            <w:rFonts w:ascii="Calibri" w:cs="Calibri" w:eastAsia="Calibri" w:hAnsi="Calibri"/>
            <w:sz w:val="22"/>
            <w:szCs w:val="22"/>
            <w:color w:val="auto"/>
          </w:rPr>
          <w:t xml:space="preserve">, </w:t>
        </w:r>
      </w:hyperlink>
      <w:hyperlink r:id="rId13">
        <w:r>
          <w:rPr>
            <w:rFonts w:ascii="Calibri" w:cs="Calibri" w:eastAsia="Calibri" w:hAnsi="Calibri"/>
            <w:sz w:val="22"/>
            <w:szCs w:val="22"/>
            <w:color w:val="0000FF"/>
          </w:rPr>
          <w:t>clinical management</w:t>
        </w:r>
      </w:hyperlink>
      <w:hyperlink r:id="rId14">
        <w:r>
          <w:rPr>
            <w:rFonts w:ascii="Calibri" w:cs="Calibri" w:eastAsia="Calibri" w:hAnsi="Calibri"/>
            <w:sz w:val="22"/>
            <w:szCs w:val="22"/>
            <w:color w:val="auto"/>
          </w:rPr>
          <w:t xml:space="preserve">, </w:t>
        </w:r>
        <w:r>
          <w:rPr>
            <w:rFonts w:ascii="Calibri" w:cs="Calibri" w:eastAsia="Calibri" w:hAnsi="Calibri"/>
            <w:sz w:val="22"/>
            <w:szCs w:val="22"/>
            <w:color w:val="0000FF"/>
          </w:rPr>
          <w:t>infection prevention</w:t>
        </w:r>
      </w:hyperlink>
      <w:r>
        <w:rPr>
          <w:rFonts w:ascii="Calibri" w:cs="Calibri" w:eastAsia="Calibri" w:hAnsi="Calibri"/>
          <w:sz w:val="22"/>
          <w:szCs w:val="22"/>
          <w:color w:val="auto"/>
        </w:rPr>
        <w:t xml:space="preserve"> </w:t>
      </w:r>
      <w:hyperlink r:id="rId14">
        <w:r>
          <w:rPr>
            <w:rFonts w:ascii="Calibri" w:cs="Calibri" w:eastAsia="Calibri" w:hAnsi="Calibri"/>
            <w:sz w:val="22"/>
            <w:szCs w:val="22"/>
            <w:color w:val="0000FF"/>
          </w:rPr>
          <w:t>and control in health care settings</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15">
        <w:r>
          <w:rPr>
            <w:rFonts w:ascii="Calibri" w:cs="Calibri" w:eastAsia="Calibri" w:hAnsi="Calibri"/>
            <w:sz w:val="22"/>
            <w:szCs w:val="22"/>
            <w:u w:val="single" w:color="auto"/>
            <w:color w:val="0000FF"/>
          </w:rPr>
          <w:t xml:space="preserve">home care for patients with suspected novel coronavirus </w:t>
        </w:r>
      </w:hyperlink>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r:id="rId16">
        <w:r>
          <w:rPr>
            <w:rFonts w:ascii="Calibri" w:cs="Calibri" w:eastAsia="Calibri" w:hAnsi="Calibri"/>
            <w:sz w:val="22"/>
            <w:szCs w:val="22"/>
            <w:u w:val="single" w:color="auto"/>
            <w:color w:val="0000FF"/>
          </w:rPr>
          <w:t>risk communication and community engagement</w:t>
        </w:r>
        <w:r>
          <w:rPr>
            <w:rFonts w:ascii="Calibri" w:cs="Calibri" w:eastAsia="Calibri" w:hAnsi="Calibri"/>
            <w:sz w:val="22"/>
            <w:szCs w:val="22"/>
            <w:color w:val="000000"/>
          </w:rPr>
          <w:t>.</w:t>
        </w:r>
      </w:hyperlink>
    </w:p>
    <w:p>
      <w:pPr>
        <w:spacing w:after="0" w:line="77" w:lineRule="exact"/>
        <w:rPr>
          <w:rFonts w:ascii="Calibri" w:cs="Calibri" w:eastAsia="Calibri" w:hAnsi="Calibri"/>
          <w:sz w:val="22"/>
          <w:szCs w:val="22"/>
          <w:color w:val="0000FF"/>
        </w:rPr>
      </w:pPr>
    </w:p>
    <w:p>
      <w:pPr>
        <w:ind w:left="360" w:right="186" w:hanging="360"/>
        <w:spacing w:after="0" w:line="235" w:lineRule="auto"/>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Prepared </w:t>
      </w:r>
      <w:hyperlink r:id="rId17">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for supplies necessary in identification and management of confirmed patients.</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Provided recommendations to reduce risk of </w:t>
      </w:r>
      <w:hyperlink r:id="rId18">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87" w:lineRule="exact"/>
        <w:rPr>
          <w:rFonts w:ascii="Calibri" w:cs="Calibri" w:eastAsia="Calibri" w:hAnsi="Calibri"/>
          <w:sz w:val="22"/>
          <w:szCs w:val="22"/>
          <w:color w:val="auto"/>
        </w:rPr>
      </w:pPr>
    </w:p>
    <w:p>
      <w:pPr>
        <w:ind w:left="360" w:right="106" w:hanging="360"/>
        <w:spacing w:after="0" w:line="218" w:lineRule="auto"/>
        <w:tabs>
          <w:tab w:leader="none" w:pos="360" w:val="left"/>
        </w:tabs>
        <w:numPr>
          <w:ilvl w:val="0"/>
          <w:numId w:val="4"/>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19">
        <w:r>
          <w:rPr>
            <w:rFonts w:ascii="Calibri" w:cs="Calibri" w:eastAsia="Calibri" w:hAnsi="Calibri"/>
            <w:sz w:val="22"/>
            <w:szCs w:val="22"/>
            <w:u w:val="single" w:color="auto"/>
            <w:color w:val="0000FF"/>
          </w:rPr>
          <w:t>updated advice for international traffic in relation to the outbreak of the</w:t>
        </w:r>
      </w:hyperlink>
      <w:r>
        <w:rPr>
          <w:rFonts w:ascii="Calibri" w:cs="Calibri" w:eastAsia="Calibri" w:hAnsi="Calibri"/>
          <w:sz w:val="22"/>
          <w:szCs w:val="22"/>
          <w:color w:val="auto"/>
        </w:rPr>
        <w:t xml:space="preserve"> </w:t>
      </w:r>
      <w:hyperlink r:id="rId19">
        <w:r>
          <w:rPr>
            <w:rFonts w:ascii="Calibri" w:cs="Calibri" w:eastAsia="Calibri" w:hAnsi="Calibri"/>
            <w:sz w:val="22"/>
            <w:szCs w:val="22"/>
            <w:u w:val="single" w:color="auto"/>
            <w:color w:val="0000FF"/>
          </w:rPr>
          <w:t>novel coronavirus 2019-nCoV</w:t>
        </w:r>
        <w:r>
          <w:rPr>
            <w:rFonts w:ascii="Calibri" w:cs="Calibri" w:eastAsia="Calibri" w:hAnsi="Calibri"/>
            <w:sz w:val="22"/>
            <w:szCs w:val="22"/>
            <w:color w:val="000000"/>
          </w:rPr>
          <w:t>.</w:t>
        </w:r>
      </w:hyperlink>
    </w:p>
    <w:p>
      <w:pPr>
        <w:ind w:left="360" w:hanging="360"/>
        <w:spacing w:after="0"/>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Activation of R&amp;D blueprint to accelerate diagnostics, vaccines, and therapeutics.</w:t>
      </w:r>
    </w:p>
    <w:p>
      <w:pPr>
        <w:spacing w:after="0" w:line="90" w:lineRule="exact"/>
        <w:rPr>
          <w:rFonts w:ascii="Arial" w:cs="Arial" w:eastAsia="Arial" w:hAnsi="Arial"/>
          <w:sz w:val="22"/>
          <w:szCs w:val="22"/>
          <w:color w:val="auto"/>
        </w:rPr>
      </w:pPr>
    </w:p>
    <w:p>
      <w:pPr>
        <w:ind w:left="360" w:right="686" w:hanging="360"/>
        <w:spacing w:after="0" w:line="253" w:lineRule="auto"/>
        <w:tabs>
          <w:tab w:leader="none" w:pos="360" w:val="left"/>
        </w:tabs>
        <w:numPr>
          <w:ilvl w:val="0"/>
          <w:numId w:val="4"/>
        </w:numPr>
        <w:rPr>
          <w:rFonts w:ascii="Calibri" w:cs="Calibri" w:eastAsia="Calibri" w:hAnsi="Calibri"/>
          <w:sz w:val="22"/>
          <w:szCs w:val="22"/>
          <w:color w:val="0000FF"/>
        </w:rPr>
      </w:pPr>
      <w:r>
        <w:rPr>
          <w:rFonts w:ascii="Calibri" w:cs="Calibri" w:eastAsia="Calibri" w:hAnsi="Calibri"/>
          <w:sz w:val="22"/>
          <w:szCs w:val="22"/>
          <w:color w:val="auto"/>
        </w:rPr>
        <w:t xml:space="preserve">WHO is providing guidance on </w:t>
      </w:r>
      <w:hyperlink r:id="rId20">
        <w:r>
          <w:rPr>
            <w:rFonts w:ascii="Calibri" w:cs="Calibri" w:eastAsia="Calibri" w:hAnsi="Calibri"/>
            <w:sz w:val="22"/>
            <w:szCs w:val="22"/>
            <w:u w:val="single" w:color="auto"/>
            <w:color w:val="0000FF"/>
          </w:rPr>
          <w:t>early investigations</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 xml:space="preserve">The first protocol that is available is a: </w:t>
      </w:r>
      <w:hyperlink r:id="rId20">
        <w:r>
          <w:rPr>
            <w:rFonts w:ascii="Calibri" w:cs="Calibri" w:eastAsia="Calibri" w:hAnsi="Calibri"/>
            <w:sz w:val="22"/>
            <w:szCs w:val="22"/>
            <w:u w:val="single" w:color="auto"/>
            <w:color w:val="0000FF"/>
          </w:rPr>
          <w:t>Household transmission investigation protocol for 2019-novel coronavirus (2019-nCoV)</w:t>
        </w:r>
      </w:hyperlink>
      <w:r>
        <w:rPr>
          <w:rFonts w:ascii="Calibri" w:cs="Calibri" w:eastAsia="Calibri" w:hAnsi="Calibri"/>
          <w:sz w:val="22"/>
          <w:szCs w:val="22"/>
          <w:u w:val="single" w:color="auto"/>
          <w:color w:val="0000FF"/>
        </w:rPr>
        <w:t xml:space="preserve"> </w:t>
      </w:r>
      <w:hyperlink r:id="rId20">
        <w:r>
          <w:rPr>
            <w:rFonts w:ascii="Calibri" w:cs="Calibri" w:eastAsia="Calibri" w:hAnsi="Calibri"/>
            <w:sz w:val="22"/>
            <w:szCs w:val="22"/>
            <w:u w:val="single" w:color="auto"/>
            <w:color w:val="0000FF"/>
          </w:rPr>
          <w:t>infection</w:t>
        </w:r>
        <w:r>
          <w:rPr>
            <w:rFonts w:ascii="Calibri" w:cs="Calibri" w:eastAsia="Calibri" w:hAnsi="Calibri"/>
            <w:sz w:val="22"/>
            <w:szCs w:val="22"/>
            <w:color w:val="000000"/>
          </w:rPr>
          <w:t>.</w:t>
        </w:r>
      </w:hyperlink>
    </w:p>
    <w:p>
      <w:pPr>
        <w:spacing w:after="0" w:line="77" w:lineRule="exact"/>
        <w:rPr>
          <w:rFonts w:ascii="Calibri" w:cs="Calibri" w:eastAsia="Calibri" w:hAnsi="Calibri"/>
          <w:sz w:val="22"/>
          <w:szCs w:val="22"/>
          <w:color w:val="0000FF"/>
        </w:rPr>
      </w:pPr>
    </w:p>
    <w:p>
      <w:pPr>
        <w:ind w:left="360" w:right="286" w:hanging="360"/>
        <w:spacing w:after="0" w:line="236" w:lineRule="auto"/>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21">
        <w:r>
          <w:rPr>
            <w:rFonts w:ascii="Calibri" w:cs="Calibri" w:eastAsia="Calibri" w:hAnsi="Calibri"/>
            <w:sz w:val="22"/>
            <w:szCs w:val="22"/>
            <w:u w:val="single" w:color="auto"/>
            <w:color w:val="0000FF"/>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88" w:lineRule="exact"/>
        <w:rPr>
          <w:rFonts w:ascii="Calibri" w:cs="Calibri" w:eastAsia="Calibri" w:hAnsi="Calibri"/>
          <w:sz w:val="22"/>
          <w:szCs w:val="22"/>
          <w:color w:val="auto"/>
        </w:rPr>
      </w:pPr>
    </w:p>
    <w:p>
      <w:pPr>
        <w:ind w:left="360" w:right="166" w:hanging="360"/>
        <w:spacing w:after="0" w:line="269" w:lineRule="auto"/>
        <w:tabs>
          <w:tab w:leader="none" w:pos="360" w:val="left"/>
        </w:tabs>
        <w:numPr>
          <w:ilvl w:val="0"/>
          <w:numId w:val="4"/>
        </w:numPr>
        <w:rPr>
          <w:rFonts w:ascii="Calibri" w:cs="Calibri" w:eastAsia="Calibri" w:hAnsi="Calibri"/>
          <w:sz w:val="22"/>
          <w:szCs w:val="22"/>
          <w:color w:val="0000FF"/>
        </w:rPr>
      </w:pPr>
      <w:r>
        <w:rPr>
          <w:rFonts w:ascii="Calibri" w:cs="Calibri" w:eastAsia="Calibri" w:hAnsi="Calibri"/>
          <w:sz w:val="22"/>
          <w:szCs w:val="22"/>
          <w:color w:val="auto"/>
        </w:rPr>
        <w:t xml:space="preserve">WHO is providing guidance on </w:t>
      </w:r>
      <w:hyperlink r:id="rId20">
        <w:r>
          <w:rPr>
            <w:rFonts w:ascii="Calibri" w:cs="Calibri" w:eastAsia="Calibri" w:hAnsi="Calibri"/>
            <w:sz w:val="22"/>
            <w:szCs w:val="22"/>
            <w:u w:val="single" w:color="auto"/>
            <w:color w:val="0000FF"/>
          </w:rPr>
          <w:t>early investigations</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 xml:space="preserve">which are critical to carry out early in an outbreak of a new virus. The data collected from the study protocols can be used to refine recommendations for surveillance and case definitions, to characterize the key epidemiological transmission features of 2019-nCoV, help understand spread, severity, spectrum of disease, impact on the community and to inform operational models for implementation of countermeasures such as case isolation, contact tracing and isolation. The first protocol that is available is a: </w:t>
      </w:r>
      <w:hyperlink r:id="rId20">
        <w:r>
          <w:rPr>
            <w:rFonts w:ascii="Calibri" w:cs="Calibri" w:eastAsia="Calibri" w:hAnsi="Calibri"/>
            <w:sz w:val="22"/>
            <w:szCs w:val="22"/>
            <w:u w:val="single" w:color="auto"/>
            <w:color w:val="0000FF"/>
          </w:rPr>
          <w:t>Household transmission investigation protocol for 2019-novel coronavirus (2019-</w:t>
        </w:r>
      </w:hyperlink>
      <w:hyperlink r:id="rId20">
        <w:r>
          <w:rPr>
            <w:rFonts w:ascii="Calibri" w:cs="Calibri" w:eastAsia="Calibri" w:hAnsi="Calibri"/>
            <w:sz w:val="22"/>
            <w:szCs w:val="22"/>
            <w:u w:val="single" w:color="auto"/>
            <w:color w:val="0000FF"/>
          </w:rPr>
          <w:t>nCoV) infection</w:t>
        </w:r>
        <w:r>
          <w:rPr>
            <w:rFonts w:ascii="Calibri" w:cs="Calibri" w:eastAsia="Calibri" w:hAnsi="Calibri"/>
            <w:sz w:val="22"/>
            <w:szCs w:val="22"/>
            <w:color w:val="000000"/>
          </w:rPr>
          <w:t>.</w:t>
        </w:r>
      </w:hyperlink>
    </w:p>
    <w:p>
      <w:pPr>
        <w:spacing w:after="0" w:line="64" w:lineRule="exact"/>
        <w:rPr>
          <w:rFonts w:ascii="Calibri" w:cs="Calibri" w:eastAsia="Calibri" w:hAnsi="Calibri"/>
          <w:sz w:val="22"/>
          <w:szCs w:val="22"/>
          <w:color w:val="0000FF"/>
        </w:rPr>
      </w:pPr>
    </w:p>
    <w:p>
      <w:pPr>
        <w:ind w:left="360" w:right="26" w:hanging="360"/>
        <w:spacing w:after="0" w:line="229"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updated to take into account the current situation.</w:t>
      </w:r>
    </w:p>
    <w:p>
      <w:pPr>
        <w:spacing w:after="0" w:line="47" w:lineRule="exact"/>
        <w:rPr>
          <w:rFonts w:ascii="Arial" w:cs="Arial" w:eastAsia="Arial" w:hAnsi="Arial"/>
          <w:sz w:val="22"/>
          <w:szCs w:val="22"/>
          <w:color w:val="auto"/>
        </w:rPr>
      </w:pPr>
    </w:p>
    <w:p>
      <w:pPr>
        <w:ind w:left="360" w:right="666" w:hanging="360"/>
        <w:spacing w:after="0" w:line="218"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Utilizing global expert networks and partnerships for laboratory, infection prevention and control, clinical management and mathematical modelling.</w:t>
      </w: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361" w:lineRule="exact"/>
        <w:rPr>
          <w:rFonts w:ascii="Calibri" w:cs="Calibri" w:eastAsia="Calibri" w:hAnsi="Calibri"/>
          <w:sz w:val="22"/>
          <w:szCs w:val="22"/>
          <w:color w:val="auto"/>
        </w:rPr>
      </w:pPr>
    </w:p>
    <w:p>
      <w:pPr>
        <w:ind w:right="286"/>
        <w:spacing w:after="0" w:line="235" w:lineRule="auto"/>
        <w:rPr>
          <w:sz w:val="20"/>
          <w:szCs w:val="20"/>
          <w:color w:val="auto"/>
        </w:rPr>
      </w:pPr>
      <w:r>
        <w:rPr>
          <w:rFonts w:ascii="Calibri" w:cs="Calibri" w:eastAsia="Calibri" w:hAnsi="Calibri"/>
          <w:sz w:val="22"/>
          <w:szCs w:val="22"/>
          <w:color w:val="auto"/>
        </w:rPr>
        <w:t>WHO is working with networks of specialists to analyze 2019-nCoV full genome sequences as they become available.</w:t>
      </w:r>
    </w:p>
    <w:p>
      <w:pPr>
        <w:spacing w:after="0" w:line="290" w:lineRule="exact"/>
        <w:rPr>
          <w:rFonts w:ascii="Calibri" w:cs="Calibri" w:eastAsia="Calibri" w:hAnsi="Calibri"/>
          <w:sz w:val="22"/>
          <w:szCs w:val="22"/>
          <w:color w:val="auto"/>
        </w:rPr>
      </w:pPr>
    </w:p>
    <w:p>
      <w:pPr>
        <w:ind w:right="266"/>
        <w:spacing w:after="0" w:line="236" w:lineRule="auto"/>
        <w:rPr>
          <w:sz w:val="20"/>
          <w:szCs w:val="20"/>
          <w:color w:val="auto"/>
        </w:rPr>
      </w:pPr>
      <w:r>
        <w:rPr>
          <w:rFonts w:ascii="Calibri" w:cs="Calibri" w:eastAsia="Calibri" w:hAnsi="Calibri"/>
          <w:sz w:val="22"/>
          <w:szCs w:val="22"/>
          <w:color w:val="auto"/>
        </w:rPr>
        <w:t>WHO has not received evidence that the virus has changed. WHO awaits further information from Chinese officials.</w:t>
      </w: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96" w:lineRule="exact"/>
        <w:rPr>
          <w:rFonts w:ascii="Calibri" w:cs="Calibri" w:eastAsia="Calibri" w:hAnsi="Calibri"/>
          <w:sz w:val="22"/>
          <w:szCs w:val="22"/>
          <w:color w:val="auto"/>
        </w:rPr>
      </w:pPr>
    </w:p>
    <w:p>
      <w:pPr>
        <w:jc w:val="right"/>
        <w:ind w:right="6"/>
        <w:spacing w:after="0"/>
        <w:rPr>
          <w:sz w:val="20"/>
          <w:szCs w:val="20"/>
          <w:color w:val="auto"/>
        </w:rPr>
      </w:pPr>
      <w:r>
        <w:rPr>
          <w:rFonts w:ascii="Calibri" w:cs="Calibri" w:eastAsia="Calibri" w:hAnsi="Calibri"/>
          <w:sz w:val="24"/>
          <w:szCs w:val="24"/>
          <w:color w:val="auto"/>
        </w:rPr>
        <w:t>5</w:t>
      </w:r>
    </w:p>
    <w:p>
      <w:pPr>
        <w:sectPr>
          <w:pgSz w:w="11900" w:h="16838" w:orient="portrait"/>
          <w:cols w:equalWidth="0" w:num="1">
            <w:col w:w="9026"/>
          </w:cols>
          <w:pgMar w:left="1440" w:top="1440" w:right="1440" w:bottom="415" w:gutter="0" w:footer="0" w:header="0"/>
        </w:sectPr>
      </w:pPr>
    </w:p>
    <w:bookmarkStart w:id="5" w:name="page6"/>
    <w:bookmarkEnd w:id="5"/>
    <w:p>
      <w:pPr>
        <w:spacing w:after="0" w:line="43" w:lineRule="exact"/>
        <w:rPr>
          <w:sz w:val="20"/>
          <w:szCs w:val="20"/>
          <w:color w:val="auto"/>
        </w:rPr>
      </w:pPr>
    </w:p>
    <w:p>
      <w:pPr>
        <w:ind w:left="360" w:right="6"/>
        <w:spacing w:after="0" w:line="267" w:lineRule="auto"/>
        <w:rPr>
          <w:sz w:val="20"/>
          <w:szCs w:val="20"/>
          <w:color w:val="auto"/>
        </w:rPr>
      </w:pPr>
      <w:r>
        <w:rPr>
          <w:rFonts w:ascii="Calibri" w:cs="Calibri" w:eastAsia="Calibri" w:hAnsi="Calibri"/>
          <w:sz w:val="22"/>
          <w:szCs w:val="22"/>
          <w:color w:val="auto"/>
        </w:rPr>
        <w:t>Current estimates of the incubation period range from 2-10 days, and these estimates will be refined as more data become available. Understanding the time when infected patients may transmit the virus to others is critical for control efforts. In previous outbreaks of other coronavirus, such as Middle East Respiratory Syndrome coronavirus (MERS-CoV), some individuals can be asymptomatic and transmit to others. Detailed epidemiological information from more people infected is needed to determine the infectious period of 2019-nCoV.</w:t>
      </w:r>
    </w:p>
    <w:p>
      <w:pPr>
        <w:spacing w:after="0" w:line="260" w:lineRule="exact"/>
        <w:rPr>
          <w:sz w:val="20"/>
          <w:szCs w:val="20"/>
          <w:color w:val="auto"/>
        </w:rPr>
      </w:pPr>
    </w:p>
    <w:p>
      <w:pPr>
        <w:ind w:left="360" w:right="106"/>
        <w:spacing w:after="0" w:line="254" w:lineRule="auto"/>
        <w:rPr>
          <w:rFonts w:ascii="Calibri" w:cs="Calibri" w:eastAsia="Calibri" w:hAnsi="Calibri"/>
          <w:sz w:val="22"/>
          <w:szCs w:val="22"/>
          <w:u w:val="single" w:color="auto"/>
          <w:color w:val="954F72"/>
        </w:rPr>
      </w:pPr>
      <w:r>
        <w:rPr>
          <w:rFonts w:ascii="Calibri" w:cs="Calibri" w:eastAsia="Calibri" w:hAnsi="Calibri"/>
          <w:sz w:val="22"/>
          <w:szCs w:val="22"/>
          <w:color w:val="auto"/>
        </w:rPr>
        <w:t xml:space="preserve">WHO has issued advice to people on how to protect themselves from 2019-nCoV infection, as for any virus that spreads via the respiratory route: </w:t>
      </w:r>
      <w:hyperlink r:id="rId22">
        <w:r>
          <w:rPr>
            <w:rFonts w:ascii="Calibri" w:cs="Calibri" w:eastAsia="Calibri" w:hAnsi="Calibri"/>
            <w:sz w:val="22"/>
            <w:szCs w:val="22"/>
            <w:u w:val="single" w:color="auto"/>
            <w:color w:val="954F72"/>
          </w:rPr>
          <w:t>https://www.who.int/emergencies/diseases/novel-</w:t>
        </w:r>
      </w:hyperlink>
      <w:hyperlink r:id="rId22">
        <w:r>
          <w:rPr>
            <w:rFonts w:ascii="Calibri" w:cs="Calibri" w:eastAsia="Calibri" w:hAnsi="Calibri"/>
            <w:sz w:val="22"/>
            <w:szCs w:val="22"/>
            <w:u w:val="single" w:color="auto"/>
            <w:color w:val="954F72"/>
          </w:rPr>
          <w:t>coronavirus-2019/advice-for-public</w:t>
        </w:r>
      </w:hyperlink>
    </w:p>
    <w:p>
      <w:pPr>
        <w:spacing w:after="0" w:line="275" w:lineRule="exact"/>
        <w:rPr>
          <w:sz w:val="20"/>
          <w:szCs w:val="20"/>
          <w:color w:val="auto"/>
        </w:rPr>
      </w:pPr>
    </w:p>
    <w:p>
      <w:pPr>
        <w:ind w:left="360" w:right="86"/>
        <w:spacing w:after="0" w:line="261"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In addition, it is vitally important in health care settings, that health care workers are able to protect themselves from infection. WHO guidance on infection prevention and control measures in health care facilities is here: </w:t>
      </w:r>
      <w:hyperlink r:id="rId14">
        <w:r>
          <w:rPr>
            <w:rFonts w:ascii="Calibri" w:cs="Calibri" w:eastAsia="Calibri" w:hAnsi="Calibri"/>
            <w:sz w:val="22"/>
            <w:szCs w:val="22"/>
            <w:u w:val="single" w:color="auto"/>
            <w:color w:val="0000FF"/>
          </w:rPr>
          <w:t>https://www.who.int/publications-detail/infection-prevention-and-control-</w:t>
        </w:r>
      </w:hyperlink>
      <w:hyperlink r:id="rId14">
        <w:r>
          <w:rPr>
            <w:rFonts w:ascii="Calibri" w:cs="Calibri" w:eastAsia="Calibri" w:hAnsi="Calibri"/>
            <w:sz w:val="22"/>
            <w:szCs w:val="22"/>
            <w:u w:val="single" w:color="auto"/>
            <w:color w:val="0000FF"/>
          </w:rPr>
          <w:t>during-health-care-when-novel-coronavirus-(ncov)-infection-is-suspected</w:t>
        </w:r>
      </w:hyperlink>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360" w:right="46"/>
        <w:spacing w:after="0" w:line="268" w:lineRule="auto"/>
        <w:rPr>
          <w:sz w:val="20"/>
          <w:szCs w:val="20"/>
          <w:color w:val="auto"/>
        </w:rPr>
      </w:pPr>
      <w:r>
        <w:rPr>
          <w:rFonts w:ascii="Calibri" w:cs="Calibri" w:eastAsia="Calibri" w:hAnsi="Calibri"/>
          <w:sz w:val="22"/>
          <w:szCs w:val="22"/>
          <w:color w:val="auto"/>
        </w:rPr>
        <w:t>The strategic objectives of the response are to interrupt the transmission of the virus from one person to another in China, to prevent exportation of cases from China to other countries and territories, and to prevent further transmission from exported case if they were to happen. This can be achieved through a combination of public health measures, such as rapid identification, diagnosis and management of the cases, identification and follow up of the contacts, infection prevention and control in healthcare settings, implementation of health measures for travellers, awareness raising in the population, risk communication.</w:t>
      </w:r>
    </w:p>
    <w:p>
      <w:pPr>
        <w:spacing w:after="0" w:line="263" w:lineRule="exact"/>
        <w:rPr>
          <w:sz w:val="20"/>
          <w:szCs w:val="20"/>
          <w:color w:val="auto"/>
        </w:rPr>
      </w:pPr>
    </w:p>
    <w:p>
      <w:pPr>
        <w:ind w:left="360" w:right="306"/>
        <w:spacing w:after="0" w:line="265"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the Severe Acute Respiratory Syndrome (SARS), human to human transmission occurred through droplets, contact and fomites, suggesting that the transmission mode of the 2019-nCoV can be similar. The basic principles to reduce the general risk of transmission of acute respiratory infections include the following:</w:t>
      </w:r>
    </w:p>
    <w:p>
      <w:pPr>
        <w:spacing w:after="0" w:line="321" w:lineRule="exact"/>
        <w:rPr>
          <w:sz w:val="20"/>
          <w:szCs w:val="20"/>
          <w:color w:val="auto"/>
        </w:rPr>
      </w:pPr>
    </w:p>
    <w:p>
      <w:pPr>
        <w:ind w:left="360" w:hanging="360"/>
        <w:spacing w:after="0"/>
        <w:tabs>
          <w:tab w:leader="none" w:pos="360" w:val="left"/>
        </w:tabs>
        <w:numPr>
          <w:ilvl w:val="0"/>
          <w:numId w:val="5"/>
        </w:numPr>
        <w:rPr>
          <w:rFonts w:ascii="Arial" w:cs="Arial" w:eastAsia="Arial" w:hAnsi="Arial"/>
          <w:sz w:val="20"/>
          <w:szCs w:val="20"/>
          <w:color w:val="auto"/>
        </w:rPr>
      </w:pPr>
      <w:r>
        <w:rPr>
          <w:rFonts w:ascii="Calibri" w:cs="Calibri" w:eastAsia="Calibri" w:hAnsi="Calibri"/>
          <w:sz w:val="22"/>
          <w:szCs w:val="22"/>
          <w:color w:val="auto"/>
        </w:rPr>
        <w:t>Avoiding close contact with people suffering from acute respiratory infections.</w:t>
      </w:r>
    </w:p>
    <w:p>
      <w:pPr>
        <w:spacing w:after="0" w:line="41" w:lineRule="exact"/>
        <w:rPr>
          <w:rFonts w:ascii="Arial" w:cs="Arial" w:eastAsia="Arial" w:hAnsi="Arial"/>
          <w:sz w:val="20"/>
          <w:szCs w:val="20"/>
          <w:color w:val="auto"/>
        </w:rPr>
      </w:pPr>
    </w:p>
    <w:p>
      <w:pPr>
        <w:ind w:left="360" w:hanging="360"/>
        <w:spacing w:after="0"/>
        <w:tabs>
          <w:tab w:leader="none" w:pos="360" w:val="left"/>
        </w:tabs>
        <w:numPr>
          <w:ilvl w:val="0"/>
          <w:numId w:val="5"/>
        </w:numPr>
        <w:rPr>
          <w:rFonts w:ascii="Arial" w:cs="Arial" w:eastAsia="Arial" w:hAnsi="Arial"/>
          <w:sz w:val="20"/>
          <w:szCs w:val="20"/>
          <w:color w:val="auto"/>
        </w:rPr>
      </w:pPr>
      <w:r>
        <w:rPr>
          <w:rFonts w:ascii="Calibri" w:cs="Calibri" w:eastAsia="Calibri" w:hAnsi="Calibri"/>
          <w:sz w:val="22"/>
          <w:szCs w:val="22"/>
          <w:color w:val="auto"/>
        </w:rPr>
        <w:t>Frequent hand-washing, especially after direct contact with ill people or their environment.</w:t>
      </w:r>
    </w:p>
    <w:p>
      <w:pPr>
        <w:spacing w:after="0" w:line="38" w:lineRule="exact"/>
        <w:rPr>
          <w:rFonts w:ascii="Arial" w:cs="Arial" w:eastAsia="Arial" w:hAnsi="Arial"/>
          <w:sz w:val="20"/>
          <w:szCs w:val="20"/>
          <w:color w:val="auto"/>
        </w:rPr>
      </w:pPr>
    </w:p>
    <w:p>
      <w:pPr>
        <w:ind w:left="360" w:hanging="360"/>
        <w:spacing w:after="0"/>
        <w:tabs>
          <w:tab w:leader="none" w:pos="360" w:val="left"/>
        </w:tabs>
        <w:numPr>
          <w:ilvl w:val="0"/>
          <w:numId w:val="5"/>
        </w:numPr>
        <w:rPr>
          <w:rFonts w:ascii="Arial" w:cs="Arial" w:eastAsia="Arial" w:hAnsi="Arial"/>
          <w:sz w:val="20"/>
          <w:szCs w:val="20"/>
          <w:color w:val="auto"/>
        </w:rPr>
      </w:pPr>
      <w:r>
        <w:rPr>
          <w:rFonts w:ascii="Calibri" w:cs="Calibri" w:eastAsia="Calibri" w:hAnsi="Calibri"/>
          <w:sz w:val="22"/>
          <w:szCs w:val="22"/>
          <w:color w:val="auto"/>
        </w:rPr>
        <w:t>Avoiding unprotected contact with farm or wild animals.</w:t>
      </w:r>
    </w:p>
    <w:p>
      <w:pPr>
        <w:spacing w:after="0" w:line="89" w:lineRule="exact"/>
        <w:rPr>
          <w:rFonts w:ascii="Arial" w:cs="Arial" w:eastAsia="Arial" w:hAnsi="Arial"/>
          <w:sz w:val="20"/>
          <w:szCs w:val="20"/>
          <w:color w:val="auto"/>
        </w:rPr>
      </w:pPr>
    </w:p>
    <w:p>
      <w:pPr>
        <w:ind w:left="360" w:right="526" w:hanging="360"/>
        <w:spacing w:after="0" w:line="236" w:lineRule="auto"/>
        <w:tabs>
          <w:tab w:leader="none" w:pos="360" w:val="left"/>
        </w:tabs>
        <w:numPr>
          <w:ilvl w:val="0"/>
          <w:numId w:val="5"/>
        </w:numPr>
        <w:rPr>
          <w:rFonts w:ascii="Arial" w:cs="Arial" w:eastAsia="Arial" w:hAnsi="Arial"/>
          <w:sz w:val="20"/>
          <w:szCs w:val="20"/>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1" w:lineRule="exact"/>
        <w:rPr>
          <w:rFonts w:ascii="Arial" w:cs="Arial" w:eastAsia="Arial" w:hAnsi="Arial"/>
          <w:sz w:val="20"/>
          <w:szCs w:val="20"/>
          <w:color w:val="auto"/>
        </w:rPr>
      </w:pPr>
    </w:p>
    <w:p>
      <w:pPr>
        <w:ind w:left="360" w:right="906" w:hanging="360"/>
        <w:spacing w:after="0" w:line="235" w:lineRule="auto"/>
        <w:tabs>
          <w:tab w:leader="none" w:pos="360" w:val="left"/>
        </w:tabs>
        <w:numPr>
          <w:ilvl w:val="0"/>
          <w:numId w:val="5"/>
        </w:numPr>
        <w:rPr>
          <w:rFonts w:ascii="Arial" w:cs="Arial" w:eastAsia="Arial" w:hAnsi="Arial"/>
          <w:sz w:val="20"/>
          <w:szCs w:val="20"/>
          <w:color w:val="auto"/>
        </w:rPr>
      </w:pPr>
      <w:r>
        <w:rPr>
          <w:rFonts w:ascii="Calibri" w:cs="Calibri" w:eastAsia="Calibri" w:hAnsi="Calibri"/>
          <w:sz w:val="22"/>
          <w:szCs w:val="22"/>
          <w:color w:val="auto"/>
        </w:rPr>
        <w:t>Within healthcare facilities, enhance standard infection prevention and control practices in hospitals, especially in emergency departments.</w:t>
      </w:r>
    </w:p>
    <w:p>
      <w:pPr>
        <w:spacing w:after="0" w:line="290" w:lineRule="exact"/>
        <w:rPr>
          <w:rFonts w:ascii="Arial" w:cs="Arial" w:eastAsia="Arial" w:hAnsi="Arial"/>
          <w:sz w:val="20"/>
          <w:szCs w:val="20"/>
          <w:color w:val="auto"/>
        </w:rPr>
      </w:pPr>
    </w:p>
    <w:p>
      <w:pPr>
        <w:ind w:left="360" w:right="106"/>
        <w:spacing w:after="0" w:line="261" w:lineRule="auto"/>
        <w:rPr>
          <w:rFonts w:ascii="Calibri" w:cs="Calibri" w:eastAsia="Calibri" w:hAnsi="Calibri"/>
          <w:sz w:val="22"/>
          <w:szCs w:val="22"/>
          <w:color w:val="auto"/>
        </w:rPr>
      </w:pPr>
      <w:r>
        <w:rPr>
          <w:rFonts w:ascii="Calibri" w:cs="Calibri" w:eastAsia="Calibri" w:hAnsi="Calibri"/>
          <w:sz w:val="22"/>
          <w:szCs w:val="22"/>
          <w:color w:val="auto"/>
        </w:rPr>
        <w:t xml:space="preserve">WHO does not recommend any specific health measures for travellers. In case of symptoms suggestive of respiratory illness either during or after travel, the travellers are encouraged to seek medical attention and share their travel history with their health care provider. </w:t>
      </w:r>
      <w:hyperlink r:id="rId19">
        <w:r>
          <w:rPr>
            <w:rFonts w:ascii="Calibri" w:cs="Calibri" w:eastAsia="Calibri" w:hAnsi="Calibri"/>
            <w:sz w:val="22"/>
            <w:szCs w:val="22"/>
            <w:u w:val="single" w:color="auto"/>
            <w:color w:val="0000FF"/>
          </w:rPr>
          <w:t>Travel guidance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was 77updated on 24 January.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right"/>
        <w:ind w:right="6"/>
        <w:spacing w:after="0"/>
        <w:rPr>
          <w:sz w:val="20"/>
          <w:szCs w:val="20"/>
          <w:color w:val="auto"/>
        </w:rPr>
      </w:pPr>
      <w:r>
        <w:rPr>
          <w:rFonts w:ascii="Calibri" w:cs="Calibri" w:eastAsia="Calibri" w:hAnsi="Calibri"/>
          <w:sz w:val="24"/>
          <w:szCs w:val="24"/>
          <w:color w:val="auto"/>
        </w:rPr>
        <w:t>6</w:t>
      </w:r>
    </w:p>
    <w:p>
      <w:pPr>
        <w:sectPr>
          <w:pgSz w:w="11900" w:h="16838" w:orient="portrait"/>
          <w:cols w:equalWidth="0" w:num="1">
            <w:col w:w="9386"/>
          </w:cols>
          <w:pgMar w:left="1080" w:top="1440" w:right="1440" w:bottom="415" w:gutter="0" w:footer="0" w:header="0"/>
        </w:sectPr>
      </w:pPr>
    </w:p>
    <w:bookmarkStart w:id="6" w:name="page7"/>
    <w:bookmarkEnd w:id="6"/>
    <w:p>
      <w:pPr>
        <w:spacing w:after="0"/>
        <w:rPr>
          <w:sz w:val="20"/>
          <w:szCs w:val="20"/>
          <w:color w:val="auto"/>
        </w:rPr>
      </w:pPr>
      <w:r>
        <w:rPr>
          <w:rFonts w:ascii="Calibri" w:cs="Calibri" w:eastAsia="Calibri" w:hAnsi="Calibri"/>
          <w:sz w:val="26"/>
          <w:szCs w:val="26"/>
          <w:b w:val="1"/>
          <w:bCs w:val="1"/>
          <w:color w:val="0070C0"/>
        </w:rPr>
        <w:t>III. COUNTRY RESPONSE:</w:t>
      </w: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China:</w:t>
      </w:r>
    </w:p>
    <w:p>
      <w:pPr>
        <w:spacing w:after="0" w:line="301" w:lineRule="exact"/>
        <w:rPr>
          <w:sz w:val="20"/>
          <w:szCs w:val="20"/>
          <w:color w:val="auto"/>
        </w:rPr>
      </w:pPr>
    </w:p>
    <w:p>
      <w:pPr>
        <w:ind w:left="720" w:right="146" w:hanging="360"/>
        <w:spacing w:after="0" w:line="255" w:lineRule="auto"/>
        <w:tabs>
          <w:tab w:leader="none" w:pos="720" w:val="left"/>
        </w:tabs>
        <w:numPr>
          <w:ilvl w:val="0"/>
          <w:numId w:val="6"/>
        </w:numPr>
        <w:rPr>
          <w:rFonts w:ascii="Arial" w:cs="Arial" w:eastAsia="Arial" w:hAnsi="Arial"/>
          <w:sz w:val="21"/>
          <w:szCs w:val="21"/>
          <w:color w:val="auto"/>
        </w:rPr>
      </w:pPr>
      <w:r>
        <w:rPr>
          <w:rFonts w:ascii="Calibri" w:cs="Calibri" w:eastAsia="Calibri" w:hAnsi="Calibri"/>
          <w:sz w:val="21"/>
          <w:szCs w:val="21"/>
          <w:color w:val="auto"/>
        </w:rPr>
        <w:t>Public education on disease prevention and environmental hygiene further strengthened in public places across the city, farmers’ markets in particular. As of 23 January, the National</w:t>
      </w:r>
    </w:p>
    <w:p>
      <w:pPr>
        <w:spacing w:after="0" w:line="74" w:lineRule="exact"/>
        <w:rPr>
          <w:rFonts w:ascii="Arial" w:cs="Arial" w:eastAsia="Arial" w:hAnsi="Arial"/>
          <w:sz w:val="21"/>
          <w:szCs w:val="21"/>
          <w:color w:val="auto"/>
        </w:rPr>
      </w:pPr>
    </w:p>
    <w:p>
      <w:pPr>
        <w:ind w:left="720" w:right="86"/>
        <w:spacing w:after="0" w:line="235" w:lineRule="auto"/>
        <w:rPr>
          <w:rFonts w:ascii="Arial" w:cs="Arial" w:eastAsia="Arial" w:hAnsi="Arial"/>
          <w:sz w:val="21"/>
          <w:szCs w:val="21"/>
          <w:color w:val="auto"/>
        </w:rPr>
      </w:pPr>
      <w:r>
        <w:rPr>
          <w:rFonts w:ascii="Calibri" w:cs="Calibri" w:eastAsia="Calibri" w:hAnsi="Calibri"/>
          <w:sz w:val="22"/>
          <w:szCs w:val="22"/>
          <w:color w:val="auto"/>
        </w:rPr>
        <w:t>Health Commission revised protection standards and specifications for medical workers and strengthened prevention and control measures against 2019-nCoV in hospitals.</w:t>
      </w:r>
    </w:p>
    <w:p>
      <w:pPr>
        <w:spacing w:after="0" w:line="53" w:lineRule="exact"/>
        <w:rPr>
          <w:rFonts w:ascii="Arial" w:cs="Arial" w:eastAsia="Arial" w:hAnsi="Arial"/>
          <w:sz w:val="21"/>
          <w:szCs w:val="21"/>
          <w:color w:val="auto"/>
        </w:rPr>
      </w:pPr>
    </w:p>
    <w:p>
      <w:pPr>
        <w:ind w:left="720" w:hanging="360"/>
        <w:spacing w:after="0"/>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National authorities are conducting active case finding in all provinces.</w:t>
      </w:r>
    </w:p>
    <w:p>
      <w:pPr>
        <w:spacing w:after="0" w:line="53" w:lineRule="exact"/>
        <w:rPr>
          <w:rFonts w:ascii="Arial" w:cs="Arial" w:eastAsia="Arial" w:hAnsi="Arial"/>
          <w:sz w:val="22"/>
          <w:szCs w:val="22"/>
          <w:color w:val="auto"/>
        </w:rPr>
      </w:pPr>
    </w:p>
    <w:p>
      <w:pPr>
        <w:ind w:left="720" w:hanging="360"/>
        <w:spacing w:after="0"/>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Search expanded for additional cases within and outside of Wuhan.</w:t>
      </w:r>
    </w:p>
    <w:p>
      <w:pPr>
        <w:spacing w:after="0" w:line="50" w:lineRule="exact"/>
        <w:rPr>
          <w:rFonts w:ascii="Arial" w:cs="Arial" w:eastAsia="Arial" w:hAnsi="Arial"/>
          <w:sz w:val="22"/>
          <w:szCs w:val="22"/>
          <w:color w:val="auto"/>
        </w:rPr>
      </w:pPr>
    </w:p>
    <w:p>
      <w:pPr>
        <w:ind w:left="720" w:hanging="360"/>
        <w:spacing w:after="0"/>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Active / retroactive case finding in medical institutions in Wuhan.</w:t>
      </w:r>
    </w:p>
    <w:p>
      <w:pPr>
        <w:spacing w:after="0" w:line="102" w:lineRule="exact"/>
        <w:rPr>
          <w:rFonts w:ascii="Arial" w:cs="Arial" w:eastAsia="Arial" w:hAnsi="Arial"/>
          <w:sz w:val="22"/>
          <w:szCs w:val="22"/>
          <w:color w:val="auto"/>
        </w:rPr>
      </w:pPr>
    </w:p>
    <w:p>
      <w:pPr>
        <w:ind w:left="720" w:right="46" w:hanging="360"/>
        <w:spacing w:after="0" w:line="235" w:lineRule="auto"/>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The Huanan Seafood Wholesale Market in Wuhan was closed on 1 January 2020 for environmental sanitation and disinfection. Market inspection in expansion to other markets.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right"/>
        <w:ind w:right="6"/>
        <w:spacing w:after="0"/>
        <w:rPr>
          <w:sz w:val="20"/>
          <w:szCs w:val="20"/>
          <w:color w:val="auto"/>
        </w:rPr>
      </w:pPr>
      <w:r>
        <w:rPr>
          <w:rFonts w:ascii="Calibri" w:cs="Calibri" w:eastAsia="Calibri" w:hAnsi="Calibri"/>
          <w:sz w:val="24"/>
          <w:szCs w:val="24"/>
          <w:color w:val="auto"/>
        </w:rPr>
        <w:t>7</w:t>
      </w:r>
    </w:p>
    <w:p>
      <w:pPr>
        <w:sectPr>
          <w:pgSz w:w="11900" w:h="16838" w:orient="portrait"/>
          <w:cols w:equalWidth="0" w:num="1">
            <w:col w:w="9026"/>
          </w:cols>
          <w:pgMar w:left="1440" w:top="1433" w:right="1440" w:bottom="415" w:gutter="0" w:footer="0" w:header="0"/>
        </w:sectPr>
      </w:pPr>
    </w:p>
    <w:bookmarkStart w:id="7" w:name="page8"/>
    <w:bookmarkEnd w:id="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982980</wp:posOffset>
            </wp:positionH>
            <wp:positionV relativeFrom="page">
              <wp:posOffset>1560830</wp:posOffset>
            </wp:positionV>
            <wp:extent cx="5664200" cy="66605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extLst>
                    </a:blip>
                    <a:srcRect/>
                    <a:stretch>
                      <a:fillRect/>
                    </a:stretch>
                  </pic:blipFill>
                  <pic:spPr bwMode="auto">
                    <a:xfrm>
                      <a:off x="0" y="0"/>
                      <a:ext cx="5664200" cy="66605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b w:val="1"/>
          <w:bCs w:val="1"/>
          <w:color w:val="FFFFFF"/>
        </w:rPr>
        <w:t>Resources:</w:t>
      </w:r>
    </w:p>
    <w:p>
      <w:pPr>
        <w:spacing w:after="0" w:line="53" w:lineRule="exact"/>
        <w:rPr>
          <w:sz w:val="20"/>
          <w:szCs w:val="20"/>
          <w:color w:val="auto"/>
        </w:rPr>
      </w:pPr>
    </w:p>
    <w:p>
      <w:pPr>
        <w:ind w:left="940" w:right="2486" w:hanging="364"/>
        <w:spacing w:after="0" w:line="238" w:lineRule="auto"/>
        <w:tabs>
          <w:tab w:leader="none" w:pos="940" w:val="left"/>
        </w:tabs>
        <w:numPr>
          <w:ilvl w:val="0"/>
          <w:numId w:val="7"/>
        </w:numPr>
        <w:rPr>
          <w:rFonts w:ascii="Calibri" w:cs="Calibri" w:eastAsia="Calibri" w:hAnsi="Calibri"/>
          <w:sz w:val="19"/>
          <w:szCs w:val="19"/>
          <w:color w:val="FFFFFF"/>
        </w:rPr>
      </w:pPr>
      <w:r>
        <w:rPr>
          <w:rFonts w:ascii="Calibri" w:cs="Calibri" w:eastAsia="Calibri" w:hAnsi="Calibri"/>
          <w:sz w:val="19"/>
          <w:szCs w:val="19"/>
          <w:color w:val="FFFFFF"/>
        </w:rPr>
        <w:t xml:space="preserve">Technical interim guidance for novel coronavirus, WHO: </w:t>
      </w:r>
      <w:hyperlink r:id="rId24">
        <w:r>
          <w:rPr>
            <w:rFonts w:ascii="Calibri" w:cs="Calibri" w:eastAsia="Calibri" w:hAnsi="Calibri"/>
            <w:sz w:val="19"/>
            <w:szCs w:val="19"/>
            <w:color w:val="FFFFFF"/>
          </w:rPr>
          <w:t>https://www.who.int/emergencies/diseases/novel-coronavirus-2019</w:t>
        </w:r>
      </w:hyperlink>
    </w:p>
    <w:p>
      <w:pPr>
        <w:spacing w:after="0" w:line="77" w:lineRule="exact"/>
        <w:rPr>
          <w:rFonts w:ascii="Calibri" w:cs="Calibri" w:eastAsia="Calibri" w:hAnsi="Calibri"/>
          <w:sz w:val="19"/>
          <w:szCs w:val="19"/>
          <w:color w:val="FFFFFF"/>
        </w:rPr>
      </w:pPr>
    </w:p>
    <w:p>
      <w:pPr>
        <w:ind w:left="940" w:right="366" w:hanging="364"/>
        <w:spacing w:after="0" w:line="237" w:lineRule="auto"/>
        <w:tabs>
          <w:tab w:leader="none" w:pos="940" w:val="left"/>
        </w:tabs>
        <w:numPr>
          <w:ilvl w:val="0"/>
          <w:numId w:val="7"/>
        </w:numPr>
        <w:rPr>
          <w:rFonts w:ascii="Calibri" w:cs="Calibri" w:eastAsia="Calibri" w:hAnsi="Calibri"/>
          <w:sz w:val="20"/>
          <w:szCs w:val="20"/>
          <w:color w:val="FFFFFF"/>
        </w:rPr>
      </w:pPr>
      <w:r>
        <w:rPr>
          <w:rFonts w:ascii="Calibri" w:cs="Calibri" w:eastAsia="Calibri" w:hAnsi="Calibri"/>
          <w:sz w:val="20"/>
          <w:szCs w:val="20"/>
          <w:color w:val="FFFFFF"/>
        </w:rPr>
        <w:t xml:space="preserve">WHO travel advice for international travel and trade in relation to the outbreak of the novel coronavirus 2019-nCoV </w:t>
      </w:r>
      <w:hyperlink r:id="rId19">
        <w:r>
          <w:rPr>
            <w:rFonts w:ascii="Calibri" w:cs="Calibri" w:eastAsia="Calibri" w:hAnsi="Calibri"/>
            <w:sz w:val="20"/>
            <w:szCs w:val="20"/>
            <w:color w:val="FFFFFF"/>
          </w:rPr>
          <w:t>https://www.who.int/ith/2020-24-01-outbreak-of-Pneumonia-caused-by-new-coronavirus/en/</w:t>
        </w:r>
      </w:hyperlink>
    </w:p>
    <w:p>
      <w:pPr>
        <w:spacing w:after="0" w:line="78" w:lineRule="exact"/>
        <w:rPr>
          <w:rFonts w:ascii="Calibri" w:cs="Calibri" w:eastAsia="Calibri" w:hAnsi="Calibri"/>
          <w:sz w:val="20"/>
          <w:szCs w:val="20"/>
          <w:color w:val="FFFFFF"/>
        </w:rPr>
      </w:pPr>
    </w:p>
    <w:p>
      <w:pPr>
        <w:ind w:left="940" w:right="166" w:hanging="364"/>
        <w:spacing w:after="0" w:line="237" w:lineRule="auto"/>
        <w:tabs>
          <w:tab w:leader="none" w:pos="940" w:val="left"/>
        </w:tabs>
        <w:numPr>
          <w:ilvl w:val="0"/>
          <w:numId w:val="7"/>
        </w:numPr>
        <w:rPr>
          <w:rFonts w:ascii="Calibri" w:cs="Calibri" w:eastAsia="Calibri" w:hAnsi="Calibri"/>
          <w:sz w:val="20"/>
          <w:szCs w:val="20"/>
          <w:color w:val="FFFFFF"/>
        </w:rPr>
      </w:pPr>
      <w:r>
        <w:rPr>
          <w:rFonts w:ascii="Calibri" w:cs="Calibri" w:eastAsia="Calibri" w:hAnsi="Calibri"/>
          <w:sz w:val="20"/>
          <w:szCs w:val="20"/>
          <w:color w:val="FFFFFF"/>
        </w:rPr>
        <w:t xml:space="preserve">WHO: Regional Office for Europe: 2019-nCoV outbreak: first cases confirmed in Europe </w:t>
      </w:r>
      <w:hyperlink r:id="rId25">
        <w:r>
          <w:rPr>
            <w:rFonts w:ascii="Calibri" w:cs="Calibri" w:eastAsia="Calibri" w:hAnsi="Calibri"/>
            <w:sz w:val="20"/>
            <w:szCs w:val="20"/>
            <w:color w:val="FFFFFF"/>
          </w:rPr>
          <w:t>http://www.euro.who.int/en/health-topics/emergencies/pages/news/news/2020/01/2019-ncov-</w:t>
        </w:r>
      </w:hyperlink>
      <w:hyperlink r:id="rId25">
        <w:r>
          <w:rPr>
            <w:rFonts w:ascii="Calibri" w:cs="Calibri" w:eastAsia="Calibri" w:hAnsi="Calibri"/>
            <w:sz w:val="20"/>
            <w:szCs w:val="20"/>
            <w:color w:val="FFFFFF"/>
          </w:rPr>
          <w:t>outbreak-first-cases-confirmed-in-europe</w:t>
        </w:r>
      </w:hyperlink>
    </w:p>
    <w:p>
      <w:pPr>
        <w:spacing w:after="0" w:line="75" w:lineRule="exact"/>
        <w:rPr>
          <w:rFonts w:ascii="Calibri" w:cs="Calibri" w:eastAsia="Calibri" w:hAnsi="Calibri"/>
          <w:sz w:val="20"/>
          <w:szCs w:val="20"/>
          <w:color w:val="FFFFFF"/>
        </w:rPr>
      </w:pPr>
    </w:p>
    <w:p>
      <w:pPr>
        <w:ind w:left="940" w:right="2286" w:hanging="364"/>
        <w:spacing w:after="0"/>
        <w:tabs>
          <w:tab w:leader="none" w:pos="940" w:val="left"/>
        </w:tabs>
        <w:numPr>
          <w:ilvl w:val="0"/>
          <w:numId w:val="7"/>
        </w:numPr>
        <w:rPr>
          <w:rFonts w:ascii="Calibri" w:cs="Calibri" w:eastAsia="Calibri" w:hAnsi="Calibri"/>
          <w:sz w:val="19"/>
          <w:szCs w:val="19"/>
          <w:color w:val="FFFFFF"/>
        </w:rPr>
      </w:pPr>
      <w:r>
        <w:rPr>
          <w:rFonts w:ascii="Calibri" w:cs="Calibri" w:eastAsia="Calibri" w:hAnsi="Calibri"/>
          <w:sz w:val="19"/>
          <w:szCs w:val="19"/>
          <w:color w:val="FFFFFF"/>
        </w:rPr>
        <w:t xml:space="preserve">Press statements by KCDC (in Korean): </w:t>
      </w:r>
      <w:hyperlink r:id="rId26">
        <w:r>
          <w:rPr>
            <w:rFonts w:ascii="Calibri" w:cs="Calibri" w:eastAsia="Calibri" w:hAnsi="Calibri"/>
            <w:sz w:val="19"/>
            <w:szCs w:val="19"/>
            <w:color w:val="FFFFFF"/>
          </w:rPr>
          <w:t>https://www.cdc.go.kr/board/board.es?mid=a20501000000&amp;bid=0015</w:t>
        </w:r>
      </w:hyperlink>
    </w:p>
    <w:p>
      <w:pPr>
        <w:spacing w:after="0" w:line="74" w:lineRule="exact"/>
        <w:rPr>
          <w:rFonts w:ascii="Calibri" w:cs="Calibri" w:eastAsia="Calibri" w:hAnsi="Calibri"/>
          <w:sz w:val="19"/>
          <w:szCs w:val="19"/>
          <w:color w:val="FFFFFF"/>
        </w:rPr>
      </w:pPr>
    </w:p>
    <w:p>
      <w:pPr>
        <w:ind w:left="940" w:right="846" w:hanging="364"/>
        <w:spacing w:after="0" w:line="227" w:lineRule="auto"/>
        <w:tabs>
          <w:tab w:leader="none" w:pos="940" w:val="left"/>
        </w:tabs>
        <w:numPr>
          <w:ilvl w:val="0"/>
          <w:numId w:val="7"/>
        </w:numPr>
        <w:rPr>
          <w:rFonts w:ascii="Arial" w:cs="Arial" w:eastAsia="Arial" w:hAnsi="Arial"/>
          <w:sz w:val="20"/>
          <w:szCs w:val="20"/>
          <w:color w:val="FFFFFF"/>
        </w:rPr>
      </w:pPr>
      <w:r>
        <w:rPr>
          <w:rFonts w:ascii="Calibri" w:cs="Calibri" w:eastAsia="Calibri" w:hAnsi="Calibri"/>
          <w:sz w:val="20"/>
          <w:szCs w:val="20"/>
          <w:color w:val="FFFFFF"/>
        </w:rPr>
        <w:t>Wuhan Municipal Health Commission's briefing on the pneumonia epidemic situation, (in Chinese):</w:t>
      </w:r>
    </w:p>
    <w:p>
      <w:pPr>
        <w:spacing w:after="0" w:line="19" w:lineRule="exact"/>
        <w:rPr>
          <w:rFonts w:ascii="Arial" w:cs="Arial" w:eastAsia="Arial" w:hAnsi="Arial"/>
          <w:sz w:val="20"/>
          <w:szCs w:val="20"/>
          <w:color w:val="FFFFFF"/>
        </w:rPr>
      </w:pPr>
    </w:p>
    <w:p>
      <w:pPr>
        <w:ind w:left="940"/>
        <w:spacing w:after="0"/>
        <w:rPr>
          <w:rFonts w:ascii="Calibri" w:cs="Calibri" w:eastAsia="Calibri" w:hAnsi="Calibri"/>
          <w:sz w:val="20"/>
          <w:szCs w:val="20"/>
          <w:color w:val="FFFFFF"/>
        </w:rPr>
      </w:pPr>
      <w:hyperlink r:id="rId27">
        <w:r>
          <w:rPr>
            <w:rFonts w:ascii="Calibri" w:cs="Calibri" w:eastAsia="Calibri" w:hAnsi="Calibri"/>
            <w:sz w:val="20"/>
            <w:szCs w:val="20"/>
            <w:color w:val="FFFFFF"/>
          </w:rPr>
          <w:t>http://wjw.wuhan.gov.cn/front/web/list2nd/no/710</w:t>
        </w:r>
      </w:hyperlink>
    </w:p>
    <w:p>
      <w:pPr>
        <w:spacing w:after="0" w:line="76" w:lineRule="exact"/>
        <w:rPr>
          <w:rFonts w:ascii="Calibri" w:cs="Calibri" w:eastAsia="Calibri" w:hAnsi="Calibri"/>
          <w:sz w:val="20"/>
          <w:szCs w:val="20"/>
          <w:color w:val="FFFFFF"/>
        </w:rPr>
      </w:pPr>
    </w:p>
    <w:p>
      <w:pPr>
        <w:ind w:left="940" w:right="4586" w:hanging="364"/>
        <w:spacing w:after="0" w:line="238" w:lineRule="auto"/>
        <w:tabs>
          <w:tab w:leader="none" w:pos="940" w:val="left"/>
        </w:tabs>
        <w:numPr>
          <w:ilvl w:val="0"/>
          <w:numId w:val="7"/>
        </w:numPr>
        <w:rPr>
          <w:rFonts w:ascii="Calibri" w:cs="Calibri" w:eastAsia="Calibri" w:hAnsi="Calibri"/>
          <w:sz w:val="19"/>
          <w:szCs w:val="19"/>
          <w:color w:val="FFFFFF"/>
        </w:rPr>
      </w:pPr>
      <w:r>
        <w:rPr>
          <w:rFonts w:ascii="Calibri" w:cs="Calibri" w:eastAsia="Calibri" w:hAnsi="Calibri"/>
          <w:sz w:val="19"/>
          <w:szCs w:val="19"/>
          <w:color w:val="FFFFFF"/>
        </w:rPr>
        <w:t xml:space="preserve">Disease outbreak news, Novel Coronavirus: </w:t>
      </w:r>
      <w:hyperlink r:id="rId28">
        <w:r>
          <w:rPr>
            <w:rFonts w:ascii="Calibri" w:cs="Calibri" w:eastAsia="Calibri" w:hAnsi="Calibri"/>
            <w:sz w:val="19"/>
            <w:szCs w:val="19"/>
            <w:color w:val="FFFFFF"/>
          </w:rPr>
          <w:t>https://www.who.int/csr/don/en/</w:t>
        </w:r>
      </w:hyperlink>
    </w:p>
    <w:p>
      <w:pPr>
        <w:spacing w:after="0" w:line="77" w:lineRule="exact"/>
        <w:rPr>
          <w:rFonts w:ascii="Calibri" w:cs="Calibri" w:eastAsia="Calibri" w:hAnsi="Calibri"/>
          <w:sz w:val="19"/>
          <w:szCs w:val="19"/>
          <w:color w:val="FFFFFF"/>
        </w:rPr>
      </w:pPr>
    </w:p>
    <w:p>
      <w:pPr>
        <w:ind w:left="940" w:right="126" w:hanging="364"/>
        <w:spacing w:after="0" w:line="226" w:lineRule="auto"/>
        <w:tabs>
          <w:tab w:leader="none" w:pos="940" w:val="left"/>
        </w:tabs>
        <w:numPr>
          <w:ilvl w:val="0"/>
          <w:numId w:val="7"/>
        </w:numPr>
        <w:rPr>
          <w:rFonts w:ascii="Calibri" w:cs="Calibri" w:eastAsia="Calibri" w:hAnsi="Calibri"/>
          <w:sz w:val="20"/>
          <w:szCs w:val="20"/>
          <w:color w:val="FFFFFF"/>
        </w:rPr>
      </w:pPr>
      <w:r>
        <w:rPr>
          <w:rFonts w:ascii="Calibri" w:cs="Calibri" w:eastAsia="Calibri" w:hAnsi="Calibri"/>
          <w:sz w:val="20"/>
          <w:szCs w:val="20"/>
          <w:color w:val="FFFFFF"/>
        </w:rPr>
        <w:t xml:space="preserve">Thailand Ministry of Public Health situation update on novel coronavirus (in Thai): </w:t>
      </w:r>
      <w:hyperlink r:id="rId29">
        <w:r>
          <w:rPr>
            <w:rFonts w:ascii="Calibri" w:cs="Calibri" w:eastAsia="Calibri" w:hAnsi="Calibri"/>
            <w:sz w:val="20"/>
            <w:szCs w:val="20"/>
            <w:color w:val="FFFFFF"/>
          </w:rPr>
          <w:t>https://ddc.moph.go.th/viralpneumonia/index.html</w:t>
        </w:r>
      </w:hyperlink>
    </w:p>
    <w:p>
      <w:pPr>
        <w:spacing w:after="0" w:line="77" w:lineRule="exact"/>
        <w:rPr>
          <w:rFonts w:ascii="Calibri" w:cs="Calibri" w:eastAsia="Calibri" w:hAnsi="Calibri"/>
          <w:sz w:val="20"/>
          <w:szCs w:val="20"/>
          <w:color w:val="FFFFFF"/>
        </w:rPr>
      </w:pPr>
    </w:p>
    <w:p>
      <w:pPr>
        <w:ind w:left="940" w:right="106" w:hanging="364"/>
        <w:spacing w:after="0" w:line="226" w:lineRule="auto"/>
        <w:tabs>
          <w:tab w:leader="none" w:pos="940" w:val="left"/>
        </w:tabs>
        <w:numPr>
          <w:ilvl w:val="0"/>
          <w:numId w:val="7"/>
        </w:numPr>
        <w:rPr>
          <w:rFonts w:ascii="Calibri" w:cs="Calibri" w:eastAsia="Calibri" w:hAnsi="Calibri"/>
          <w:sz w:val="20"/>
          <w:szCs w:val="20"/>
          <w:color w:val="FFFFFF"/>
        </w:rPr>
      </w:pPr>
      <w:r>
        <w:rPr>
          <w:rFonts w:ascii="Calibri" w:cs="Calibri" w:eastAsia="Calibri" w:hAnsi="Calibri"/>
          <w:sz w:val="20"/>
          <w:szCs w:val="20"/>
          <w:color w:val="FFFFFF"/>
        </w:rPr>
        <w:t xml:space="preserve">Press statement by Ministry of Health, Labour and Welfare, Japan (in Japanese): </w:t>
      </w:r>
      <w:hyperlink r:id="rId30">
        <w:r>
          <w:rPr>
            <w:rFonts w:ascii="Calibri" w:cs="Calibri" w:eastAsia="Calibri" w:hAnsi="Calibri"/>
            <w:sz w:val="20"/>
            <w:szCs w:val="20"/>
            <w:color w:val="FFFFFF"/>
          </w:rPr>
          <w:t>https://www.mhlw.go.jp/stf/houdou/houdou_list_202001.html</w:t>
        </w:r>
      </w:hyperlink>
    </w:p>
    <w:p>
      <w:pPr>
        <w:spacing w:after="0" w:line="77" w:lineRule="exact"/>
        <w:rPr>
          <w:rFonts w:ascii="Calibri" w:cs="Calibri" w:eastAsia="Calibri" w:hAnsi="Calibri"/>
          <w:sz w:val="20"/>
          <w:szCs w:val="20"/>
          <w:color w:val="FFFFFF"/>
        </w:rPr>
      </w:pPr>
    </w:p>
    <w:p>
      <w:pPr>
        <w:ind w:left="940" w:right="126" w:hanging="364"/>
        <w:spacing w:after="0"/>
        <w:tabs>
          <w:tab w:leader="none" w:pos="940" w:val="left"/>
        </w:tabs>
        <w:numPr>
          <w:ilvl w:val="0"/>
          <w:numId w:val="7"/>
        </w:numPr>
        <w:rPr>
          <w:rFonts w:ascii="Calibri" w:cs="Calibri" w:eastAsia="Calibri" w:hAnsi="Calibri"/>
          <w:sz w:val="20"/>
          <w:szCs w:val="20"/>
          <w:color w:val="FFFFFF"/>
        </w:rPr>
      </w:pPr>
      <w:r>
        <w:rPr>
          <w:rFonts w:ascii="Calibri" w:cs="Calibri" w:eastAsia="Calibri" w:hAnsi="Calibri"/>
          <w:sz w:val="20"/>
          <w:szCs w:val="20"/>
          <w:color w:val="FFFFFF"/>
        </w:rPr>
        <w:t xml:space="preserve">Notice sent out from Health and Food Safety Planning Division, Quarantine Station Operation Management Office (in Japanese): </w:t>
      </w:r>
      <w:hyperlink r:id="rId31">
        <w:r>
          <w:rPr>
            <w:rFonts w:ascii="Calibri" w:cs="Calibri" w:eastAsia="Calibri" w:hAnsi="Calibri"/>
            <w:sz w:val="20"/>
            <w:szCs w:val="20"/>
            <w:color w:val="FFFFFF"/>
          </w:rPr>
          <w:t>https://www.mhlw.go.jp/content/10900000/000582967.pdf</w:t>
        </w:r>
      </w:hyperlink>
    </w:p>
    <w:p>
      <w:pPr>
        <w:spacing w:after="0" w:line="304" w:lineRule="exact"/>
        <w:rPr>
          <w:rFonts w:ascii="Arial" w:cs="Arial" w:eastAsia="Arial" w:hAnsi="Arial"/>
          <w:sz w:val="20"/>
          <w:szCs w:val="20"/>
          <w:color w:val="FFFFFF"/>
        </w:rPr>
      </w:pPr>
    </w:p>
    <w:p>
      <w:pPr>
        <w:ind w:left="940" w:right="2486" w:hanging="364"/>
        <w:spacing w:after="0" w:line="184" w:lineRule="auto"/>
        <w:tabs>
          <w:tab w:leader="none" w:pos="940" w:val="left"/>
        </w:tabs>
        <w:numPr>
          <w:ilvl w:val="0"/>
          <w:numId w:val="8"/>
        </w:numPr>
        <w:rPr>
          <w:rFonts w:ascii="Calibri" w:cs="Calibri" w:eastAsia="Calibri" w:hAnsi="Calibri"/>
          <w:sz w:val="18"/>
          <w:szCs w:val="18"/>
          <w:color w:val="FFFFFF"/>
        </w:rPr>
      </w:pPr>
      <w:r>
        <w:rPr>
          <w:rFonts w:ascii="Calibri" w:cs="Calibri" w:eastAsia="Calibri" w:hAnsi="Calibri"/>
          <w:sz w:val="18"/>
          <w:szCs w:val="18"/>
          <w:color w:val="FFFFFF"/>
        </w:rPr>
        <w:t xml:space="preserve">Situation report by WHO on Novel Coronavirus (2019-nCoV) </w:t>
      </w:r>
      <w:hyperlink r:id="rId24">
        <w:r>
          <w:rPr>
            <w:rFonts w:ascii="Calibri" w:cs="Calibri" w:eastAsia="Calibri" w:hAnsi="Calibri"/>
            <w:sz w:val="18"/>
            <w:szCs w:val="18"/>
            <w:color w:val="FFFFFF"/>
          </w:rPr>
          <w:t>https://www.who.int/emergencies/diseases/novel-coronavirus-2019</w:t>
        </w:r>
      </w:hyperlink>
    </w:p>
    <w:p>
      <w:pPr>
        <w:spacing w:after="0" w:line="76" w:lineRule="exact"/>
        <w:rPr>
          <w:rFonts w:ascii="Arial" w:cs="Arial" w:eastAsia="Arial" w:hAnsi="Arial"/>
          <w:sz w:val="20"/>
          <w:szCs w:val="20"/>
          <w:color w:val="FFFFFF"/>
        </w:rPr>
      </w:pPr>
    </w:p>
    <w:p>
      <w:pPr>
        <w:ind w:left="940" w:right="266" w:hanging="364"/>
        <w:spacing w:after="0" w:line="227" w:lineRule="auto"/>
        <w:tabs>
          <w:tab w:leader="none" w:pos="940" w:val="left"/>
        </w:tabs>
        <w:numPr>
          <w:ilvl w:val="0"/>
          <w:numId w:val="9"/>
        </w:numPr>
        <w:rPr>
          <w:rFonts w:ascii="Calibri" w:cs="Calibri" w:eastAsia="Calibri" w:hAnsi="Calibri"/>
          <w:sz w:val="20"/>
          <w:szCs w:val="20"/>
          <w:color w:val="FFFFFF"/>
        </w:rPr>
      </w:pPr>
      <w:r>
        <w:rPr>
          <w:rFonts w:ascii="Calibri" w:cs="Calibri" w:eastAsia="Calibri" w:hAnsi="Calibri"/>
          <w:sz w:val="20"/>
          <w:szCs w:val="20"/>
          <w:color w:val="FFFFFF"/>
        </w:rPr>
        <w:t xml:space="preserve">CDC press release. First Travel-related Case of 2019 Novel Coronavirus Detected in United States </w:t>
      </w:r>
      <w:hyperlink r:id="rId32">
        <w:r>
          <w:rPr>
            <w:rFonts w:ascii="Calibri" w:cs="Calibri" w:eastAsia="Calibri" w:hAnsi="Calibri"/>
            <w:sz w:val="20"/>
            <w:szCs w:val="20"/>
            <w:color w:val="FFFFFF"/>
          </w:rPr>
          <w:t>https://www.cdc.gov/media/releases/2020/p0121-novel-coronavirus-travel-case.html</w:t>
        </w:r>
      </w:hyperlink>
    </w:p>
    <w:p>
      <w:pPr>
        <w:spacing w:after="0" w:line="75" w:lineRule="exact"/>
        <w:rPr>
          <w:rFonts w:ascii="Calibri" w:cs="Calibri" w:eastAsia="Calibri" w:hAnsi="Calibri"/>
          <w:sz w:val="20"/>
          <w:szCs w:val="20"/>
          <w:color w:val="FFFFFF"/>
        </w:rPr>
      </w:pPr>
    </w:p>
    <w:p>
      <w:pPr>
        <w:ind w:left="940" w:right="2226" w:hanging="364"/>
        <w:spacing w:after="0" w:line="239" w:lineRule="auto"/>
        <w:tabs>
          <w:tab w:leader="none" w:pos="940" w:val="left"/>
        </w:tabs>
        <w:numPr>
          <w:ilvl w:val="0"/>
          <w:numId w:val="9"/>
        </w:numPr>
        <w:rPr>
          <w:rFonts w:ascii="Calibri" w:cs="Calibri" w:eastAsia="Calibri" w:hAnsi="Calibri"/>
          <w:sz w:val="19"/>
          <w:szCs w:val="19"/>
          <w:color w:val="FFFFFF"/>
        </w:rPr>
      </w:pPr>
      <w:r>
        <w:rPr>
          <w:rFonts w:ascii="Calibri" w:cs="Calibri" w:eastAsia="Calibri" w:hAnsi="Calibri"/>
          <w:sz w:val="19"/>
          <w:szCs w:val="19"/>
          <w:color w:val="FFFFFF"/>
        </w:rPr>
        <w:t xml:space="preserve">Hong Kong SAR Department of Health, Press Release </w:t>
      </w:r>
      <w:hyperlink r:id="rId33">
        <w:r>
          <w:rPr>
            <w:rFonts w:ascii="Calibri" w:cs="Calibri" w:eastAsia="Calibri" w:hAnsi="Calibri"/>
            <w:sz w:val="19"/>
            <w:szCs w:val="19"/>
            <w:color w:val="FFFFFF"/>
          </w:rPr>
          <w:t>https://www.info.gov.hk/gia/general/202001/23/P2020012300970.htm</w:t>
        </w:r>
      </w:hyperlink>
    </w:p>
    <w:p>
      <w:pPr>
        <w:spacing w:after="0" w:line="75" w:lineRule="exact"/>
        <w:rPr>
          <w:rFonts w:ascii="Calibri" w:cs="Calibri" w:eastAsia="Calibri" w:hAnsi="Calibri"/>
          <w:sz w:val="19"/>
          <w:szCs w:val="19"/>
          <w:color w:val="FFFFFF"/>
        </w:rPr>
      </w:pPr>
    </w:p>
    <w:p>
      <w:pPr>
        <w:ind w:left="940" w:right="1906" w:hanging="364"/>
        <w:spacing w:after="0" w:line="239" w:lineRule="auto"/>
        <w:tabs>
          <w:tab w:leader="none" w:pos="940" w:val="left"/>
        </w:tabs>
        <w:numPr>
          <w:ilvl w:val="0"/>
          <w:numId w:val="9"/>
        </w:numPr>
        <w:rPr>
          <w:rFonts w:ascii="Calibri" w:cs="Calibri" w:eastAsia="Calibri" w:hAnsi="Calibri"/>
          <w:sz w:val="19"/>
          <w:szCs w:val="19"/>
          <w:color w:val="FFFFFF"/>
        </w:rPr>
      </w:pPr>
      <w:r>
        <w:rPr>
          <w:rFonts w:ascii="Calibri" w:cs="Calibri" w:eastAsia="Calibri" w:hAnsi="Calibri"/>
          <w:sz w:val="19"/>
          <w:szCs w:val="19"/>
          <w:color w:val="FFFFFF"/>
        </w:rPr>
        <w:t xml:space="preserve">Epidemic Prevention Measures, Macau SAR Health Bureau </w:t>
      </w:r>
      <w:hyperlink r:id="rId34">
        <w:r>
          <w:rPr>
            <w:rFonts w:ascii="Calibri" w:cs="Calibri" w:eastAsia="Calibri" w:hAnsi="Calibri"/>
            <w:sz w:val="19"/>
            <w:szCs w:val="19"/>
            <w:color w:val="FFFFFF"/>
          </w:rPr>
          <w:t>https://www.ssm.gov.mo/apps1/PreventWuhanInfection/ch.aspx#clg17048</w:t>
        </w:r>
      </w:hyperlink>
    </w:p>
    <w:p>
      <w:pPr>
        <w:spacing w:after="0" w:line="75" w:lineRule="exact"/>
        <w:rPr>
          <w:rFonts w:ascii="Calibri" w:cs="Calibri" w:eastAsia="Calibri" w:hAnsi="Calibri"/>
          <w:sz w:val="19"/>
          <w:szCs w:val="19"/>
          <w:color w:val="FFFFFF"/>
        </w:rPr>
      </w:pPr>
    </w:p>
    <w:p>
      <w:pPr>
        <w:ind w:left="940" w:right="126" w:hanging="364"/>
        <w:spacing w:after="0" w:line="237" w:lineRule="auto"/>
        <w:tabs>
          <w:tab w:leader="none" w:pos="940" w:val="left"/>
        </w:tabs>
        <w:numPr>
          <w:ilvl w:val="0"/>
          <w:numId w:val="9"/>
        </w:numPr>
        <w:rPr>
          <w:rFonts w:ascii="Calibri" w:cs="Calibri" w:eastAsia="Calibri" w:hAnsi="Calibri"/>
          <w:sz w:val="20"/>
          <w:szCs w:val="20"/>
          <w:color w:val="FFFFFF"/>
        </w:rPr>
      </w:pPr>
      <w:r>
        <w:rPr>
          <w:rFonts w:ascii="Calibri" w:cs="Calibri" w:eastAsia="Calibri" w:hAnsi="Calibri"/>
          <w:sz w:val="20"/>
          <w:szCs w:val="20"/>
          <w:color w:val="FFFFFF"/>
        </w:rPr>
        <w:t xml:space="preserve">Press release on 23 January 2020, Ministry of Health Singapore. </w:t>
      </w:r>
      <w:hyperlink r:id="rId35">
        <w:r>
          <w:rPr>
            <w:rFonts w:ascii="Calibri" w:cs="Calibri" w:eastAsia="Calibri" w:hAnsi="Calibri"/>
            <w:sz w:val="20"/>
            <w:szCs w:val="20"/>
            <w:color w:val="FFFFFF"/>
          </w:rPr>
          <w:t>https://www.moh.gov.sg/news-highlights/details/confirmed-imported-case-of-novel-coronavirus-</w:t>
        </w:r>
      </w:hyperlink>
      <w:hyperlink r:id="rId35">
        <w:r>
          <w:rPr>
            <w:rFonts w:ascii="Calibri" w:cs="Calibri" w:eastAsia="Calibri" w:hAnsi="Calibri"/>
            <w:sz w:val="20"/>
            <w:szCs w:val="20"/>
            <w:color w:val="FFFFFF"/>
          </w:rPr>
          <w:t>infection-in-singapore-multi-ministry-taskforce-ramps-up-precautionary-measures</w:t>
        </w:r>
      </w:hyperlink>
    </w:p>
    <w:p>
      <w:pPr>
        <w:spacing w:after="0" w:line="78" w:lineRule="exact"/>
        <w:rPr>
          <w:rFonts w:ascii="Calibri" w:cs="Calibri" w:eastAsia="Calibri" w:hAnsi="Calibri"/>
          <w:sz w:val="20"/>
          <w:szCs w:val="20"/>
          <w:color w:val="FFFFFF"/>
        </w:rPr>
      </w:pPr>
    </w:p>
    <w:p>
      <w:pPr>
        <w:ind w:left="940" w:right="106" w:hanging="364"/>
        <w:spacing w:after="0" w:line="226" w:lineRule="auto"/>
        <w:tabs>
          <w:tab w:leader="none" w:pos="940" w:val="left"/>
        </w:tabs>
        <w:numPr>
          <w:ilvl w:val="0"/>
          <w:numId w:val="9"/>
        </w:numPr>
        <w:rPr>
          <w:rFonts w:ascii="Calibri" w:cs="Calibri" w:eastAsia="Calibri" w:hAnsi="Calibri"/>
          <w:sz w:val="20"/>
          <w:szCs w:val="20"/>
          <w:color w:val="FFFFFF"/>
        </w:rPr>
      </w:pPr>
      <w:r>
        <w:rPr>
          <w:rFonts w:ascii="Calibri" w:cs="Calibri" w:eastAsia="Calibri" w:hAnsi="Calibri"/>
          <w:sz w:val="20"/>
          <w:szCs w:val="20"/>
          <w:color w:val="FFFFFF"/>
        </w:rPr>
        <w:t xml:space="preserve">CDC press release. Second Travel-related Case of 2019 Novel Coronavirus Detected in United States </w:t>
      </w:r>
      <w:hyperlink r:id="rId36">
        <w:r>
          <w:rPr>
            <w:rFonts w:ascii="Calibri" w:cs="Calibri" w:eastAsia="Calibri" w:hAnsi="Calibri"/>
            <w:sz w:val="20"/>
            <w:szCs w:val="20"/>
            <w:color w:val="FFFFFF"/>
          </w:rPr>
          <w:t>https://www.cdc.gov/media/releases/2020/p0124-second-travel-coronavirus.html</w:t>
        </w:r>
      </w:hyperlink>
    </w:p>
    <w:p>
      <w:pPr>
        <w:spacing w:after="0" w:line="77" w:lineRule="exact"/>
        <w:rPr>
          <w:rFonts w:ascii="Calibri" w:cs="Calibri" w:eastAsia="Calibri" w:hAnsi="Calibri"/>
          <w:sz w:val="20"/>
          <w:szCs w:val="20"/>
          <w:color w:val="FFFFFF"/>
        </w:rPr>
      </w:pPr>
    </w:p>
    <w:p>
      <w:pPr>
        <w:ind w:left="940" w:right="1866" w:hanging="364"/>
        <w:spacing w:after="0" w:line="227" w:lineRule="auto"/>
        <w:tabs>
          <w:tab w:leader="none" w:pos="940" w:val="left"/>
        </w:tabs>
        <w:numPr>
          <w:ilvl w:val="0"/>
          <w:numId w:val="9"/>
        </w:numPr>
        <w:rPr>
          <w:rFonts w:ascii="Calibri" w:cs="Calibri" w:eastAsia="Calibri" w:hAnsi="Calibri"/>
          <w:sz w:val="20"/>
          <w:szCs w:val="20"/>
          <w:color w:val="FFFFFF"/>
        </w:rPr>
      </w:pPr>
      <w:r>
        <w:rPr>
          <w:rFonts w:ascii="Calibri" w:cs="Calibri" w:eastAsia="Calibri" w:hAnsi="Calibri"/>
          <w:sz w:val="20"/>
          <w:szCs w:val="20"/>
          <w:color w:val="FFFFFF"/>
        </w:rPr>
        <w:t xml:space="preserve">New South Wales Government: Health: Coronavirus cases confirmed in NSW </w:t>
      </w:r>
      <w:hyperlink r:id="rId37">
        <w:r>
          <w:rPr>
            <w:rFonts w:ascii="Calibri" w:cs="Calibri" w:eastAsia="Calibri" w:hAnsi="Calibri"/>
            <w:sz w:val="20"/>
            <w:szCs w:val="20"/>
            <w:color w:val="FFFFFF"/>
          </w:rPr>
          <w:t>https://www.health.nsw.gov.au/news/Pages/20200125_03.aspx</w:t>
        </w:r>
      </w:hyperlink>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73" w:lineRule="exact"/>
        <w:rPr>
          <w:rFonts w:ascii="Arial" w:cs="Arial" w:eastAsia="Arial" w:hAnsi="Arial"/>
          <w:sz w:val="20"/>
          <w:szCs w:val="20"/>
          <w:color w:val="FFFFFF"/>
        </w:rPr>
      </w:pPr>
    </w:p>
    <w:p>
      <w:pPr>
        <w:jc w:val="right"/>
        <w:ind w:right="6"/>
        <w:spacing w:after="0"/>
        <w:rPr>
          <w:sz w:val="20"/>
          <w:szCs w:val="20"/>
          <w:color w:val="auto"/>
        </w:rPr>
      </w:pPr>
      <w:r>
        <w:rPr>
          <w:rFonts w:ascii="Calibri" w:cs="Calibri" w:eastAsia="Calibri" w:hAnsi="Calibri"/>
          <w:sz w:val="24"/>
          <w:szCs w:val="24"/>
          <w:color w:val="auto"/>
        </w:rPr>
        <w:t>8</w:t>
      </w:r>
    </w:p>
    <w:sectPr>
      <w:pgSz w:w="11900" w:h="16838" w:orient="portrait"/>
      <w:cols w:equalWidth="0" w:num="1">
        <w:col w:w="9026"/>
      </w:cols>
      <w:pgMar w:left="1440" w:top="1440" w:right="1440" w:bottom="41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
      <w:numFmt w:val="bullet"/>
      <w:start w:val="1"/>
    </w:lvl>
    <w:lvl w:ilvl="1">
      <w:lvlJc w:val="left"/>
      <w:lvlText w:val="-"/>
      <w:numFmt w:val="bullet"/>
      <w:start w:val="1"/>
    </w:lvl>
  </w:abstractNum>
  <w:abstractNum w:abstractNumId="1">
    <w:nsid w:val="3D1B58BA"/>
    <w:multiLevelType w:val="hybridMultilevel"/>
    <w:lvl w:ilvl="0">
      <w:lvlJc w:val="left"/>
      <w:lvlText w:val="%1"/>
      <w:numFmt w:val="decimal"/>
      <w:start w:val="1"/>
    </w:lvl>
  </w:abstractNum>
  <w:abstractNum w:abstractNumId="2">
    <w:nsid w:val="507ED7AB"/>
    <w:multiLevelType w:val="hybridMultilevel"/>
    <w:lvl w:ilvl="0">
      <w:lvlJc w:val="left"/>
      <w:lvlText w:val="-"/>
      <w:numFmt w:val="bullet"/>
      <w:start w:val="1"/>
    </w:lvl>
  </w:abstractNum>
  <w:abstractNum w:abstractNumId="3">
    <w:nsid w:val="2EB141F2"/>
    <w:multiLevelType w:val="hybridMultilevel"/>
    <w:lvl w:ilvl="0">
      <w:lvlJc w:val="left"/>
      <w:lvlText w:val="•"/>
      <w:numFmt w:val="bullet"/>
      <w:start w:val="1"/>
    </w:lvl>
  </w:abstractNum>
  <w:abstractNum w:abstractNumId="4">
    <w:nsid w:val="41B71EFB"/>
    <w:multiLevelType w:val="hybridMultilevel"/>
    <w:lvl w:ilvl="0">
      <w:lvlJc w:val="left"/>
      <w:lvlText w:val="•"/>
      <w:numFmt w:val="bullet"/>
      <w:start w:val="1"/>
    </w:lvl>
  </w:abstractNum>
  <w:abstractNum w:abstractNumId="5">
    <w:nsid w:val="79E2A9E3"/>
    <w:multiLevelType w:val="hybridMultilevel"/>
    <w:lvl w:ilvl="0">
      <w:lvlJc w:val="left"/>
      <w:lvlText w:val="•"/>
      <w:numFmt w:val="bullet"/>
      <w:start w:val="1"/>
    </w:lvl>
  </w:abstractNum>
  <w:abstractNum w:abstractNumId="6">
    <w:nsid w:val="7545E146"/>
    <w:multiLevelType w:val="hybridMultilevel"/>
    <w:lvl w:ilvl="0">
      <w:lvlJc w:val="left"/>
      <w:lvlText w:val="•"/>
      <w:numFmt w:val="bullet"/>
      <w:start w:val="1"/>
    </w:lvl>
  </w:abstractNum>
  <w:abstractNum w:abstractNumId="7">
    <w:nsid w:val="515F007C"/>
    <w:multiLevelType w:val="hybridMultilevel"/>
    <w:lvl w:ilvl="0">
      <w:lvlJc w:val="left"/>
      <w:lvlText w:val="▪"/>
      <w:numFmt w:val="bullet"/>
      <w:start w:val="1"/>
    </w:lvl>
  </w:abstractNum>
  <w:abstractNum w:abstractNumId="8">
    <w:nsid w:val="5BD062C2"/>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1" Type="http://schemas.openxmlformats.org/officeDocument/2006/relationships/image" Target="media/image3.jpeg"/><Relationship Id="rId23" Type="http://schemas.openxmlformats.org/officeDocument/2006/relationships/image" Target="media/image4.png"/><Relationship Id="rId10" Type="http://schemas.openxmlformats.org/officeDocument/2006/relationships/hyperlink" Target="https://www.who.int/publications-detail/global-surveillance-for-human-infection-with-novel-coronavirus-(2019-ncov)" TargetMode="External"/><Relationship Id="rId12" Type="http://schemas.openxmlformats.org/officeDocument/2006/relationships/hyperlink" Target="https://www.who.int/health-topics/coronavirus/laboratory-diagnostics-for-novel-coronavirus" TargetMode="External"/><Relationship Id="rId13" Type="http://schemas.openxmlformats.org/officeDocument/2006/relationships/hyperlink" Target="https://www.who.int/internal-publications-detail/clinical-management-of-severe-acute-respiratory-infection-when-novel-coronavirus-(ncov)-infection-is-suspected" TargetMode="External"/><Relationship Id="rId14" Type="http://schemas.openxmlformats.org/officeDocument/2006/relationships/hyperlink" Target="https://www.who.int/publications-detail/infection-prevention-and-control-during-health-care-when-novel-coronavirus-(ncov)-infection-is-suspected" TargetMode="External"/><Relationship Id="rId15" Type="http://schemas.openxmlformats.org/officeDocument/2006/relationships/hyperlink" Target="https://www.who.int/internal-publications-detail/home-care-for-patients-with-suspected-novel-coronavirus-(nCoV)-infection-presenting-with-mild-symptoms-and-management-of-contacts" TargetMode="External"/><Relationship Id="rId16" Type="http://schemas.openxmlformats.org/officeDocument/2006/relationships/hyperlink" Target="https://www.who.int/publications-detail/risk-communication-and-community-engagement-readiness-and-initial-response-for-novel-coronaviruses-(-ncov)" TargetMode="External"/><Relationship Id="rId17" Type="http://schemas.openxmlformats.org/officeDocument/2006/relationships/hyperlink" Target="https://www.who.int/internal-publications-detail/disease-commodity-package---novel-coronavirus-(ncov)" TargetMode="External"/><Relationship Id="rId18" Type="http://schemas.openxmlformats.org/officeDocument/2006/relationships/hyperlink" Target="https://www.who.int/health-topics/coronavirus/who-recommendations-to-reduce-risk-of-transmission-of-emerging-pathogens-from-animals-to-humans-in-live-animal-markets" TargetMode="External"/><Relationship Id="rId19" Type="http://schemas.openxmlformats.org/officeDocument/2006/relationships/hyperlink" Target="https://www.who.int/ith/2020-24-01-outbreak-of-Pneumonia-caused-by-new-coronavirus/en/" TargetMode="External"/><Relationship Id="rId20" Type="http://schemas.openxmlformats.org/officeDocument/2006/relationships/hyperlink" Target="https://www.who.int/emergencies/diseases/novel-coronavirus-2019/early-investigations/" TargetMode="External"/><Relationship Id="rId21" Type="http://schemas.openxmlformats.org/officeDocument/2006/relationships/hyperlink" Target="https://openwho.org/courses/introduction-to-ncov" TargetMode="External"/><Relationship Id="rId22" Type="http://schemas.openxmlformats.org/officeDocument/2006/relationships/hyperlink" Target="https://www.who.int/emergencies/diseases/novel-coronavirus-2019/advice-for-public" TargetMode="External"/><Relationship Id="rId24" Type="http://schemas.openxmlformats.org/officeDocument/2006/relationships/hyperlink" Target="https://www.who.int/emergencies/diseases/novel-coronavirus-2019" TargetMode="External"/><Relationship Id="rId25" Type="http://schemas.openxmlformats.org/officeDocument/2006/relationships/hyperlink" Target="http://www.euro.who.int/en/health-topics/emergencies/pages/news/news/2020/01/2019-ncov-outbreak-first-cases-confirmed-in-europe" TargetMode="External"/><Relationship Id="rId26" Type="http://schemas.openxmlformats.org/officeDocument/2006/relationships/hyperlink" Target="https://www.cdc.go.kr/board/board.es?mid=a20501000000&amp;bid=0015" TargetMode="External"/><Relationship Id="rId27" Type="http://schemas.openxmlformats.org/officeDocument/2006/relationships/hyperlink" Target="http://wjw.wuhan.gov.cn/front/web/list2nd/no/710" TargetMode="External"/><Relationship Id="rId28" Type="http://schemas.openxmlformats.org/officeDocument/2006/relationships/hyperlink" Target="https://www.who.int/csr/don/en/" TargetMode="External"/><Relationship Id="rId29" Type="http://schemas.openxmlformats.org/officeDocument/2006/relationships/hyperlink" Target="https://ddc.moph.go.th/viralpneumonia/index.html" TargetMode="External"/><Relationship Id="rId30" Type="http://schemas.openxmlformats.org/officeDocument/2006/relationships/hyperlink" Target="https://www.mhlw.go.jp/stf/houdou/houdou_list_202001.html" TargetMode="External"/><Relationship Id="rId31" Type="http://schemas.openxmlformats.org/officeDocument/2006/relationships/hyperlink" Target="https://www.mhlw.go.jp/content/10900000/000582967.pdf" TargetMode="External"/><Relationship Id="rId32" Type="http://schemas.openxmlformats.org/officeDocument/2006/relationships/hyperlink" Target="https://www.cdc.gov/media/releases/2020/p0121-novel-coronavirus-travel-case.html" TargetMode="External"/><Relationship Id="rId33" Type="http://schemas.openxmlformats.org/officeDocument/2006/relationships/hyperlink" Target="https://www.info.gov.hk/gia/general/202001/23/P2020012300970.htm" TargetMode="External"/><Relationship Id="rId34" Type="http://schemas.openxmlformats.org/officeDocument/2006/relationships/hyperlink" Target="https://www.ssm.gov.mo/apps1/PreventWuhanInfection/ch.aspx#clg17048" TargetMode="External"/><Relationship Id="rId35" Type="http://schemas.openxmlformats.org/officeDocument/2006/relationships/hyperlink" Target="https://www.moh.gov.sg/news-highlights/details/confirmed-imported-case-of-novel-coronavirus-infection-in-singapore-multi-ministry-taskforce-ramps-up-precautionary-measures" TargetMode="External"/><Relationship Id="rId36" Type="http://schemas.openxmlformats.org/officeDocument/2006/relationships/hyperlink" Target="https://www.cdc.gov/media/releases/2020/p0124-second-travel-coronavirus.html" TargetMode="External"/><Relationship Id="rId37" Type="http://schemas.openxmlformats.org/officeDocument/2006/relationships/hyperlink" Target="https://www.health.nsw.gov.au/news/Pages/20200125_03.aspx"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2020-03-10T16:41:50Z</dcterms:created>
  <dcterms:modified xsi:type="dcterms:W3CDTF">2020-03-10T16:41:50Z</dcterms:modified>
</cp:coreProperties>
</file>