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3"/>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43"/>
        <w:spacing w:after="0"/>
        <w:rPr>
          <w:sz w:val="20"/>
          <w:szCs w:val="20"/>
          <w:color w:val="auto"/>
        </w:rPr>
      </w:pPr>
      <w:r>
        <w:rPr>
          <w:rFonts w:ascii="Arial" w:cs="Arial" w:eastAsia="Arial" w:hAnsi="Arial"/>
          <w:sz w:val="34"/>
          <w:szCs w:val="34"/>
          <w:b w:val="1"/>
          <w:bCs w:val="1"/>
          <w:color w:val="FFFFFF"/>
        </w:rPr>
        <w:t>Situation Report - 7</w:t>
      </w:r>
    </w:p>
    <w:p>
      <w:pPr>
        <w:spacing w:after="0" w:line="224" w:lineRule="exact"/>
        <w:rPr>
          <w:sz w:val="24"/>
          <w:szCs w:val="24"/>
          <w:color w:val="auto"/>
        </w:rPr>
      </w:pPr>
    </w:p>
    <w:p>
      <w:pPr>
        <w:ind w:left="23"/>
        <w:spacing w:after="0"/>
        <w:rPr>
          <w:sz w:val="20"/>
          <w:szCs w:val="20"/>
          <w:color w:val="auto"/>
        </w:rPr>
      </w:pPr>
      <w:r>
        <w:rPr>
          <w:rFonts w:ascii="Arial" w:cs="Arial" w:eastAsia="Arial" w:hAnsi="Arial"/>
          <w:sz w:val="16"/>
          <w:szCs w:val="16"/>
          <w:b w:val="1"/>
          <w:bCs w:val="1"/>
          <w:color w:val="FFFFFF"/>
        </w:rPr>
        <w:t>Data as reported by 27 January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4853940</wp:posOffset>
                </wp:positionH>
                <wp:positionV relativeFrom="paragraph">
                  <wp:posOffset>75565</wp:posOffset>
                </wp:positionV>
                <wp:extent cx="2273935" cy="447611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73935" cy="4476115"/>
                        </a:xfrm>
                        <a:prstGeom prst="rect">
                          <a:avLst/>
                        </a:prstGeom>
                        <a:solidFill>
                          <a:srgbClr val="E9E6D7"/>
                        </a:solidFill>
                      </wps:spPr>
                      <wps:bodyPr/>
                    </wps:wsp>
                  </a:graphicData>
                </a:graphic>
              </wp:anchor>
            </w:drawing>
          </mc:Choice>
          <mc:Fallback>
            <w:pict>
              <v:rect id="Shape 2" o:spid="_x0000_s1027" style="position:absolute;margin-left:382.2pt;margin-top:5.95pt;width:179.05pt;height:352.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-90805</wp:posOffset>
                </wp:positionH>
                <wp:positionV relativeFrom="paragraph">
                  <wp:posOffset>35560</wp:posOffset>
                </wp:positionV>
                <wp:extent cx="4947920" cy="411099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47920" cy="4110990"/>
                        </a:xfrm>
                        <a:prstGeom prst="rect">
                          <a:avLst/>
                        </a:prstGeom>
                        <a:solidFill>
                          <a:srgbClr val="FFFFFF"/>
                        </a:solidFill>
                      </wps:spPr>
                      <wps:bodyPr/>
                    </wps:wsp>
                  </a:graphicData>
                </a:graphic>
              </wp:anchor>
            </w:drawing>
          </mc:Choice>
          <mc:Fallback>
            <w:pict>
              <v:rect id="Shape 3" o:spid="_x0000_s1028" style="position:absolute;margin-left:-7.1499pt;margin-top:2.8pt;width:389.6pt;height:323.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384" w:lineRule="exact"/>
        <w:rPr>
          <w:sz w:val="24"/>
          <w:szCs w:val="24"/>
          <w:color w:val="auto"/>
        </w:rPr>
      </w:pPr>
    </w:p>
    <w:p>
      <w:pPr>
        <w:ind w:left="3"/>
        <w:spacing w:after="0"/>
        <w:rPr>
          <w:sz w:val="20"/>
          <w:szCs w:val="20"/>
          <w:color w:val="auto"/>
        </w:rPr>
      </w:pPr>
      <w:r>
        <w:rPr>
          <w:rFonts w:ascii="Arial" w:cs="Arial" w:eastAsia="Arial" w:hAnsi="Arial"/>
          <w:sz w:val="24"/>
          <w:szCs w:val="24"/>
          <w:b w:val="1"/>
          <w:bCs w:val="1"/>
          <w:color w:val="0093D5"/>
        </w:rPr>
        <w:t>HIGHLIGHTS</w:t>
      </w:r>
    </w:p>
    <w:p>
      <w:pPr>
        <w:spacing w:after="0" w:line="320" w:lineRule="exact"/>
        <w:rPr>
          <w:sz w:val="24"/>
          <w:szCs w:val="24"/>
          <w:color w:val="auto"/>
        </w:rPr>
      </w:pPr>
    </w:p>
    <w:p>
      <w:pPr>
        <w:jc w:val="both"/>
        <w:ind w:left="363" w:hanging="363"/>
        <w:spacing w:after="0" w:line="236" w:lineRule="auto"/>
        <w:tabs>
          <w:tab w:leader="none" w:pos="363"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WHO Director-General Dr Tedros Adhanom Ghebreyesus and colleagues are in Beijing to meet with government and health experts supporting the response.</w:t>
      </w:r>
    </w:p>
    <w:p>
      <w:pPr>
        <w:spacing w:after="0" w:line="91" w:lineRule="exact"/>
        <w:rPr>
          <w:rFonts w:ascii="Arial" w:cs="Arial" w:eastAsia="Arial" w:hAnsi="Arial"/>
          <w:sz w:val="18"/>
          <w:szCs w:val="18"/>
          <w:color w:val="auto"/>
        </w:rPr>
      </w:pPr>
    </w:p>
    <w:p>
      <w:pPr>
        <w:ind w:left="363"/>
        <w:spacing w:after="0" w:line="235" w:lineRule="auto"/>
        <w:rPr>
          <w:rFonts w:ascii="Arial" w:cs="Arial" w:eastAsia="Arial" w:hAnsi="Arial"/>
          <w:sz w:val="18"/>
          <w:szCs w:val="18"/>
          <w:color w:val="auto"/>
        </w:rPr>
      </w:pPr>
      <w:r>
        <w:rPr>
          <w:rFonts w:ascii="Calibri" w:cs="Calibri" w:eastAsia="Calibri" w:hAnsi="Calibri"/>
          <w:sz w:val="22"/>
          <w:szCs w:val="22"/>
          <w:color w:val="auto"/>
        </w:rPr>
        <w:t>The mission’s aim is to understand the latest developments and strengthen the partnership with China, in particular for the response.</w:t>
      </w:r>
    </w:p>
    <w:p>
      <w:pPr>
        <w:spacing w:after="0" w:line="90" w:lineRule="exact"/>
        <w:rPr>
          <w:rFonts w:ascii="Arial" w:cs="Arial" w:eastAsia="Arial" w:hAnsi="Arial"/>
          <w:sz w:val="18"/>
          <w:szCs w:val="18"/>
          <w:color w:val="auto"/>
        </w:rPr>
      </w:pPr>
    </w:p>
    <w:p>
      <w:pPr>
        <w:jc w:val="both"/>
        <w:ind w:left="363" w:hanging="363"/>
        <w:spacing w:after="0" w:line="268" w:lineRule="auto"/>
        <w:tabs>
          <w:tab w:leader="none" w:pos="363"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Current estimates of the incubation period of the virus range from 2-10 days, and these estimates will be refined as more data become available. Understanding the time when infected patients may transmit the virus to others is critical for control efforts. Detailed epidemiological information from more people infected is needed to determine the infectious period of 2019-nCoV, in particular whether transmission can occur from asymptomatic individuals or during the incubation period.</w:t>
      </w:r>
    </w:p>
    <w:p>
      <w:pPr>
        <w:spacing w:after="0" w:line="63" w:lineRule="exact"/>
        <w:rPr>
          <w:rFonts w:ascii="Arial" w:cs="Arial" w:eastAsia="Arial" w:hAnsi="Arial"/>
          <w:sz w:val="18"/>
          <w:szCs w:val="18"/>
          <w:color w:val="auto"/>
        </w:rPr>
      </w:pPr>
    </w:p>
    <w:p>
      <w:pPr>
        <w:jc w:val="both"/>
        <w:ind w:left="363"/>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requests countries to notify WHO of cases following the guidance included in: </w:t>
      </w:r>
      <w:hyperlink r:id="rId9">
        <w:r>
          <w:rPr>
            <w:rFonts w:ascii="Calibri" w:cs="Calibri" w:eastAsia="Calibri" w:hAnsi="Calibri"/>
            <w:sz w:val="22"/>
            <w:szCs w:val="22"/>
            <w:u w:val="single" w:color="auto"/>
            <w:color w:val="0000FF"/>
          </w:rPr>
          <w:t>https://www.who.int/publications-detail/global-surveillance-for-</w:t>
        </w:r>
      </w:hyperlink>
      <w:hyperlink r:id="rId9">
        <w:r>
          <w:rPr>
            <w:rFonts w:ascii="Calibri" w:cs="Calibri" w:eastAsia="Calibri" w:hAnsi="Calibri"/>
            <w:sz w:val="22"/>
            <w:szCs w:val="22"/>
            <w:u w:val="single" w:color="auto"/>
            <w:color w:val="0000FF"/>
          </w:rPr>
          <w:t>human-infection-with-novel-coronavirus-(2019-ncov)</w:t>
        </w:r>
      </w:hyperlink>
    </w:p>
    <w:p>
      <w:pPr>
        <w:spacing w:after="0" w:line="77" w:lineRule="exact"/>
        <w:rPr>
          <w:rFonts w:ascii="Calibri" w:cs="Calibri" w:eastAsia="Calibri" w:hAnsi="Calibri"/>
          <w:sz w:val="22"/>
          <w:szCs w:val="22"/>
          <w:u w:val="single" w:color="auto"/>
          <w:color w:val="0000FF"/>
        </w:rPr>
      </w:pPr>
    </w:p>
    <w:p>
      <w:pPr>
        <w:jc w:val="both"/>
        <w:ind w:left="363" w:hanging="363"/>
        <w:spacing w:after="0" w:line="253" w:lineRule="auto"/>
        <w:tabs>
          <w:tab w:leader="none" w:pos="363"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WHO is continually monitoring developments and on standby to reconvene the Emergency Committee on very short notice as needed. Committee members are regularly informed of developments.</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53"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74"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32"/>
          <w:szCs w:val="32"/>
          <w:b w:val="1"/>
          <w:bCs w:val="1"/>
          <w:color w:val="FF6600"/>
        </w:rPr>
        <w:t>Globally</w:t>
      </w:r>
    </w:p>
    <w:p>
      <w:pPr>
        <w:spacing w:after="0" w:line="1"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28"/>
          <w:szCs w:val="28"/>
          <w:b w:val="1"/>
          <w:bCs w:val="1"/>
          <w:color w:val="FF6600"/>
        </w:rPr>
        <w:t xml:space="preserve">2798 </w:t>
      </w:r>
      <w:r>
        <w:rPr>
          <w:rFonts w:ascii="Arial" w:cs="Arial" w:eastAsia="Arial" w:hAnsi="Arial"/>
          <w:sz w:val="28"/>
          <w:szCs w:val="28"/>
          <w:color w:val="FF6600"/>
        </w:rPr>
        <w:t>confirmed</w:t>
      </w:r>
    </w:p>
    <w:p>
      <w:pPr>
        <w:spacing w:after="0" w:line="367"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32"/>
          <w:szCs w:val="32"/>
          <w:b w:val="1"/>
          <w:bCs w:val="1"/>
          <w:color w:val="FF6600"/>
        </w:rPr>
        <w:t>China</w:t>
      </w:r>
    </w:p>
    <w:p>
      <w:pPr>
        <w:spacing w:after="0" w:line="1"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28"/>
          <w:szCs w:val="28"/>
          <w:b w:val="1"/>
          <w:bCs w:val="1"/>
          <w:color w:val="FF6600"/>
        </w:rPr>
        <w:t xml:space="preserve">2741 </w:t>
      </w:r>
      <w:r>
        <w:rPr>
          <w:rFonts w:ascii="Arial" w:cs="Arial" w:eastAsia="Arial" w:hAnsi="Arial"/>
          <w:sz w:val="28"/>
          <w:szCs w:val="28"/>
          <w:color w:val="FF6600"/>
        </w:rPr>
        <w:t>confirmed</w:t>
      </w:r>
    </w:p>
    <w:p>
      <w:pPr>
        <w:ind w:left="120"/>
        <w:spacing w:after="0"/>
        <w:rPr>
          <w:sz w:val="20"/>
          <w:szCs w:val="20"/>
          <w:color w:val="auto"/>
        </w:rPr>
      </w:pPr>
      <w:r>
        <w:rPr>
          <w:rFonts w:ascii="Arial" w:cs="Arial" w:eastAsia="Arial" w:hAnsi="Arial"/>
          <w:sz w:val="28"/>
          <w:szCs w:val="28"/>
          <w:b w:val="1"/>
          <w:bCs w:val="1"/>
          <w:color w:val="FF6600"/>
        </w:rPr>
        <w:t xml:space="preserve">5794 </w:t>
      </w:r>
      <w:r>
        <w:rPr>
          <w:rFonts w:ascii="Arial" w:cs="Arial" w:eastAsia="Arial" w:hAnsi="Arial"/>
          <w:sz w:val="28"/>
          <w:szCs w:val="28"/>
          <w:color w:val="FF6600"/>
        </w:rPr>
        <w:t>suspected</w:t>
      </w:r>
    </w:p>
    <w:p>
      <w:pPr>
        <w:ind w:left="820" w:hanging="547"/>
        <w:spacing w:after="0"/>
        <w:tabs>
          <w:tab w:leader="none" w:pos="820" w:val="left"/>
        </w:tabs>
        <w:numPr>
          <w:ilvl w:val="0"/>
          <w:numId w:val="2"/>
        </w:numPr>
        <w:rPr>
          <w:rFonts w:ascii="Arial" w:cs="Arial" w:eastAsia="Arial" w:hAnsi="Arial"/>
          <w:sz w:val="28"/>
          <w:szCs w:val="28"/>
          <w:b w:val="1"/>
          <w:bCs w:val="1"/>
          <w:color w:val="FF6600"/>
        </w:rPr>
      </w:pPr>
      <w:r>
        <w:rPr>
          <w:rFonts w:ascii="Arial" w:cs="Arial" w:eastAsia="Arial" w:hAnsi="Arial"/>
          <w:sz w:val="28"/>
          <w:szCs w:val="28"/>
          <w:color w:val="FF6600"/>
        </w:rPr>
        <w:t>severe</w:t>
      </w:r>
    </w:p>
    <w:p>
      <w:pPr>
        <w:ind w:left="820" w:hanging="391"/>
        <w:spacing w:after="0"/>
        <w:tabs>
          <w:tab w:leader="none" w:pos="820" w:val="left"/>
        </w:tabs>
        <w:numPr>
          <w:ilvl w:val="0"/>
          <w:numId w:val="3"/>
        </w:numPr>
        <w:rPr>
          <w:rFonts w:ascii="Arial" w:cs="Arial" w:eastAsia="Arial" w:hAnsi="Arial"/>
          <w:sz w:val="28"/>
          <w:szCs w:val="28"/>
          <w:b w:val="1"/>
          <w:bCs w:val="1"/>
          <w:color w:val="FF6600"/>
        </w:rPr>
      </w:pPr>
      <w:r>
        <w:rPr>
          <w:rFonts w:ascii="Arial" w:cs="Arial" w:eastAsia="Arial" w:hAnsi="Arial"/>
          <w:sz w:val="28"/>
          <w:szCs w:val="28"/>
          <w:color w:val="FF6600"/>
        </w:rPr>
        <w:t>deaths</w:t>
      </w:r>
    </w:p>
    <w:p>
      <w:pPr>
        <w:spacing w:after="0" w:line="292" w:lineRule="exact"/>
        <w:rPr>
          <w:rFonts w:ascii="Arial" w:cs="Arial" w:eastAsia="Arial" w:hAnsi="Arial"/>
          <w:sz w:val="18"/>
          <w:szCs w:val="18"/>
          <w:color w:val="auto"/>
        </w:rPr>
      </w:pPr>
    </w:p>
    <w:p>
      <w:pPr>
        <w:ind w:left="120"/>
        <w:spacing w:after="0"/>
        <w:rPr>
          <w:sz w:val="20"/>
          <w:szCs w:val="20"/>
          <w:color w:val="auto"/>
        </w:rPr>
      </w:pPr>
      <w:r>
        <w:rPr>
          <w:rFonts w:ascii="Arial" w:cs="Arial" w:eastAsia="Arial" w:hAnsi="Arial"/>
          <w:sz w:val="32"/>
          <w:szCs w:val="32"/>
          <w:b w:val="1"/>
          <w:bCs w:val="1"/>
          <w:color w:val="FF6600"/>
        </w:rPr>
        <w:t>Outside of China</w:t>
      </w:r>
    </w:p>
    <w:p>
      <w:pPr>
        <w:spacing w:after="0" w:line="1" w:lineRule="exact"/>
        <w:rPr>
          <w:rFonts w:ascii="Arial" w:cs="Arial" w:eastAsia="Arial" w:hAnsi="Arial"/>
          <w:sz w:val="18"/>
          <w:szCs w:val="18"/>
          <w:color w:val="auto"/>
        </w:rPr>
      </w:pPr>
    </w:p>
    <w:p>
      <w:pPr>
        <w:ind w:left="880" w:hanging="388"/>
        <w:spacing w:after="0"/>
        <w:tabs>
          <w:tab w:leader="none" w:pos="880" w:val="left"/>
        </w:tabs>
        <w:numPr>
          <w:ilvl w:val="0"/>
          <w:numId w:val="4"/>
        </w:numPr>
        <w:rPr>
          <w:rFonts w:ascii="Arial" w:cs="Arial" w:eastAsia="Arial" w:hAnsi="Arial"/>
          <w:sz w:val="28"/>
          <w:szCs w:val="28"/>
          <w:b w:val="1"/>
          <w:bCs w:val="1"/>
          <w:color w:val="FF6600"/>
        </w:rPr>
      </w:pPr>
      <w:r>
        <w:rPr>
          <w:rFonts w:ascii="Arial" w:cs="Arial" w:eastAsia="Arial" w:hAnsi="Arial"/>
          <w:sz w:val="28"/>
          <w:szCs w:val="28"/>
          <w:color w:val="FF6600"/>
        </w:rPr>
        <w:t>confirmed</w:t>
      </w:r>
    </w:p>
    <w:p>
      <w:pPr>
        <w:ind w:left="500"/>
        <w:spacing w:after="0"/>
        <w:rPr>
          <w:rFonts w:ascii="Arial" w:cs="Arial" w:eastAsia="Arial" w:hAnsi="Arial"/>
          <w:sz w:val="28"/>
          <w:szCs w:val="28"/>
          <w:b w:val="1"/>
          <w:bCs w:val="1"/>
          <w:color w:val="FF6600"/>
        </w:rPr>
      </w:pPr>
      <w:r>
        <w:rPr>
          <w:rFonts w:ascii="Arial" w:cs="Arial" w:eastAsia="Arial" w:hAnsi="Arial"/>
          <w:sz w:val="28"/>
          <w:szCs w:val="28"/>
          <w:b w:val="1"/>
          <w:bCs w:val="1"/>
          <w:color w:val="FF6600"/>
        </w:rPr>
        <w:t xml:space="preserve">11 </w:t>
      </w:r>
      <w:r>
        <w:rPr>
          <w:rFonts w:ascii="Arial" w:cs="Arial" w:eastAsia="Arial" w:hAnsi="Arial"/>
          <w:sz w:val="28"/>
          <w:szCs w:val="28"/>
          <w:color w:val="FF6600"/>
        </w:rPr>
        <w:t>countries</w:t>
      </w:r>
    </w:p>
    <w:p>
      <w:pPr>
        <w:spacing w:after="0" w:line="301" w:lineRule="exact"/>
        <w:rPr>
          <w:rFonts w:ascii="Arial" w:cs="Arial" w:eastAsia="Arial" w:hAnsi="Arial"/>
          <w:sz w:val="18"/>
          <w:szCs w:val="18"/>
          <w:color w:val="auto"/>
        </w:rPr>
      </w:pPr>
    </w:p>
    <w:p>
      <w:pPr>
        <w:ind w:left="120"/>
        <w:spacing w:after="0"/>
        <w:rPr>
          <w:sz w:val="20"/>
          <w:szCs w:val="20"/>
          <w:color w:val="auto"/>
        </w:rPr>
      </w:pPr>
      <w:r>
        <w:rPr>
          <w:rFonts w:ascii="Calibri" w:cs="Calibri" w:eastAsia="Calibri" w:hAnsi="Calibri"/>
          <w:sz w:val="27"/>
          <w:szCs w:val="27"/>
          <w:b w:val="1"/>
          <w:bCs w:val="1"/>
          <w:color w:val="0093D5"/>
        </w:rPr>
        <w:t>WHO RISK ASSESSMENT</w:t>
      </w:r>
    </w:p>
    <w:p>
      <w:pPr>
        <w:spacing w:after="0" w:line="185" w:lineRule="exact"/>
        <w:rPr>
          <w:rFonts w:ascii="Arial" w:cs="Arial" w:eastAsia="Arial" w:hAnsi="Arial"/>
          <w:sz w:val="18"/>
          <w:szCs w:val="18"/>
          <w:color w:val="auto"/>
        </w:rPr>
      </w:pPr>
    </w:p>
    <w:p>
      <w:pPr>
        <w:ind w:left="120"/>
        <w:spacing w:after="0"/>
        <w:tabs>
          <w:tab w:leader="none" w:pos="1640" w:val="left"/>
        </w:tabs>
        <w:rPr>
          <w:sz w:val="20"/>
          <w:szCs w:val="20"/>
          <w:color w:val="auto"/>
        </w:rPr>
      </w:pPr>
      <w:r>
        <w:rPr>
          <w:rFonts w:ascii="Calibri" w:cs="Calibri" w:eastAsia="Calibri" w:hAnsi="Calibri"/>
          <w:sz w:val="22"/>
          <w:szCs w:val="22"/>
          <w:b w:val="1"/>
          <w:bCs w:val="1"/>
          <w:color w:val="E36C0A"/>
        </w:rPr>
        <w:t>China</w:t>
      </w:r>
      <w:r>
        <w:rPr>
          <w:sz w:val="20"/>
          <w:szCs w:val="20"/>
          <w:color w:val="auto"/>
        </w:rPr>
        <w:tab/>
      </w:r>
      <w:r>
        <w:rPr>
          <w:rFonts w:ascii="Arial" w:cs="Arial" w:eastAsia="Arial" w:hAnsi="Arial"/>
          <w:sz w:val="22"/>
          <w:szCs w:val="22"/>
          <w:b w:val="1"/>
          <w:bCs w:val="1"/>
          <w:color w:val="E36C0A"/>
        </w:rPr>
        <w:t>Very High</w:t>
      </w:r>
    </w:p>
    <w:p>
      <w:pPr>
        <w:ind w:left="120"/>
        <w:spacing w:after="0"/>
        <w:tabs>
          <w:tab w:leader="none" w:pos="1640" w:val="left"/>
        </w:tabs>
        <w:rPr>
          <w:sz w:val="20"/>
          <w:szCs w:val="20"/>
          <w:color w:val="auto"/>
        </w:rPr>
      </w:pPr>
      <w:r>
        <w:rPr>
          <w:rFonts w:ascii="Calibri" w:cs="Calibri" w:eastAsia="Calibri" w:hAnsi="Calibri"/>
          <w:sz w:val="22"/>
          <w:szCs w:val="22"/>
          <w:b w:val="1"/>
          <w:bCs w:val="1"/>
          <w:color w:val="E36C0A"/>
        </w:rPr>
        <w:t>Regional Level</w:t>
      </w:r>
      <w:r>
        <w:rPr>
          <w:sz w:val="20"/>
          <w:szCs w:val="20"/>
          <w:color w:val="auto"/>
        </w:rPr>
        <w:tab/>
      </w:r>
      <w:r>
        <w:rPr>
          <w:rFonts w:ascii="Arial" w:cs="Arial" w:eastAsia="Arial" w:hAnsi="Arial"/>
          <w:sz w:val="21"/>
          <w:szCs w:val="21"/>
          <w:b w:val="1"/>
          <w:bCs w:val="1"/>
          <w:color w:val="E36C0A"/>
        </w:rPr>
        <w:t>High</w:t>
      </w:r>
    </w:p>
    <w:p>
      <w:pPr>
        <w:ind w:left="120"/>
        <w:spacing w:after="0"/>
        <w:tabs>
          <w:tab w:leader="none" w:pos="1640" w:val="left"/>
        </w:tabs>
        <w:rPr>
          <w:sz w:val="20"/>
          <w:szCs w:val="20"/>
          <w:color w:val="auto"/>
        </w:rPr>
      </w:pPr>
      <w:r>
        <w:rPr>
          <w:rFonts w:ascii="Calibri" w:cs="Calibri" w:eastAsia="Calibri" w:hAnsi="Calibri"/>
          <w:sz w:val="22"/>
          <w:szCs w:val="22"/>
          <w:b w:val="1"/>
          <w:bCs w:val="1"/>
          <w:color w:val="E36C0A"/>
        </w:rPr>
        <w:t>Global Level</w:t>
      </w:r>
      <w:r>
        <w:rPr>
          <w:sz w:val="20"/>
          <w:szCs w:val="20"/>
          <w:color w:val="auto"/>
        </w:rPr>
        <w:tab/>
      </w:r>
      <w:r>
        <w:rPr>
          <w:rFonts w:ascii="Arial" w:cs="Arial" w:eastAsia="Arial" w:hAnsi="Arial"/>
          <w:sz w:val="21"/>
          <w:szCs w:val="21"/>
          <w:b w:val="1"/>
          <w:bCs w:val="1"/>
          <w:color w:val="E36C0A"/>
        </w:rPr>
        <w:t>High</w:t>
      </w:r>
    </w:p>
    <w:p>
      <w:pPr>
        <w:spacing w:after="0" w:line="200" w:lineRule="exact"/>
        <w:rPr>
          <w:rFonts w:ascii="Arial" w:cs="Arial" w:eastAsia="Arial" w:hAnsi="Arial"/>
          <w:sz w:val="18"/>
          <w:szCs w:val="18"/>
          <w:color w:val="auto"/>
        </w:rPr>
      </w:pPr>
    </w:p>
    <w:p>
      <w:pPr>
        <w:sectPr>
          <w:pgSz w:w="11920" w:h="16841" w:orient="portrait"/>
          <w:cols w:equalWidth="0" w:num="2">
            <w:col w:w="7403" w:space="380"/>
            <w:col w:w="2920"/>
          </w:cols>
          <w:pgMar w:left="557" w:top="520" w:right="651" w:bottom="376" w:gutter="0" w:footer="0" w:header="0"/>
        </w:sectPr>
      </w:pPr>
    </w:p>
    <w:p>
      <w:pPr>
        <w:spacing w:after="0" w:line="200" w:lineRule="exact"/>
        <w:rPr>
          <w:rFonts w:ascii="Arial" w:cs="Arial" w:eastAsia="Arial" w:hAnsi="Arial"/>
          <w:sz w:val="18"/>
          <w:szCs w:val="18"/>
          <w:color w:val="auto"/>
        </w:rPr>
      </w:pPr>
    </w:p>
    <w:p>
      <w:pPr>
        <w:spacing w:after="0" w:line="226" w:lineRule="exact"/>
        <w:rPr>
          <w:rFonts w:ascii="Arial" w:cs="Arial" w:eastAsia="Arial" w:hAnsi="Arial"/>
          <w:sz w:val="18"/>
          <w:szCs w:val="18"/>
          <w:color w:val="auto"/>
        </w:rPr>
      </w:pPr>
    </w:p>
    <w:p>
      <w:pPr>
        <w:ind w:left="463"/>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2019-nCoV, 27 January 2020</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1276350</wp:posOffset>
            </wp:positionH>
            <wp:positionV relativeFrom="paragraph">
              <wp:posOffset>145415</wp:posOffset>
            </wp:positionV>
            <wp:extent cx="4565015" cy="32861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4565015" cy="3286125"/>
                    </a:xfrm>
                    <a:prstGeom prst="rect">
                      <a:avLst/>
                    </a:prstGeom>
                    <a:noFill/>
                  </pic:spPr>
                </pic:pic>
              </a:graphicData>
            </a:graphic>
          </wp:anchor>
        </w:drawing>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70" w:lineRule="exact"/>
        <w:rPr>
          <w:rFonts w:ascii="Arial" w:cs="Arial" w:eastAsia="Arial" w:hAnsi="Arial"/>
          <w:sz w:val="18"/>
          <w:szCs w:val="18"/>
          <w:color w:val="auto"/>
        </w:rPr>
      </w:pPr>
    </w:p>
    <w:p>
      <w:pPr>
        <w:ind w:left="43"/>
        <w:spacing w:after="0"/>
        <w:rPr>
          <w:sz w:val="20"/>
          <w:szCs w:val="20"/>
          <w:color w:val="auto"/>
        </w:rPr>
      </w:pPr>
      <w:r>
        <w:rPr>
          <w:rFonts w:ascii="Calibri" w:cs="Calibri" w:eastAsia="Calibri" w:hAnsi="Calibri"/>
          <w:sz w:val="20"/>
          <w:szCs w:val="20"/>
          <w:color w:val="auto"/>
        </w:rPr>
        <w:t>*The situation report includes information reported to WHO Geneva by 10 AM CET</w:t>
      </w:r>
    </w:p>
    <w:p>
      <w:pPr>
        <w:sectPr>
          <w:pgSz w:w="11920" w:h="16841" w:orient="portrait"/>
          <w:cols w:equalWidth="0" w:num="1">
            <w:col w:w="10703"/>
          </w:cols>
          <w:pgMar w:left="557" w:top="520" w:right="651" w:bottom="376"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w:t>
      </w:r>
    </w:p>
    <w:p>
      <w:pPr>
        <w:spacing w:after="0" w:line="34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Figure 2: Epidemic curve by date of onset of 2019-nCoV cases identified outside of China, 27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344170</wp:posOffset>
            </wp:positionV>
            <wp:extent cx="6647815" cy="39878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6647815" cy="3987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ind w:right="80"/>
        <w:spacing w:after="0" w:line="225" w:lineRule="auto"/>
        <w:rPr>
          <w:sz w:val="20"/>
          <w:szCs w:val="20"/>
          <w:color w:val="auto"/>
        </w:rPr>
      </w:pPr>
      <w:r>
        <w:rPr>
          <w:rFonts w:ascii="Calibri" w:cs="Calibri" w:eastAsia="Calibri" w:hAnsi="Calibri"/>
          <w:sz w:val="22"/>
          <w:szCs w:val="22"/>
          <w:color w:val="auto"/>
        </w:rPr>
        <w:t>Among the 37 cases identified outside of China, three were detected without the onset of symptoms, while among the remaining 34 patients, there is information on date of symptom for 28 individuals. The epidemic curve for these individuals is shown in Figure 2.</w:t>
      </w:r>
    </w:p>
    <w:p>
      <w:pPr>
        <w:spacing w:after="0" w:line="380" w:lineRule="exact"/>
        <w:rPr>
          <w:sz w:val="20"/>
          <w:szCs w:val="20"/>
          <w:color w:val="auto"/>
        </w:rPr>
      </w:pPr>
    </w:p>
    <w:p>
      <w:pPr>
        <w:spacing w:after="0" w:line="229" w:lineRule="auto"/>
        <w:rPr>
          <w:sz w:val="20"/>
          <w:szCs w:val="20"/>
          <w:color w:val="auto"/>
        </w:rPr>
      </w:pPr>
      <w:r>
        <w:rPr>
          <w:rFonts w:ascii="Calibri" w:cs="Calibri" w:eastAsia="Calibri" w:hAnsi="Calibri"/>
          <w:sz w:val="22"/>
          <w:szCs w:val="22"/>
          <w:color w:val="auto"/>
        </w:rPr>
        <w:t>The median age of cases detected outside of China is 45 years ranging from2 to 74 years, 71% of cases were male (information was missing on age for 6 cases, and on sex for 4 cases). Of the 27 cases for whom we have detailed information on date of symptom onset and travel date from China, 8 cases had symptom onset in China, 5 had onset on the same day as travel, and 14 developed symptoms after leaving China.</w:t>
      </w:r>
    </w:p>
    <w:p>
      <w:pPr>
        <w:spacing w:after="0" w:line="319" w:lineRule="exact"/>
        <w:rPr>
          <w:sz w:val="20"/>
          <w:szCs w:val="20"/>
          <w:color w:val="auto"/>
        </w:rPr>
      </w:pPr>
    </w:p>
    <w:p>
      <w:pPr>
        <w:spacing w:after="0" w:line="229" w:lineRule="auto"/>
        <w:rPr>
          <w:sz w:val="20"/>
          <w:szCs w:val="20"/>
          <w:color w:val="auto"/>
        </w:rPr>
      </w:pPr>
      <w:r>
        <w:rPr>
          <w:rFonts w:ascii="Calibri" w:cs="Calibri" w:eastAsia="Calibri" w:hAnsi="Calibri"/>
          <w:sz w:val="22"/>
          <w:szCs w:val="22"/>
          <w:color w:val="auto"/>
        </w:rPr>
        <w:t>36 cases had travel history to China, of whom 34 had travel history in Wuhan city, or had an epidemiological link to a confirmed case with travel history to Wuhan. For the remaining two, investigations into their travel histories are ongoing. One additional case was the result of human-to-human transmission among close family contacts in Viet Nam.</w:t>
      </w:r>
    </w:p>
    <w:p>
      <w:pPr>
        <w:sectPr>
          <w:pgSz w:w="11920" w:h="16841" w:orient="portrait"/>
          <w:cols w:equalWidth="0" w:num="1">
            <w:col w:w="10420"/>
          </w:cols>
          <w:pgMar w:left="720" w:top="899" w:right="77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4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Table 1. Countries, territories or areas with reported confirmed cases of 2019-nCoV, 27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2051685</wp:posOffset>
                </wp:positionH>
                <wp:positionV relativeFrom="paragraph">
                  <wp:posOffset>421640</wp:posOffset>
                </wp:positionV>
                <wp:extent cx="201358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358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3.2pt" to="320.1pt,33.2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3180080</wp:posOffset>
                </wp:positionV>
                <wp:extent cx="606552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0.4pt" to="477.6pt,250.4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4098925</wp:posOffset>
                </wp:positionV>
                <wp:extent cx="606552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2.75pt" to="477.6pt,322.7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200025</wp:posOffset>
                </wp:positionV>
                <wp:extent cx="0" cy="421132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1132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75pt" to="0.45pt,347.3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212090</wp:posOffset>
                </wp:positionV>
                <wp:extent cx="0" cy="419925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9925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16.7pt" to="162pt,347.3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4058920</wp:posOffset>
                </wp:positionH>
                <wp:positionV relativeFrom="paragraph">
                  <wp:posOffset>212090</wp:posOffset>
                </wp:positionV>
                <wp:extent cx="0" cy="419925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9925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6pt,16.7pt" to="319.6pt,347.35pt" o:allowincell="f" strokecolor="#FFFFFF" strokeweight="0.9599pt"/>
            </w:pict>
          </mc:Fallback>
        </mc:AlternateContent>
      </w:r>
    </w:p>
    <w:p>
      <w:pPr>
        <w:spacing w:after="0" w:line="295" w:lineRule="exact"/>
        <w:rPr>
          <w:sz w:val="20"/>
          <w:szCs w:val="20"/>
          <w:color w:val="auto"/>
        </w:rPr>
      </w:pPr>
    </w:p>
    <w:tbl>
      <w:tblPr>
        <w:tblLayout w:type="fixed"/>
        <w:tblInd w:w="0" w:type="dxa"/>
        <w:tblCellMar>
          <w:top w:w="0" w:type="dxa"/>
          <w:left w:w="0" w:type="dxa"/>
          <w:bottom w:w="0" w:type="dxa"/>
          <w:right w:w="0" w:type="dxa"/>
        </w:tblCellMar>
      </w:tblPr>
      <w:tr>
        <w:trPr>
          <w:trHeight w:val="283"/>
        </w:trPr>
        <w:tc>
          <w:tcPr>
            <w:tcW w:w="20" w:type="dxa"/>
            <w:vAlign w:val="bottom"/>
            <w:tcBorders>
              <w:bottom w:val="single" w:sz="8" w:color="4F81BD"/>
            </w:tcBorders>
          </w:tcPr>
          <w:p>
            <w:pPr>
              <w:spacing w:after="0"/>
              <w:rPr>
                <w:sz w:val="24"/>
                <w:szCs w:val="24"/>
                <w:color w:val="auto"/>
              </w:rPr>
            </w:pPr>
          </w:p>
        </w:tc>
        <w:tc>
          <w:tcPr>
            <w:tcW w:w="32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Borders>
              <w:bottom w:val="single" w:sz="8" w:color="4F81BD"/>
            </w:tcBorders>
          </w:tcPr>
          <w:p>
            <w:pPr>
              <w:spacing w:after="0"/>
              <w:rPr>
                <w:sz w:val="24"/>
                <w:szCs w:val="24"/>
                <w:color w:val="auto"/>
              </w:rPr>
            </w:pPr>
          </w:p>
        </w:tc>
        <w:tc>
          <w:tcPr>
            <w:tcW w:w="31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tcBorders>
              <w:top w:val="single" w:sz="8" w:color="4F81BD"/>
              <w:bottom w:val="single" w:sz="8" w:color="4F81BD"/>
            </w:tcBorders>
          </w:tcPr>
          <w:p>
            <w:pPr>
              <w:spacing w:after="0"/>
              <w:rPr>
                <w:sz w:val="24"/>
                <w:szCs w:val="24"/>
                <w:color w:val="auto"/>
              </w:rPr>
            </w:pPr>
          </w:p>
        </w:tc>
        <w:tc>
          <w:tcPr>
            <w:tcW w:w="3140" w:type="dxa"/>
            <w:vAlign w:val="bottom"/>
            <w:tcBorders>
              <w:top w:val="single" w:sz="8" w:color="4F81BD"/>
              <w:bottom w:val="single" w:sz="8" w:color="4F81BD"/>
            </w:tcBorders>
            <w:shd w:val="clear" w:color="auto" w:fill="4F81BD"/>
          </w:tcPr>
          <w:p>
            <w:pPr>
              <w:ind w:left="800"/>
              <w:spacing w:after="0"/>
              <w:rPr>
                <w:sz w:val="20"/>
                <w:szCs w:val="20"/>
                <w:color w:val="auto"/>
              </w:rPr>
            </w:pPr>
            <w:r>
              <w:rPr>
                <w:rFonts w:ascii="Calibri" w:cs="Calibri" w:eastAsia="Calibri" w:hAnsi="Calibri"/>
                <w:sz w:val="22"/>
                <w:szCs w:val="22"/>
                <w:b w:val="1"/>
                <w:bCs w:val="1"/>
                <w:color w:val="FFFFFF"/>
              </w:rPr>
              <w:t>Confirmed Cases</w:t>
            </w:r>
          </w:p>
        </w:tc>
        <w:tc>
          <w:tcPr>
            <w:tcW w:w="0" w:type="dxa"/>
            <w:vAlign w:val="bottom"/>
          </w:tcPr>
          <w:p>
            <w:pPr>
              <w:spacing w:after="0"/>
              <w:rPr>
                <w:sz w:val="1"/>
                <w:szCs w:val="1"/>
                <w:color w:val="auto"/>
              </w:rPr>
            </w:pPr>
          </w:p>
        </w:tc>
      </w:tr>
      <w:tr>
        <w:trPr>
          <w:trHeight w:val="23"/>
        </w:trPr>
        <w:tc>
          <w:tcPr>
            <w:tcW w:w="20" w:type="dxa"/>
            <w:vAlign w:val="bottom"/>
          </w:tcPr>
          <w:p>
            <w:pPr>
              <w:spacing w:after="0"/>
              <w:rPr>
                <w:sz w:val="2"/>
                <w:szCs w:val="2"/>
                <w:color w:val="auto"/>
              </w:rPr>
            </w:pPr>
          </w:p>
        </w:tc>
        <w:tc>
          <w:tcPr>
            <w:tcW w:w="3220" w:type="dxa"/>
            <w:vAlign w:val="bottom"/>
            <w:tcBorders>
              <w:bottom w:val="single" w:sz="8" w:color="4F81BD"/>
            </w:tcBorders>
            <w:shd w:val="clear" w:color="auto" w:fill="4F81BD"/>
          </w:tcPr>
          <w:p>
            <w:pPr>
              <w:spacing w:after="0"/>
              <w:rPr>
                <w:sz w:val="2"/>
                <w:szCs w:val="2"/>
                <w:color w:val="auto"/>
              </w:rPr>
            </w:pPr>
          </w:p>
        </w:tc>
        <w:tc>
          <w:tcPr>
            <w:tcW w:w="20" w:type="dxa"/>
            <w:vAlign w:val="bottom"/>
          </w:tcPr>
          <w:p>
            <w:pPr>
              <w:spacing w:after="0"/>
              <w:rPr>
                <w:sz w:val="2"/>
                <w:szCs w:val="2"/>
                <w:color w:val="auto"/>
              </w:rPr>
            </w:pPr>
          </w:p>
        </w:tc>
        <w:tc>
          <w:tcPr>
            <w:tcW w:w="3120" w:type="dxa"/>
            <w:vAlign w:val="bottom"/>
          </w:tcPr>
          <w:p>
            <w:pPr>
              <w:spacing w:after="0"/>
              <w:rPr>
                <w:sz w:val="2"/>
                <w:szCs w:val="2"/>
                <w:color w:val="auto"/>
              </w:rPr>
            </w:pPr>
          </w:p>
        </w:tc>
        <w:tc>
          <w:tcPr>
            <w:tcW w:w="20" w:type="dxa"/>
            <w:vAlign w:val="bottom"/>
          </w:tcPr>
          <w:p>
            <w:pPr>
              <w:spacing w:after="0"/>
              <w:rPr>
                <w:sz w:val="2"/>
                <w:szCs w:val="2"/>
                <w:color w:val="auto"/>
              </w:rPr>
            </w:pPr>
          </w:p>
        </w:tc>
        <w:tc>
          <w:tcPr>
            <w:tcW w:w="3140" w:type="dxa"/>
            <w:vAlign w:val="bottom"/>
            <w:tcBorders>
              <w:bottom w:val="single" w:sz="8" w:color="E9EDF4"/>
            </w:tcBorders>
          </w:tcPr>
          <w:p>
            <w:pPr>
              <w:spacing w:after="0"/>
              <w:rPr>
                <w:sz w:val="2"/>
                <w:szCs w:val="2"/>
                <w:color w:val="auto"/>
              </w:rPr>
            </w:pPr>
          </w:p>
        </w:tc>
        <w:tc>
          <w:tcPr>
            <w:tcW w:w="0" w:type="dxa"/>
            <w:vAlign w:val="bottom"/>
          </w:tcPr>
          <w:p>
            <w:pPr>
              <w:spacing w:after="0"/>
              <w:rPr>
                <w:sz w:val="1"/>
                <w:szCs w:val="1"/>
                <w:color w:val="auto"/>
              </w:rPr>
            </w:pPr>
          </w:p>
        </w:tc>
      </w:tr>
      <w:tr>
        <w:trPr>
          <w:trHeight w:val="359"/>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b w:val="1"/>
                <w:bCs w:val="1"/>
                <w:color w:val="auto"/>
              </w:rPr>
              <w:t>2761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vMerge w:val="continue"/>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3220" w:type="dxa"/>
            <w:vAlign w:val="bottom"/>
            <w:tcBorders>
              <w:bottom w:val="single" w:sz="8" w:color="4F81BD"/>
            </w:tcBorders>
            <w:shd w:val="clear" w:color="auto" w:fill="4F81BD"/>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2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40" w:type="dxa"/>
            <w:vAlign w:val="bottom"/>
            <w:tcBorders>
              <w:bottom w:val="single" w:sz="8" w:color="E9EDF4"/>
            </w:tcBorders>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Viet Nam</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Singapore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Australia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Malaysia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2" w:lineRule="exact"/>
              <w:rPr>
                <w:sz w:val="20"/>
                <w:szCs w:val="20"/>
                <w:color w:val="auto"/>
              </w:rPr>
            </w:pPr>
            <w:r>
              <w:rPr>
                <w:rFonts w:ascii="Calibri" w:cs="Calibri" w:eastAsia="Calibri" w:hAnsi="Calibri"/>
                <w:sz w:val="22"/>
                <w:szCs w:val="22"/>
                <w:b w:val="1"/>
                <w:bCs w:val="1"/>
                <w:color w:val="FFFFFF"/>
              </w:rPr>
              <w:t>South-East Asia</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4"/>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Nepal</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Region of the Americas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Canada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European Region</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France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3</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9"/>
              </w:rPr>
              <w:t>2,798</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6059170</wp:posOffset>
                </wp:positionH>
                <wp:positionV relativeFrom="paragraph">
                  <wp:posOffset>-4174490</wp:posOffset>
                </wp:positionV>
                <wp:extent cx="0" cy="418782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8782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1pt,-328.6999pt" to="477.1pt,1.0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6985</wp:posOffset>
                </wp:positionV>
                <wp:extent cx="606552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55pt" to="477.6pt,0.55pt" o:allowincell="f" strokecolor="#FFFFFF" strokeweight="0.96pt"/>
            </w:pict>
          </mc:Fallback>
        </mc:AlternateContent>
      </w:r>
    </w:p>
    <w:p>
      <w:pPr>
        <w:spacing w:after="0" w:line="9" w:lineRule="exact"/>
        <w:rPr>
          <w:sz w:val="20"/>
          <w:szCs w:val="20"/>
          <w:color w:val="auto"/>
        </w:rPr>
      </w:pPr>
    </w:p>
    <w:p>
      <w:pPr>
        <w:spacing w:after="0" w:line="233" w:lineRule="auto"/>
        <w:rPr>
          <w:sz w:val="20"/>
          <w:szCs w:val="20"/>
          <w:color w:val="auto"/>
        </w:rPr>
      </w:pPr>
      <w:r>
        <w:rPr>
          <w:rFonts w:ascii="Arial" w:cs="Arial" w:eastAsia="Arial" w:hAnsi="Arial"/>
          <w:sz w:val="18"/>
          <w:szCs w:val="18"/>
          <w:color w:val="auto"/>
        </w:rPr>
        <w:t>*Confirmed cases in China include cases confirmed in Hong Kong SAR (8 confirmed cases), Macau SAR (5 confirmed cases) and Taipei (4 confirmed cases).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6610985</wp:posOffset>
                </wp:positionH>
                <wp:positionV relativeFrom="paragraph">
                  <wp:posOffset>477520</wp:posOffset>
                </wp:positionV>
                <wp:extent cx="0" cy="338836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8360"/>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55pt,37.6pt" to="520.55pt,304.4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-72390</wp:posOffset>
                </wp:positionH>
                <wp:positionV relativeFrom="paragraph">
                  <wp:posOffset>490220</wp:posOffset>
                </wp:positionV>
                <wp:extent cx="66960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6075"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8.6pt" to="521.55pt,38.6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-59690</wp:posOffset>
                </wp:positionH>
                <wp:positionV relativeFrom="paragraph">
                  <wp:posOffset>477520</wp:posOffset>
                </wp:positionV>
                <wp:extent cx="0" cy="338836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8360"/>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99pt,37.6pt" to="-4.6999pt,304.4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-72390</wp:posOffset>
                </wp:positionH>
                <wp:positionV relativeFrom="paragraph">
                  <wp:posOffset>3853180</wp:posOffset>
                </wp:positionV>
                <wp:extent cx="66960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6075"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03.4pt" to="521.55pt,303.4pt" o:allowincell="f" strokecolor="#4F81BD" strokeweight="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840" w:right="240" w:hanging="364"/>
        <w:spacing w:after="0" w:line="225" w:lineRule="auto"/>
        <w:tabs>
          <w:tab w:leader="none" w:pos="8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Limit human to human transmission including, reducing secondary infections among close contacts and health care workers, preventing transmission amplification events, and preventing further international spread from China*;</w:t>
      </w:r>
    </w:p>
    <w:p>
      <w:pPr>
        <w:spacing w:after="0" w:line="12" w:lineRule="exact"/>
        <w:rPr>
          <w:rFonts w:ascii="Arial" w:cs="Arial" w:eastAsia="Arial" w:hAnsi="Arial"/>
          <w:sz w:val="22"/>
          <w:szCs w:val="22"/>
          <w:color w:val="auto"/>
        </w:rPr>
      </w:pPr>
    </w:p>
    <w:p>
      <w:pPr>
        <w:ind w:left="840" w:hanging="364"/>
        <w:spacing w:after="0"/>
        <w:tabs>
          <w:tab w:leader="none" w:pos="8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840" w:hanging="364"/>
        <w:spacing w:after="0"/>
        <w:tabs>
          <w:tab w:leader="none" w:pos="8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840" w:right="460" w:hanging="364"/>
        <w:spacing w:after="0" w:line="218" w:lineRule="auto"/>
        <w:tabs>
          <w:tab w:leader="none" w:pos="8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Address crucial unknowns and about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840" w:hanging="364"/>
        <w:spacing w:after="0"/>
        <w:tabs>
          <w:tab w:leader="none" w:pos="8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840" w:hanging="364"/>
        <w:spacing w:after="0"/>
        <w:tabs>
          <w:tab w:leader="none" w:pos="84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120" w:right="3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risk communication.</w:t>
      </w:r>
    </w:p>
    <w:p>
      <w:pPr>
        <w:sectPr>
          <w:pgSz w:w="11920" w:h="16841" w:orient="portrait"/>
          <w:cols w:equalWidth="0" w:num="1">
            <w:col w:w="10340"/>
          </w:cols>
          <w:pgMar w:left="720" w:top="899" w:right="851" w:bottom="1440" w:gutter="0" w:footer="0" w:header="0"/>
        </w:sectPr>
      </w:pPr>
    </w:p>
    <w:bookmarkStart w:id="3" w:name="page4"/>
    <w:bookmarkEnd w:id="3"/>
    <w:p>
      <w:pPr>
        <w:ind w:left="360"/>
        <w:spacing w:after="0"/>
        <w:rPr>
          <w:sz w:val="20"/>
          <w:szCs w:val="20"/>
          <w:color w:val="auto"/>
        </w:rPr>
      </w:pPr>
      <w:r>
        <w:rPr>
          <w:rFonts w:ascii="Arial" w:cs="Arial" w:eastAsia="Arial" w:hAnsi="Arial"/>
          <w:sz w:val="24"/>
          <w:szCs w:val="24"/>
          <w:b w:val="1"/>
          <w:bCs w:val="1"/>
          <w:color w:val="007AB0"/>
        </w:rPr>
        <w:t>PREPAREDNESS AND RESPONSE</w:t>
      </w:r>
    </w:p>
    <w:p>
      <w:pPr>
        <w:spacing w:after="0" w:line="200" w:lineRule="exact"/>
        <w:rPr>
          <w:sz w:val="20"/>
          <w:szCs w:val="20"/>
          <w:color w:val="auto"/>
        </w:rPr>
      </w:pPr>
    </w:p>
    <w:p>
      <w:pPr>
        <w:spacing w:after="0" w:line="331" w:lineRule="exact"/>
        <w:rPr>
          <w:sz w:val="20"/>
          <w:szCs w:val="20"/>
          <w:color w:val="auto"/>
        </w:rPr>
      </w:pPr>
    </w:p>
    <w:p>
      <w:pPr>
        <w:ind w:left="720" w:right="160" w:hanging="360"/>
        <w:spacing w:after="0" w:line="217"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49" w:lineRule="exact"/>
        <w:rPr>
          <w:rFonts w:ascii="Arial" w:cs="Arial" w:eastAsia="Arial" w:hAnsi="Arial"/>
          <w:sz w:val="22"/>
          <w:szCs w:val="22"/>
          <w:color w:val="auto"/>
        </w:rPr>
      </w:pPr>
    </w:p>
    <w:p>
      <w:pPr>
        <w:ind w:left="720" w:right="220" w:hanging="360"/>
        <w:spacing w:after="0" w:line="254" w:lineRule="auto"/>
        <w:tabs>
          <w:tab w:leader="none" w:pos="72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Developed interim guidance for </w:t>
      </w:r>
      <w:hyperlink r:id="rId12">
        <w:r>
          <w:rPr>
            <w:rFonts w:ascii="Calibri" w:cs="Calibri" w:eastAsia="Calibri" w:hAnsi="Calibri"/>
            <w:sz w:val="22"/>
            <w:szCs w:val="22"/>
            <w:color w:val="0000FF"/>
          </w:rPr>
          <w:t>laboratory diagnosis</w:t>
        </w:r>
        <w:r>
          <w:rPr>
            <w:rFonts w:ascii="Calibri" w:cs="Calibri" w:eastAsia="Calibri" w:hAnsi="Calibri"/>
            <w:sz w:val="22"/>
            <w:szCs w:val="22"/>
            <w:color w:val="auto"/>
          </w:rPr>
          <w:t xml:space="preserve">, </w:t>
        </w:r>
      </w:hyperlink>
      <w:hyperlink r:id="rId13">
        <w:r>
          <w:rPr>
            <w:rFonts w:ascii="Calibri" w:cs="Calibri" w:eastAsia="Calibri" w:hAnsi="Calibri"/>
            <w:sz w:val="22"/>
            <w:szCs w:val="22"/>
            <w:color w:val="0000FF"/>
          </w:rPr>
          <w:t>clinical management</w:t>
        </w:r>
      </w:hyperlink>
      <w:hyperlink r:id="rId14">
        <w:r>
          <w:rPr>
            <w:rFonts w:ascii="Calibri" w:cs="Calibri" w:eastAsia="Calibri" w:hAnsi="Calibri"/>
            <w:sz w:val="22"/>
            <w:szCs w:val="22"/>
            <w:color w:val="auto"/>
          </w:rPr>
          <w:t xml:space="preserve">, </w:t>
        </w:r>
        <w:r>
          <w:rPr>
            <w:rFonts w:ascii="Calibri" w:cs="Calibri" w:eastAsia="Calibri" w:hAnsi="Calibri"/>
            <w:sz w:val="22"/>
            <w:szCs w:val="22"/>
            <w:color w:val="0000FF"/>
          </w:rPr>
          <w:t>infection prevention and control in</w:t>
        </w:r>
      </w:hyperlink>
      <w:r>
        <w:rPr>
          <w:rFonts w:ascii="Calibri" w:cs="Calibri" w:eastAsia="Calibri" w:hAnsi="Calibri"/>
          <w:sz w:val="22"/>
          <w:szCs w:val="22"/>
          <w:color w:val="auto"/>
        </w:rPr>
        <w:t xml:space="preserve"> </w:t>
      </w:r>
      <w:hyperlink r:id="rId14">
        <w:r>
          <w:rPr>
            <w:rFonts w:ascii="Calibri" w:cs="Calibri" w:eastAsia="Calibri" w:hAnsi="Calibri"/>
            <w:sz w:val="22"/>
            <w:szCs w:val="22"/>
            <w:color w:val="0000FF"/>
          </w:rPr>
          <w:t>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5">
        <w:r>
          <w:rPr>
            <w:rFonts w:ascii="Calibri" w:cs="Calibri" w:eastAsia="Calibri" w:hAnsi="Calibri"/>
            <w:sz w:val="22"/>
            <w:szCs w:val="22"/>
            <w:u w:val="single" w:color="auto"/>
            <w:color w:val="0000FF"/>
          </w:rPr>
          <w:t xml:space="preserve">home care for patients with suspected novel coronavirus </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16">
        <w:r>
          <w:rPr>
            <w:rFonts w:ascii="Calibri" w:cs="Calibri" w:eastAsia="Calibri" w:hAnsi="Calibri"/>
            <w:sz w:val="22"/>
            <w:szCs w:val="22"/>
            <w:u w:val="single" w:color="auto"/>
            <w:color w:val="0000FF"/>
          </w:rPr>
          <w:t>risk communication and</w:t>
        </w:r>
      </w:hyperlink>
      <w:r>
        <w:rPr>
          <w:rFonts w:ascii="Calibri" w:cs="Calibri" w:eastAsia="Calibri" w:hAnsi="Calibri"/>
          <w:sz w:val="22"/>
          <w:szCs w:val="22"/>
          <w:color w:val="0000FF"/>
        </w:rPr>
        <w:t xml:space="preserve"> </w:t>
      </w:r>
      <w:hyperlink r:id="rId16">
        <w:r>
          <w:rPr>
            <w:rFonts w:ascii="Calibri" w:cs="Calibri" w:eastAsia="Calibri" w:hAnsi="Calibri"/>
            <w:sz w:val="22"/>
            <w:szCs w:val="22"/>
            <w:u w:val="single" w:color="auto"/>
            <w:color w:val="0000FF"/>
          </w:rPr>
          <w:t>community engagement</w:t>
        </w:r>
        <w:r>
          <w:rPr>
            <w:rFonts w:ascii="Calibri" w:cs="Calibri" w:eastAsia="Calibri" w:hAnsi="Calibri"/>
            <w:sz w:val="22"/>
            <w:szCs w:val="22"/>
            <w:color w:val="000000"/>
          </w:rPr>
          <w:t>.</w:t>
        </w:r>
      </w:hyperlink>
    </w:p>
    <w:p>
      <w:pPr>
        <w:spacing w:after="0" w:line="76" w:lineRule="exact"/>
        <w:rPr>
          <w:rFonts w:ascii="Calibri" w:cs="Calibri" w:eastAsia="Calibri" w:hAnsi="Calibri"/>
          <w:sz w:val="22"/>
          <w:szCs w:val="22"/>
          <w:color w:val="0000FF"/>
        </w:rPr>
      </w:pPr>
    </w:p>
    <w:p>
      <w:pPr>
        <w:ind w:left="720" w:right="420" w:hanging="360"/>
        <w:spacing w:after="0" w:line="235" w:lineRule="auto"/>
        <w:tabs>
          <w:tab w:leader="none" w:pos="72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Prepared </w:t>
      </w:r>
      <w:hyperlink r:id="rId17">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supplies necessary in identification and management of confirmed patients.</w:t>
      </w:r>
    </w:p>
    <w:p>
      <w:pPr>
        <w:spacing w:after="0" w:line="41" w:lineRule="exact"/>
        <w:rPr>
          <w:rFonts w:ascii="Calibri" w:cs="Calibri" w:eastAsia="Calibri" w:hAnsi="Calibri"/>
          <w:sz w:val="22"/>
          <w:szCs w:val="22"/>
          <w:color w:val="auto"/>
        </w:rPr>
      </w:pPr>
    </w:p>
    <w:p>
      <w:pPr>
        <w:ind w:left="720" w:hanging="360"/>
        <w:spacing w:after="0"/>
        <w:tabs>
          <w:tab w:leader="none" w:pos="72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Provided recommendations to reduce risk of </w:t>
      </w:r>
      <w:hyperlink r:id="rId18">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720" w:right="1000" w:hanging="360"/>
        <w:spacing w:after="0" w:line="218" w:lineRule="auto"/>
        <w:tabs>
          <w:tab w:leader="none" w:pos="72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19">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90" w:lineRule="exact"/>
        <w:rPr>
          <w:rFonts w:ascii="Arial" w:cs="Arial" w:eastAsia="Arial" w:hAnsi="Arial"/>
          <w:sz w:val="22"/>
          <w:szCs w:val="22"/>
          <w:color w:val="auto"/>
        </w:rPr>
      </w:pPr>
    </w:p>
    <w:p>
      <w:pPr>
        <w:ind w:left="720" w:right="1120" w:hanging="360"/>
        <w:spacing w:after="0" w:line="236" w:lineRule="auto"/>
        <w:tabs>
          <w:tab w:leader="none" w:pos="72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w:t>
      </w:r>
      <w:hyperlink r:id="rId20">
        <w:r>
          <w:rPr>
            <w:rFonts w:ascii="Calibri" w:cs="Calibri" w:eastAsia="Calibri" w:hAnsi="Calibri"/>
            <w:sz w:val="22"/>
            <w:szCs w:val="22"/>
            <w:u w:val="single" w:color="auto"/>
            <w:color w:val="0000FF"/>
          </w:rPr>
          <w:t>early investigations</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 xml:space="preserve">The first protocol that is available is a: </w:t>
      </w:r>
      <w:hyperlink r:id="rId20">
        <w:r>
          <w:rPr>
            <w:rFonts w:ascii="Calibri" w:cs="Calibri" w:eastAsia="Calibri" w:hAnsi="Calibri"/>
            <w:sz w:val="22"/>
            <w:szCs w:val="22"/>
            <w:u w:val="single" w:color="auto"/>
            <w:color w:val="0000FF"/>
          </w:rPr>
          <w:t>Household</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transmission investigation protocol for 2019-novel coronavirus (2019-nCoV) infection</w:t>
        </w:r>
        <w:r>
          <w:rPr>
            <w:rFonts w:ascii="Calibri" w:cs="Calibri" w:eastAsia="Calibri" w:hAnsi="Calibri"/>
            <w:sz w:val="22"/>
            <w:szCs w:val="22"/>
            <w:color w:val="000000"/>
          </w:rPr>
          <w:t>.</w:t>
        </w:r>
      </w:hyperlink>
    </w:p>
    <w:p>
      <w:pPr>
        <w:spacing w:after="0" w:line="88" w:lineRule="exact"/>
        <w:rPr>
          <w:rFonts w:ascii="Calibri" w:cs="Calibri" w:eastAsia="Calibri" w:hAnsi="Calibri"/>
          <w:sz w:val="22"/>
          <w:szCs w:val="22"/>
          <w:color w:val="0000FF"/>
        </w:rPr>
      </w:pPr>
    </w:p>
    <w:p>
      <w:pPr>
        <w:ind w:left="720" w:right="140" w:hanging="360"/>
        <w:spacing w:after="0" w:line="236" w:lineRule="auto"/>
        <w:tabs>
          <w:tab w:leader="none" w:pos="72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1">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1" w:lineRule="exact"/>
        <w:rPr>
          <w:rFonts w:ascii="Calibri" w:cs="Calibri" w:eastAsia="Calibri" w:hAnsi="Calibri"/>
          <w:sz w:val="22"/>
          <w:szCs w:val="22"/>
          <w:color w:val="auto"/>
        </w:rPr>
      </w:pPr>
    </w:p>
    <w:p>
      <w:pPr>
        <w:ind w:left="720" w:right="140" w:hanging="360"/>
        <w:spacing w:after="0" w:line="268" w:lineRule="auto"/>
        <w:tabs>
          <w:tab w:leader="none" w:pos="72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w:t>
      </w:r>
      <w:hyperlink r:id="rId20">
        <w:r>
          <w:rPr>
            <w:rFonts w:ascii="Calibri" w:cs="Calibri" w:eastAsia="Calibri" w:hAnsi="Calibri"/>
            <w:sz w:val="22"/>
            <w:szCs w:val="22"/>
            <w:u w:val="single" w:color="auto"/>
            <w:color w:val="0000FF"/>
          </w:rPr>
          <w:t>early investigations</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 xml:space="preserve">which are critical to carry out early in an outbreak of a new virus. The data collected from the study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 countermeasures such as case isolation, contact tracing and isolation. The first protocol that is available is a: </w:t>
      </w:r>
      <w:hyperlink r:id="rId20">
        <w:r>
          <w:rPr>
            <w:rFonts w:ascii="Calibri" w:cs="Calibri" w:eastAsia="Calibri" w:hAnsi="Calibri"/>
            <w:sz w:val="22"/>
            <w:szCs w:val="22"/>
            <w:u w:val="single" w:color="auto"/>
            <w:color w:val="0000FF"/>
          </w:rPr>
          <w:t>Household transmission investigation protocol for 2019-novel coronavirus (2019-nCoV)</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infection</w:t>
        </w:r>
        <w:r>
          <w:rPr>
            <w:rFonts w:ascii="Calibri" w:cs="Calibri" w:eastAsia="Calibri" w:hAnsi="Calibri"/>
            <w:sz w:val="22"/>
            <w:szCs w:val="22"/>
            <w:color w:val="000000"/>
          </w:rPr>
          <w:t>.</w:t>
        </w:r>
      </w:hyperlink>
    </w:p>
    <w:p>
      <w:pPr>
        <w:spacing w:after="0" w:line="61" w:lineRule="exact"/>
        <w:rPr>
          <w:rFonts w:ascii="Calibri" w:cs="Calibri" w:eastAsia="Calibri" w:hAnsi="Calibri"/>
          <w:sz w:val="22"/>
          <w:szCs w:val="22"/>
          <w:color w:val="0000FF"/>
        </w:rPr>
      </w:pPr>
    </w:p>
    <w:p>
      <w:pPr>
        <w:ind w:left="720" w:right="300" w:hanging="360"/>
        <w:spacing w:after="0" w:line="229"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50" w:lineRule="exact"/>
        <w:rPr>
          <w:rFonts w:ascii="Arial" w:cs="Arial" w:eastAsia="Arial" w:hAnsi="Arial"/>
          <w:sz w:val="22"/>
          <w:szCs w:val="22"/>
          <w:color w:val="auto"/>
        </w:rPr>
      </w:pPr>
    </w:p>
    <w:p>
      <w:pPr>
        <w:ind w:left="720" w:right="700" w:hanging="360"/>
        <w:spacing w:after="0" w:line="218" w:lineRule="auto"/>
        <w:tabs>
          <w:tab w:leader="none" w:pos="720" w:val="left"/>
        </w:tabs>
        <w:numPr>
          <w:ilvl w:val="0"/>
          <w:numId w:val="6"/>
        </w:numPr>
        <w:rPr>
          <w:rFonts w:ascii="Arial" w:cs="Arial" w:eastAsia="Arial" w:hAnsi="Arial"/>
          <w:sz w:val="18"/>
          <w:szCs w:val="18"/>
          <w:color w:val="auto"/>
        </w:rPr>
      </w:pPr>
      <w:r>
        <w:rPr>
          <w:rFonts w:ascii="Calibri" w:cs="Calibri" w:eastAsia="Calibri" w:hAnsi="Calibri"/>
          <w:sz w:val="22"/>
          <w:szCs w:val="22"/>
          <w:color w:val="auto"/>
        </w:rPr>
        <w:t>Utilizing global expert networks and partnerships for laboratory, infection prevention and control, clinical management and mathematical modelling.</w:t>
      </w:r>
    </w:p>
    <w:p>
      <w:pPr>
        <w:spacing w:after="0" w:line="200" w:lineRule="exact"/>
        <w:rPr>
          <w:rFonts w:ascii="Calibri" w:cs="Calibri" w:eastAsia="Calibri" w:hAnsi="Calibri"/>
          <w:sz w:val="22"/>
          <w:szCs w:val="22"/>
          <w:color w:val="auto"/>
        </w:rPr>
      </w:pPr>
    </w:p>
    <w:p>
      <w:pPr>
        <w:spacing w:after="0" w:line="243" w:lineRule="exact"/>
        <w:rPr>
          <w:rFonts w:ascii="Calibri" w:cs="Calibri" w:eastAsia="Calibri" w:hAnsi="Calibri"/>
          <w:sz w:val="22"/>
          <w:szCs w:val="22"/>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w:t>
      </w:r>
    </w:p>
    <w:p>
      <w:pPr>
        <w:spacing w:after="0" w:line="394" w:lineRule="exact"/>
        <w:rPr>
          <w:rFonts w:ascii="Calibri" w:cs="Calibri" w:eastAsia="Calibri" w:hAnsi="Calibri"/>
          <w:sz w:val="22"/>
          <w:szCs w:val="22"/>
          <w:color w:val="auto"/>
        </w:rPr>
      </w:pPr>
    </w:p>
    <w:p>
      <w:pPr>
        <w:ind w:left="360" w:right="500"/>
        <w:spacing w:after="0" w:line="229"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 to 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271" w:lineRule="exact"/>
        <w:rPr>
          <w:rFonts w:ascii="Calibri" w:cs="Calibri" w:eastAsia="Calibri" w:hAnsi="Calibri"/>
          <w:sz w:val="22"/>
          <w:szCs w:val="22"/>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38" w:lineRule="exact"/>
        <w:rPr>
          <w:rFonts w:ascii="Arial" w:cs="Arial" w:eastAsia="Arial" w:hAnsi="Arial"/>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0"/>
          <w:szCs w:val="20"/>
          <w:color w:val="auto"/>
        </w:rPr>
      </w:pPr>
    </w:p>
    <w:p>
      <w:pPr>
        <w:ind w:left="360" w:right="560" w:hanging="360"/>
        <w:spacing w:after="0" w:line="236" w:lineRule="auto"/>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88" w:lineRule="exact"/>
        <w:rPr>
          <w:rFonts w:ascii="Arial" w:cs="Arial" w:eastAsia="Arial" w:hAnsi="Arial"/>
          <w:sz w:val="20"/>
          <w:szCs w:val="20"/>
          <w:color w:val="auto"/>
        </w:rPr>
      </w:pPr>
    </w:p>
    <w:p>
      <w:pPr>
        <w:ind w:left="360" w:right="300" w:hanging="360"/>
        <w:spacing w:after="0" w:line="236" w:lineRule="auto"/>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ind w:left="360"/>
        <w:spacing w:after="0" w:line="225" w:lineRule="auto"/>
        <w:rPr>
          <w:rFonts w:ascii="Calibri" w:cs="Calibri" w:eastAsia="Calibri" w:hAnsi="Calibri"/>
          <w:sz w:val="22"/>
          <w:szCs w:val="22"/>
          <w:color w:val="auto"/>
        </w:rPr>
      </w:pPr>
      <w:r>
        <w:rPr>
          <w:rFonts w:ascii="Calibri" w:cs="Calibri" w:eastAsia="Calibri" w:hAnsi="Calibri"/>
          <w:sz w:val="22"/>
          <w:szCs w:val="22"/>
          <w:color w:val="auto"/>
        </w:rPr>
        <w:t xml:space="preserve">WHO does not recommend any specific health measures for travellers. In case of symptoms suggestive of respiratory illness either during or after travel, the travellers are encouraged to seek medical attention and share their travel history with their health care provider. </w:t>
      </w:r>
      <w:hyperlink r:id="rId19">
        <w:r>
          <w:rPr>
            <w:rFonts w:ascii="Calibri" w:cs="Calibri" w:eastAsia="Calibri" w:hAnsi="Calibri"/>
            <w:sz w:val="22"/>
            <w:szCs w:val="22"/>
            <w:u w:val="single" w:color="auto"/>
            <w:color w:val="0000FF"/>
          </w:rPr>
          <w:t>Travel guidance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was updated on 24 January.</w:t>
      </w:r>
    </w:p>
    <w:p>
      <w:pPr>
        <w:sectPr>
          <w:pgSz w:w="11920" w:h="16841" w:orient="portrait"/>
          <w:cols w:equalWidth="0" w:num="1">
            <w:col w:w="10820"/>
          </w:cols>
          <w:pgMar w:left="360" w:top="899" w:right="731" w:bottom="800" w:gutter="0" w:footer="0" w:header="0"/>
        </w:sectPr>
      </w:pPr>
    </w:p>
    <w:bookmarkStart w:id="4" w:name="page5"/>
    <w:bookmarkEnd w:id="4"/>
    <w:p>
      <w:pPr>
        <w:ind w:left="4"/>
        <w:spacing w:after="0"/>
        <w:rPr>
          <w:sz w:val="20"/>
          <w:szCs w:val="20"/>
          <w:color w:val="auto"/>
        </w:rPr>
      </w:pPr>
      <w:r>
        <w:rPr>
          <w:rFonts w:ascii="Calibri" w:cs="Calibri" w:eastAsia="Calibri" w:hAnsi="Calibri"/>
          <w:sz w:val="22"/>
          <w:szCs w:val="22"/>
          <w:b w:val="1"/>
          <w:bCs w:val="1"/>
          <w:color w:val="FFFFFF"/>
        </w:rPr>
        <w:drawing>
          <wp:anchor simplePos="0" relativeHeight="251657728" behindDoc="1" locked="0" layoutInCell="0" allowOverlap="1">
            <wp:simplePos x="0" y="0"/>
            <wp:positionH relativeFrom="page">
              <wp:posOffset>588010</wp:posOffset>
            </wp:positionH>
            <wp:positionV relativeFrom="page">
              <wp:posOffset>635635</wp:posOffset>
            </wp:positionV>
            <wp:extent cx="6686550" cy="72593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6686550" cy="7259320"/>
                    </a:xfrm>
                    <a:prstGeom prst="rect">
                      <a:avLst/>
                    </a:prstGeom>
                    <a:noFill/>
                  </pic:spPr>
                </pic:pic>
              </a:graphicData>
            </a:graphic>
          </wp:anchor>
        </w:drawing>
        <w:t>Resources:</w:t>
      </w:r>
    </w:p>
    <w:p>
      <w:pPr>
        <w:spacing w:after="0" w:line="61" w:lineRule="exact"/>
        <w:rPr>
          <w:sz w:val="20"/>
          <w:szCs w:val="20"/>
          <w:color w:val="auto"/>
        </w:rPr>
      </w:pPr>
    </w:p>
    <w:p>
      <w:pPr>
        <w:ind w:left="364" w:right="3300" w:hanging="364"/>
        <w:spacing w:after="0" w:line="218" w:lineRule="auto"/>
        <w:tabs>
          <w:tab w:leader="none" w:pos="364" w:val="left"/>
        </w:tabs>
        <w:numPr>
          <w:ilvl w:val="0"/>
          <w:numId w:val="8"/>
        </w:numPr>
        <w:rPr>
          <w:rFonts w:ascii="Calibri" w:cs="Calibri" w:eastAsia="Calibri" w:hAnsi="Calibri"/>
          <w:sz w:val="22"/>
          <w:szCs w:val="22"/>
          <w:color w:val="FFFFFF"/>
        </w:rPr>
      </w:pPr>
      <w:r>
        <w:rPr>
          <w:rFonts w:ascii="Calibri" w:cs="Calibri" w:eastAsia="Calibri" w:hAnsi="Calibri"/>
          <w:sz w:val="22"/>
          <w:szCs w:val="22"/>
          <w:color w:val="FFFFFF"/>
        </w:rPr>
        <w:t xml:space="preserve">Technical interim guidance for novel coronavirus, WHO: </w:t>
      </w:r>
      <w:hyperlink r:id="rId23">
        <w:r>
          <w:rPr>
            <w:rFonts w:ascii="Calibri" w:cs="Calibri" w:eastAsia="Calibri" w:hAnsi="Calibri"/>
            <w:sz w:val="22"/>
            <w:szCs w:val="22"/>
            <w:color w:val="FFFFFF"/>
          </w:rPr>
          <w:t>https://www.who.int/emergencies/diseases/novel-coronavirus-2019</w:t>
        </w:r>
      </w:hyperlink>
    </w:p>
    <w:p>
      <w:pPr>
        <w:spacing w:after="0" w:line="62" w:lineRule="exact"/>
        <w:rPr>
          <w:rFonts w:ascii="Calibri" w:cs="Calibri" w:eastAsia="Calibri" w:hAnsi="Calibri"/>
          <w:sz w:val="22"/>
          <w:szCs w:val="22"/>
          <w:color w:val="FFFFFF"/>
        </w:rPr>
      </w:pPr>
    </w:p>
    <w:p>
      <w:pPr>
        <w:ind w:left="364" w:right="180" w:hanging="364"/>
        <w:spacing w:after="0" w:line="217" w:lineRule="auto"/>
        <w:tabs>
          <w:tab w:leader="none" w:pos="364" w:val="left"/>
        </w:tabs>
        <w:numPr>
          <w:ilvl w:val="0"/>
          <w:numId w:val="8"/>
        </w:numPr>
        <w:rPr>
          <w:rFonts w:ascii="Arial" w:cs="Arial" w:eastAsia="Arial" w:hAnsi="Arial"/>
          <w:sz w:val="22"/>
          <w:szCs w:val="22"/>
          <w:color w:val="FFFFFF"/>
        </w:rPr>
      </w:pPr>
      <w:r>
        <w:rPr>
          <w:rFonts w:ascii="Calibri" w:cs="Calibri" w:eastAsia="Calibri" w:hAnsi="Calibri"/>
          <w:sz w:val="22"/>
          <w:szCs w:val="22"/>
          <w:color w:val="FFFFFF"/>
        </w:rPr>
        <w:t>WHO travel advice for international travel and trade in relation to the outbreak of the novel coronavirus 2019-nCoV</w:t>
      </w:r>
    </w:p>
    <w:p>
      <w:pPr>
        <w:spacing w:after="0" w:line="12" w:lineRule="exact"/>
        <w:rPr>
          <w:rFonts w:ascii="Arial" w:cs="Arial" w:eastAsia="Arial" w:hAnsi="Arial"/>
          <w:sz w:val="22"/>
          <w:szCs w:val="22"/>
          <w:color w:val="FFFFFF"/>
        </w:rPr>
      </w:pPr>
    </w:p>
    <w:p>
      <w:pPr>
        <w:ind w:left="364" w:hanging="364"/>
        <w:spacing w:after="0"/>
        <w:tabs>
          <w:tab w:leader="none" w:pos="364" w:val="left"/>
        </w:tabs>
        <w:numPr>
          <w:ilvl w:val="0"/>
          <w:numId w:val="8"/>
        </w:numPr>
        <w:rPr>
          <w:rFonts w:ascii="Calibri" w:cs="Calibri" w:eastAsia="Calibri" w:hAnsi="Calibri"/>
          <w:sz w:val="22"/>
          <w:szCs w:val="22"/>
          <w:color w:val="FFFFFF"/>
        </w:rPr>
      </w:pPr>
      <w:hyperlink r:id="rId19">
        <w:r>
          <w:rPr>
            <w:rFonts w:ascii="Calibri" w:cs="Calibri" w:eastAsia="Calibri" w:hAnsi="Calibri"/>
            <w:sz w:val="22"/>
            <w:szCs w:val="22"/>
            <w:color w:val="FFFFFF"/>
          </w:rPr>
          <w:t>https://www.who.int/ith/2020-24-01-outbreak-of-Pneumonia-caused-by-new-coronavirus/en/</w:t>
        </w:r>
      </w:hyperlink>
    </w:p>
    <w:p>
      <w:pPr>
        <w:spacing w:after="0" w:line="194" w:lineRule="exact"/>
        <w:rPr>
          <w:rFonts w:ascii="Calibri" w:cs="Calibri" w:eastAsia="Calibri" w:hAnsi="Calibri"/>
          <w:sz w:val="22"/>
          <w:szCs w:val="22"/>
          <w:color w:val="FFFFFF"/>
        </w:rPr>
      </w:pPr>
    </w:p>
    <w:p>
      <w:pPr>
        <w:ind w:left="364" w:hanging="364"/>
        <w:spacing w:after="0"/>
        <w:tabs>
          <w:tab w:leader="none" w:pos="364" w:val="left"/>
        </w:tabs>
        <w:numPr>
          <w:ilvl w:val="0"/>
          <w:numId w:val="8"/>
        </w:numPr>
        <w:rPr>
          <w:rFonts w:ascii="Arial" w:cs="Arial" w:eastAsia="Arial" w:hAnsi="Arial"/>
          <w:sz w:val="22"/>
          <w:szCs w:val="22"/>
          <w:color w:val="FFFFFF"/>
        </w:rPr>
      </w:pPr>
      <w:r>
        <w:rPr>
          <w:rFonts w:ascii="Calibri" w:cs="Calibri" w:eastAsia="Calibri" w:hAnsi="Calibri"/>
          <w:sz w:val="22"/>
          <w:szCs w:val="22"/>
          <w:color w:val="FFFFFF"/>
        </w:rPr>
        <w:t>Readiness is the key to detect, combat spread of the new coronavirus:</w:t>
      </w:r>
    </w:p>
    <w:p>
      <w:pPr>
        <w:spacing w:after="0" w:line="229" w:lineRule="exact"/>
        <w:rPr>
          <w:rFonts w:ascii="Arial" w:cs="Arial" w:eastAsia="Arial" w:hAnsi="Arial"/>
          <w:sz w:val="22"/>
          <w:szCs w:val="22"/>
          <w:color w:val="FFFFFF"/>
        </w:rPr>
      </w:pPr>
    </w:p>
    <w:p>
      <w:pPr>
        <w:ind w:left="364" w:right="420"/>
        <w:spacing w:after="0" w:line="227" w:lineRule="auto"/>
        <w:rPr>
          <w:rFonts w:ascii="Calibri" w:cs="Calibri" w:eastAsia="Calibri" w:hAnsi="Calibri"/>
          <w:sz w:val="22"/>
          <w:szCs w:val="22"/>
          <w:color w:val="FFFFFF"/>
        </w:rPr>
      </w:pPr>
      <w:hyperlink r:id="rId24">
        <w:r>
          <w:rPr>
            <w:rFonts w:ascii="Calibri" w:cs="Calibri" w:eastAsia="Calibri" w:hAnsi="Calibri"/>
            <w:sz w:val="22"/>
            <w:szCs w:val="22"/>
            <w:color w:val="FFFFFF"/>
          </w:rPr>
          <w:t>https://www.who.int/southeastasia/news/detail/27-01-2020-readiness-is-the-key-to-detect-combat-</w:t>
        </w:r>
      </w:hyperlink>
      <w:hyperlink r:id="rId24">
        <w:r>
          <w:rPr>
            <w:rFonts w:ascii="Calibri" w:cs="Calibri" w:eastAsia="Calibri" w:hAnsi="Calibri"/>
            <w:sz w:val="22"/>
            <w:szCs w:val="22"/>
            <w:color w:val="FFFFFF"/>
          </w:rPr>
          <w:t>spread-of-the-new-coronavirus</w:t>
        </w:r>
      </w:hyperlink>
    </w:p>
    <w:p>
      <w:pPr>
        <w:spacing w:after="0" w:line="243" w:lineRule="exact"/>
        <w:rPr>
          <w:rFonts w:ascii="Calibri" w:cs="Calibri" w:eastAsia="Calibri" w:hAnsi="Calibri"/>
          <w:sz w:val="22"/>
          <w:szCs w:val="22"/>
          <w:color w:val="FFFFFF"/>
        </w:rPr>
      </w:pPr>
    </w:p>
    <w:p>
      <w:pPr>
        <w:ind w:left="364" w:hanging="364"/>
        <w:spacing w:after="0" w:line="225" w:lineRule="auto"/>
        <w:tabs>
          <w:tab w:leader="none" w:pos="364" w:val="left"/>
        </w:tabs>
        <w:numPr>
          <w:ilvl w:val="0"/>
          <w:numId w:val="8"/>
        </w:numPr>
        <w:rPr>
          <w:rFonts w:ascii="Calibri" w:cs="Calibri" w:eastAsia="Calibri" w:hAnsi="Calibri"/>
          <w:sz w:val="22"/>
          <w:szCs w:val="22"/>
          <w:color w:val="FFFFFF"/>
        </w:rPr>
      </w:pPr>
      <w:r>
        <w:rPr>
          <w:rFonts w:ascii="Calibri" w:cs="Calibri" w:eastAsia="Calibri" w:hAnsi="Calibri"/>
          <w:sz w:val="22"/>
          <w:szCs w:val="22"/>
          <w:color w:val="FFFFFF"/>
        </w:rPr>
        <w:t xml:space="preserve">WHO’s Eastern Mediterranean Region scales up preparedness for novel coronavirus </w:t>
      </w:r>
      <w:hyperlink r:id="rId25">
        <w:r>
          <w:rPr>
            <w:rFonts w:ascii="Calibri" w:cs="Calibri" w:eastAsia="Calibri" w:hAnsi="Calibri"/>
            <w:sz w:val="22"/>
            <w:szCs w:val="22"/>
            <w:color w:val="FFFFFF"/>
          </w:rPr>
          <w:t>http://www.emro.who.int/media/news/whos-eastern-mediterranean-region-scales-up-preparedness-for-</w:t>
        </w:r>
      </w:hyperlink>
      <w:hyperlink r:id="rId25">
        <w:r>
          <w:rPr>
            <w:rFonts w:ascii="Calibri" w:cs="Calibri" w:eastAsia="Calibri" w:hAnsi="Calibri"/>
            <w:sz w:val="22"/>
            <w:szCs w:val="22"/>
            <w:color w:val="FFFFFF"/>
          </w:rPr>
          <w:t>novel-coronavirus.html</w:t>
        </w:r>
      </w:hyperlink>
    </w:p>
    <w:p>
      <w:pPr>
        <w:spacing w:after="0" w:line="63" w:lineRule="exact"/>
        <w:rPr>
          <w:rFonts w:ascii="Calibri" w:cs="Calibri" w:eastAsia="Calibri" w:hAnsi="Calibri"/>
          <w:sz w:val="22"/>
          <w:szCs w:val="22"/>
          <w:color w:val="FFFFFF"/>
        </w:rPr>
      </w:pPr>
    </w:p>
    <w:p>
      <w:pPr>
        <w:ind w:left="364" w:right="3100" w:hanging="364"/>
        <w:spacing w:after="0" w:line="227" w:lineRule="auto"/>
        <w:tabs>
          <w:tab w:leader="none" w:pos="364" w:val="left"/>
        </w:tabs>
        <w:numPr>
          <w:ilvl w:val="0"/>
          <w:numId w:val="8"/>
        </w:numPr>
        <w:rPr>
          <w:rFonts w:ascii="Calibri" w:cs="Calibri" w:eastAsia="Calibri" w:hAnsi="Calibri"/>
          <w:sz w:val="21"/>
          <w:szCs w:val="21"/>
          <w:color w:val="FFFFFF"/>
        </w:rPr>
      </w:pPr>
      <w:r>
        <w:rPr>
          <w:rFonts w:ascii="Calibri" w:cs="Calibri" w:eastAsia="Calibri" w:hAnsi="Calibri"/>
          <w:sz w:val="21"/>
          <w:szCs w:val="21"/>
          <w:color w:val="FFFFFF"/>
        </w:rPr>
        <w:t xml:space="preserve">Press statements by KCDC (in Korean): </w:t>
      </w:r>
      <w:hyperlink r:id="rId26">
        <w:r>
          <w:rPr>
            <w:rFonts w:ascii="Calibri" w:cs="Calibri" w:eastAsia="Calibri" w:hAnsi="Calibri"/>
            <w:sz w:val="21"/>
            <w:szCs w:val="21"/>
            <w:color w:val="FFFFFF"/>
          </w:rPr>
          <w:t>https://www.cdc.go.kr/board/board.es?mid=a20501000000&amp;bid=0015</w:t>
        </w:r>
      </w:hyperlink>
    </w:p>
    <w:p>
      <w:pPr>
        <w:spacing w:after="0" w:line="62" w:lineRule="exact"/>
        <w:rPr>
          <w:rFonts w:ascii="Calibri" w:cs="Calibri" w:eastAsia="Calibri" w:hAnsi="Calibri"/>
          <w:sz w:val="21"/>
          <w:szCs w:val="21"/>
          <w:color w:val="FFFFFF"/>
        </w:rPr>
      </w:pPr>
    </w:p>
    <w:p>
      <w:pPr>
        <w:ind w:left="364" w:right="620" w:hanging="364"/>
        <w:spacing w:after="0" w:line="218" w:lineRule="auto"/>
        <w:tabs>
          <w:tab w:leader="none" w:pos="364" w:val="left"/>
        </w:tabs>
        <w:numPr>
          <w:ilvl w:val="0"/>
          <w:numId w:val="8"/>
        </w:numPr>
        <w:rPr>
          <w:rFonts w:ascii="Arial" w:cs="Arial" w:eastAsia="Arial" w:hAnsi="Arial"/>
          <w:sz w:val="22"/>
          <w:szCs w:val="22"/>
          <w:color w:val="FFFFFF"/>
        </w:rPr>
      </w:pPr>
      <w:r>
        <w:rPr>
          <w:rFonts w:ascii="Calibri" w:cs="Calibri" w:eastAsia="Calibri" w:hAnsi="Calibri"/>
          <w:sz w:val="22"/>
          <w:szCs w:val="22"/>
          <w:color w:val="FFFFFF"/>
        </w:rPr>
        <w:t>Wuhan Municipal Health Commission's briefing on the pneumonia epidemic situation, (in Chinese): http://wjw.wuhan.gov.cn/front/web/list2nd/no/710</w:t>
      </w:r>
    </w:p>
    <w:p>
      <w:pPr>
        <w:spacing w:after="0" w:line="61" w:lineRule="exact"/>
        <w:rPr>
          <w:rFonts w:ascii="Arial" w:cs="Arial" w:eastAsia="Arial" w:hAnsi="Arial"/>
          <w:sz w:val="22"/>
          <w:szCs w:val="22"/>
          <w:color w:val="FFFFFF"/>
        </w:rPr>
      </w:pPr>
    </w:p>
    <w:p>
      <w:pPr>
        <w:ind w:left="364" w:right="5620" w:hanging="364"/>
        <w:spacing w:after="0" w:line="228" w:lineRule="auto"/>
        <w:tabs>
          <w:tab w:leader="none" w:pos="364" w:val="left"/>
        </w:tabs>
        <w:numPr>
          <w:ilvl w:val="0"/>
          <w:numId w:val="8"/>
        </w:numPr>
        <w:rPr>
          <w:rFonts w:ascii="Calibri" w:cs="Calibri" w:eastAsia="Calibri" w:hAnsi="Calibri"/>
          <w:sz w:val="21"/>
          <w:szCs w:val="21"/>
          <w:color w:val="FFFFFF"/>
        </w:rPr>
      </w:pPr>
      <w:r>
        <w:rPr>
          <w:rFonts w:ascii="Calibri" w:cs="Calibri" w:eastAsia="Calibri" w:hAnsi="Calibri"/>
          <w:sz w:val="21"/>
          <w:szCs w:val="21"/>
          <w:color w:val="FFFFFF"/>
        </w:rPr>
        <w:t xml:space="preserve">Disease outbreak news, Novel Coronavirus: </w:t>
      </w:r>
      <w:hyperlink r:id="rId27">
        <w:r>
          <w:rPr>
            <w:rFonts w:ascii="Calibri" w:cs="Calibri" w:eastAsia="Calibri" w:hAnsi="Calibri"/>
            <w:sz w:val="21"/>
            <w:szCs w:val="21"/>
            <w:color w:val="FFFFFF"/>
          </w:rPr>
          <w:t>https://www.who.int/csr/don/en/</w:t>
        </w:r>
      </w:hyperlink>
    </w:p>
    <w:p>
      <w:pPr>
        <w:spacing w:after="0" w:line="62" w:lineRule="exact"/>
        <w:rPr>
          <w:rFonts w:ascii="Calibri" w:cs="Calibri" w:eastAsia="Calibri" w:hAnsi="Calibri"/>
          <w:sz w:val="21"/>
          <w:szCs w:val="21"/>
          <w:color w:val="FFFFFF"/>
        </w:rPr>
      </w:pPr>
    </w:p>
    <w:p>
      <w:pPr>
        <w:ind w:left="364" w:right="2180" w:hanging="364"/>
        <w:spacing w:after="0" w:line="217" w:lineRule="auto"/>
        <w:tabs>
          <w:tab w:leader="none" w:pos="364" w:val="left"/>
        </w:tabs>
        <w:numPr>
          <w:ilvl w:val="0"/>
          <w:numId w:val="8"/>
        </w:numPr>
        <w:rPr>
          <w:rFonts w:ascii="Calibri" w:cs="Calibri" w:eastAsia="Calibri" w:hAnsi="Calibri"/>
          <w:sz w:val="22"/>
          <w:szCs w:val="22"/>
          <w:color w:val="FFFFFF"/>
        </w:rPr>
      </w:pPr>
      <w:r>
        <w:rPr>
          <w:rFonts w:ascii="Calibri" w:cs="Calibri" w:eastAsia="Calibri" w:hAnsi="Calibri"/>
          <w:sz w:val="22"/>
          <w:szCs w:val="22"/>
          <w:color w:val="FFFFFF"/>
        </w:rPr>
        <w:t xml:space="preserve">Thailand Ministry of Public Health situation update on novel coronavirus (in Thai): </w:t>
      </w:r>
      <w:hyperlink r:id="rId28">
        <w:r>
          <w:rPr>
            <w:rFonts w:ascii="Calibri" w:cs="Calibri" w:eastAsia="Calibri" w:hAnsi="Calibri"/>
            <w:sz w:val="22"/>
            <w:szCs w:val="22"/>
            <w:color w:val="FFFFFF"/>
          </w:rPr>
          <w:t>https://ddc.moph.go.th/viralpneumonia/index.html</w:t>
        </w:r>
      </w:hyperlink>
    </w:p>
    <w:p>
      <w:pPr>
        <w:spacing w:after="0" w:line="61" w:lineRule="exact"/>
        <w:rPr>
          <w:rFonts w:ascii="Calibri" w:cs="Calibri" w:eastAsia="Calibri" w:hAnsi="Calibri"/>
          <w:sz w:val="22"/>
          <w:szCs w:val="22"/>
          <w:color w:val="FFFFFF"/>
        </w:rPr>
      </w:pPr>
    </w:p>
    <w:p>
      <w:pPr>
        <w:ind w:left="364" w:right="2340" w:hanging="364"/>
        <w:spacing w:after="0" w:line="218" w:lineRule="auto"/>
        <w:tabs>
          <w:tab w:leader="none" w:pos="364" w:val="left"/>
        </w:tabs>
        <w:numPr>
          <w:ilvl w:val="0"/>
          <w:numId w:val="8"/>
        </w:numPr>
        <w:rPr>
          <w:rFonts w:ascii="Calibri" w:cs="Calibri" w:eastAsia="Calibri" w:hAnsi="Calibri"/>
          <w:sz w:val="22"/>
          <w:szCs w:val="22"/>
          <w:color w:val="FFFFFF"/>
        </w:rPr>
      </w:pPr>
      <w:r>
        <w:rPr>
          <w:rFonts w:ascii="Calibri" w:cs="Calibri" w:eastAsia="Calibri" w:hAnsi="Calibri"/>
          <w:sz w:val="22"/>
          <w:szCs w:val="22"/>
          <w:color w:val="FFFFFF"/>
        </w:rPr>
        <w:t xml:space="preserve">Press statement by Ministry of Health, Labour and Welfare, Japan (in Japanese): </w:t>
      </w:r>
      <w:hyperlink r:id="rId29">
        <w:r>
          <w:rPr>
            <w:rFonts w:ascii="Calibri" w:cs="Calibri" w:eastAsia="Calibri" w:hAnsi="Calibri"/>
            <w:sz w:val="22"/>
            <w:szCs w:val="22"/>
            <w:color w:val="FFFFFF"/>
          </w:rPr>
          <w:t>https://www.mhlw.go.jp/stf/houdou/houdou_list_202001.html</w:t>
        </w:r>
      </w:hyperlink>
    </w:p>
    <w:p>
      <w:pPr>
        <w:spacing w:after="0" w:line="61" w:lineRule="exact"/>
        <w:rPr>
          <w:rFonts w:ascii="Calibri" w:cs="Calibri" w:eastAsia="Calibri" w:hAnsi="Calibri"/>
          <w:sz w:val="22"/>
          <w:szCs w:val="22"/>
          <w:color w:val="FFFFFF"/>
        </w:rPr>
      </w:pPr>
    </w:p>
    <w:p>
      <w:pPr>
        <w:ind w:left="364" w:right="1160" w:hanging="364"/>
        <w:spacing w:after="0" w:line="225" w:lineRule="auto"/>
        <w:tabs>
          <w:tab w:leader="none" w:pos="364" w:val="left"/>
        </w:tabs>
        <w:numPr>
          <w:ilvl w:val="0"/>
          <w:numId w:val="8"/>
        </w:numPr>
        <w:rPr>
          <w:rFonts w:ascii="Calibri" w:cs="Calibri" w:eastAsia="Calibri" w:hAnsi="Calibri"/>
          <w:sz w:val="22"/>
          <w:szCs w:val="22"/>
          <w:color w:val="FFFFFF"/>
        </w:rPr>
      </w:pPr>
      <w:r>
        <w:rPr>
          <w:rFonts w:ascii="Calibri" w:cs="Calibri" w:eastAsia="Calibri" w:hAnsi="Calibri"/>
          <w:sz w:val="22"/>
          <w:szCs w:val="22"/>
          <w:color w:val="FFFFFF"/>
        </w:rPr>
        <w:t xml:space="preserve">Notice sent out from Health and Food Safety Planning Division, Quarantine Station Operation Management Office (in Japanese): </w:t>
      </w:r>
      <w:hyperlink r:id="rId30">
        <w:r>
          <w:rPr>
            <w:rFonts w:ascii="Calibri" w:cs="Calibri" w:eastAsia="Calibri" w:hAnsi="Calibri"/>
            <w:sz w:val="22"/>
            <w:szCs w:val="22"/>
            <w:color w:val="FFFFFF"/>
          </w:rPr>
          <w:t>https://www.mhlw.go.jp/content/10900000/000582967.pdf</w:t>
        </w:r>
      </w:hyperlink>
    </w:p>
    <w:p>
      <w:pPr>
        <w:spacing w:after="0" w:line="61" w:lineRule="exact"/>
        <w:rPr>
          <w:rFonts w:ascii="Calibri" w:cs="Calibri" w:eastAsia="Calibri" w:hAnsi="Calibri"/>
          <w:sz w:val="22"/>
          <w:szCs w:val="22"/>
          <w:color w:val="FFFFFF"/>
        </w:rPr>
      </w:pPr>
    </w:p>
    <w:p>
      <w:pPr>
        <w:ind w:left="364" w:right="3300" w:hanging="364"/>
        <w:spacing w:after="0" w:line="218" w:lineRule="auto"/>
        <w:tabs>
          <w:tab w:leader="none" w:pos="364" w:val="left"/>
        </w:tabs>
        <w:numPr>
          <w:ilvl w:val="0"/>
          <w:numId w:val="8"/>
        </w:numPr>
        <w:rPr>
          <w:rFonts w:ascii="Calibri" w:cs="Calibri" w:eastAsia="Calibri" w:hAnsi="Calibri"/>
          <w:sz w:val="22"/>
          <w:szCs w:val="22"/>
          <w:color w:val="FFFFFF"/>
        </w:rPr>
      </w:pPr>
      <w:r>
        <w:rPr>
          <w:rFonts w:ascii="Calibri" w:cs="Calibri" w:eastAsia="Calibri" w:hAnsi="Calibri"/>
          <w:sz w:val="22"/>
          <w:szCs w:val="22"/>
          <w:color w:val="FFFFFF"/>
        </w:rPr>
        <w:t xml:space="preserve">Situation report by WHO on Novel Coronavirus (2019-nCoV) </w:t>
      </w:r>
      <w:hyperlink r:id="rId23">
        <w:r>
          <w:rPr>
            <w:rFonts w:ascii="Calibri" w:cs="Calibri" w:eastAsia="Calibri" w:hAnsi="Calibri"/>
            <w:sz w:val="22"/>
            <w:szCs w:val="22"/>
            <w:color w:val="FFFFFF"/>
          </w:rPr>
          <w:t>https://www.who.int/emergencies/diseases/novel-coronavirus-2019</w:t>
        </w:r>
      </w:hyperlink>
    </w:p>
    <w:p>
      <w:pPr>
        <w:spacing w:after="0" w:line="61" w:lineRule="exact"/>
        <w:rPr>
          <w:rFonts w:ascii="Calibri" w:cs="Calibri" w:eastAsia="Calibri" w:hAnsi="Calibri"/>
          <w:sz w:val="22"/>
          <w:szCs w:val="22"/>
          <w:color w:val="FFFFFF"/>
        </w:rPr>
      </w:pPr>
    </w:p>
    <w:p>
      <w:pPr>
        <w:ind w:left="364" w:right="860" w:hanging="364"/>
        <w:spacing w:after="0" w:line="218" w:lineRule="auto"/>
        <w:tabs>
          <w:tab w:leader="none" w:pos="364" w:val="left"/>
        </w:tabs>
        <w:numPr>
          <w:ilvl w:val="0"/>
          <w:numId w:val="8"/>
        </w:numPr>
        <w:rPr>
          <w:rFonts w:ascii="Calibri" w:cs="Calibri" w:eastAsia="Calibri" w:hAnsi="Calibri"/>
          <w:sz w:val="22"/>
          <w:szCs w:val="22"/>
          <w:color w:val="FFFFFF"/>
        </w:rPr>
      </w:pPr>
      <w:r>
        <w:rPr>
          <w:rFonts w:ascii="Calibri" w:cs="Calibri" w:eastAsia="Calibri" w:hAnsi="Calibri"/>
          <w:sz w:val="22"/>
          <w:szCs w:val="22"/>
          <w:color w:val="FFFFFF"/>
        </w:rPr>
        <w:t xml:space="preserve">CDC press release. First Travel-related Case of 2019 Novel Coronavirus Detected in United States </w:t>
      </w:r>
      <w:hyperlink r:id="rId31">
        <w:r>
          <w:rPr>
            <w:rFonts w:ascii="Calibri" w:cs="Calibri" w:eastAsia="Calibri" w:hAnsi="Calibri"/>
            <w:sz w:val="22"/>
            <w:szCs w:val="22"/>
            <w:color w:val="FFFFFF"/>
          </w:rPr>
          <w:t>https://www.cdc.gov/media/releases/2020/p0121-novel-coronavirus-travel-case.html</w:t>
        </w:r>
      </w:hyperlink>
    </w:p>
    <w:p>
      <w:pPr>
        <w:spacing w:after="0" w:line="61" w:lineRule="exact"/>
        <w:rPr>
          <w:rFonts w:ascii="Calibri" w:cs="Calibri" w:eastAsia="Calibri" w:hAnsi="Calibri"/>
          <w:sz w:val="22"/>
          <w:szCs w:val="22"/>
          <w:color w:val="FFFFFF"/>
        </w:rPr>
      </w:pPr>
    </w:p>
    <w:p>
      <w:pPr>
        <w:ind w:left="364" w:right="3040" w:hanging="364"/>
        <w:spacing w:after="0" w:line="228" w:lineRule="auto"/>
        <w:tabs>
          <w:tab w:leader="none" w:pos="364" w:val="left"/>
        </w:tabs>
        <w:numPr>
          <w:ilvl w:val="0"/>
          <w:numId w:val="8"/>
        </w:numPr>
        <w:rPr>
          <w:rFonts w:ascii="Calibri" w:cs="Calibri" w:eastAsia="Calibri" w:hAnsi="Calibri"/>
          <w:sz w:val="21"/>
          <w:szCs w:val="21"/>
          <w:color w:val="FFFFFF"/>
        </w:rPr>
      </w:pPr>
      <w:r>
        <w:rPr>
          <w:rFonts w:ascii="Calibri" w:cs="Calibri" w:eastAsia="Calibri" w:hAnsi="Calibri"/>
          <w:sz w:val="21"/>
          <w:szCs w:val="21"/>
          <w:color w:val="FFFFFF"/>
        </w:rPr>
        <w:t xml:space="preserve">Hong Kong SAR Department of Health, Press Release </w:t>
      </w:r>
      <w:hyperlink r:id="rId32">
        <w:r>
          <w:rPr>
            <w:rFonts w:ascii="Calibri" w:cs="Calibri" w:eastAsia="Calibri" w:hAnsi="Calibri"/>
            <w:sz w:val="21"/>
            <w:szCs w:val="21"/>
            <w:color w:val="FFFFFF"/>
          </w:rPr>
          <w:t>https://www.info.gov.hk/gia/general/202001/23/P2020012300970.htm</w:t>
        </w:r>
      </w:hyperlink>
    </w:p>
    <w:p>
      <w:pPr>
        <w:spacing w:after="0" w:line="62" w:lineRule="exact"/>
        <w:rPr>
          <w:rFonts w:ascii="Calibri" w:cs="Calibri" w:eastAsia="Calibri" w:hAnsi="Calibri"/>
          <w:sz w:val="21"/>
          <w:szCs w:val="21"/>
          <w:color w:val="FFFFFF"/>
        </w:rPr>
      </w:pPr>
    </w:p>
    <w:p>
      <w:pPr>
        <w:ind w:left="364" w:right="2680" w:hanging="364"/>
        <w:spacing w:after="0" w:line="227" w:lineRule="auto"/>
        <w:tabs>
          <w:tab w:leader="none" w:pos="364" w:val="left"/>
        </w:tabs>
        <w:numPr>
          <w:ilvl w:val="0"/>
          <w:numId w:val="8"/>
        </w:numPr>
        <w:rPr>
          <w:rFonts w:ascii="Calibri" w:cs="Calibri" w:eastAsia="Calibri" w:hAnsi="Calibri"/>
          <w:sz w:val="21"/>
          <w:szCs w:val="21"/>
          <w:color w:val="FFFFFF"/>
        </w:rPr>
      </w:pPr>
      <w:r>
        <w:rPr>
          <w:rFonts w:ascii="Calibri" w:cs="Calibri" w:eastAsia="Calibri" w:hAnsi="Calibri"/>
          <w:sz w:val="21"/>
          <w:szCs w:val="21"/>
          <w:color w:val="FFFFFF"/>
        </w:rPr>
        <w:t xml:space="preserve">Epidemic Prevention Measures, Macau SAR Health Bureau </w:t>
      </w:r>
      <w:hyperlink r:id="rId33">
        <w:r>
          <w:rPr>
            <w:rFonts w:ascii="Calibri" w:cs="Calibri" w:eastAsia="Calibri" w:hAnsi="Calibri"/>
            <w:sz w:val="21"/>
            <w:szCs w:val="21"/>
            <w:color w:val="FFFFFF"/>
          </w:rPr>
          <w:t>https://www.ssm.gov.mo/apps1/PreventWuhanInfection/ch.aspx#clg17048</w:t>
        </w:r>
      </w:hyperlink>
    </w:p>
    <w:p>
      <w:pPr>
        <w:spacing w:after="0" w:line="62" w:lineRule="exact"/>
        <w:rPr>
          <w:rFonts w:ascii="Calibri" w:cs="Calibri" w:eastAsia="Calibri" w:hAnsi="Calibri"/>
          <w:sz w:val="21"/>
          <w:szCs w:val="21"/>
          <w:color w:val="FFFFFF"/>
        </w:rPr>
      </w:pPr>
    </w:p>
    <w:p>
      <w:pPr>
        <w:ind w:left="364" w:right="700" w:hanging="364"/>
        <w:spacing w:after="0" w:line="225" w:lineRule="auto"/>
        <w:tabs>
          <w:tab w:leader="none" w:pos="364" w:val="left"/>
        </w:tabs>
        <w:numPr>
          <w:ilvl w:val="0"/>
          <w:numId w:val="8"/>
        </w:numPr>
        <w:rPr>
          <w:rFonts w:ascii="Calibri" w:cs="Calibri" w:eastAsia="Calibri" w:hAnsi="Calibri"/>
          <w:sz w:val="22"/>
          <w:szCs w:val="22"/>
          <w:color w:val="FFFFFF"/>
        </w:rPr>
      </w:pPr>
      <w:r>
        <w:rPr>
          <w:rFonts w:ascii="Calibri" w:cs="Calibri" w:eastAsia="Calibri" w:hAnsi="Calibri"/>
          <w:sz w:val="22"/>
          <w:szCs w:val="22"/>
          <w:color w:val="FFFFFF"/>
        </w:rPr>
        <w:t xml:space="preserve">Press release on 23 January 2020, Ministry of Health Singapore. </w:t>
      </w:r>
      <w:hyperlink r:id="rId34">
        <w:r>
          <w:rPr>
            <w:rFonts w:ascii="Calibri" w:cs="Calibri" w:eastAsia="Calibri" w:hAnsi="Calibri"/>
            <w:sz w:val="22"/>
            <w:szCs w:val="22"/>
            <w:color w:val="FFFFFF"/>
          </w:rPr>
          <w:t>https://www.moh.gov.sg/news-highlights/details/confirmed-imported-case-of-novel-coronavirus-</w:t>
        </w:r>
      </w:hyperlink>
      <w:hyperlink r:id="rId34">
        <w:r>
          <w:rPr>
            <w:rFonts w:ascii="Calibri" w:cs="Calibri" w:eastAsia="Calibri" w:hAnsi="Calibri"/>
            <w:sz w:val="22"/>
            <w:szCs w:val="22"/>
            <w:color w:val="FFFFFF"/>
          </w:rPr>
          <w:t>infection-in-singapore-multi-ministry-taskforce-ramps-up-precautionary-measures</w:t>
        </w:r>
      </w:hyperlink>
    </w:p>
    <w:p>
      <w:pPr>
        <w:spacing w:after="0" w:line="63" w:lineRule="exact"/>
        <w:rPr>
          <w:rFonts w:ascii="Calibri" w:cs="Calibri" w:eastAsia="Calibri" w:hAnsi="Calibri"/>
          <w:sz w:val="22"/>
          <w:szCs w:val="22"/>
          <w:color w:val="FFFFFF"/>
        </w:rPr>
      </w:pPr>
    </w:p>
    <w:p>
      <w:pPr>
        <w:ind w:left="364" w:right="600" w:hanging="364"/>
        <w:spacing w:after="0" w:line="218" w:lineRule="auto"/>
        <w:tabs>
          <w:tab w:leader="none" w:pos="364" w:val="left"/>
        </w:tabs>
        <w:numPr>
          <w:ilvl w:val="0"/>
          <w:numId w:val="8"/>
        </w:numPr>
        <w:rPr>
          <w:rFonts w:ascii="Calibri" w:cs="Calibri" w:eastAsia="Calibri" w:hAnsi="Calibri"/>
          <w:sz w:val="22"/>
          <w:szCs w:val="22"/>
          <w:color w:val="FFFFFF"/>
        </w:rPr>
      </w:pPr>
      <w:r>
        <w:rPr>
          <w:rFonts w:ascii="Calibri" w:cs="Calibri" w:eastAsia="Calibri" w:hAnsi="Calibri"/>
          <w:sz w:val="22"/>
          <w:szCs w:val="22"/>
          <w:color w:val="FFFFFF"/>
        </w:rPr>
        <w:t xml:space="preserve">CDC press release. Second Travel-related Case of 2019 Novel Coronavirus Detected in United States </w:t>
      </w:r>
      <w:hyperlink r:id="rId35">
        <w:r>
          <w:rPr>
            <w:rFonts w:ascii="Calibri" w:cs="Calibri" w:eastAsia="Calibri" w:hAnsi="Calibri"/>
            <w:sz w:val="22"/>
            <w:szCs w:val="22"/>
            <w:color w:val="FFFFFF"/>
          </w:rPr>
          <w:t>https://www.cdc.gov/media/releases/2020/p0124-second-travel-coronavirus.html</w:t>
        </w:r>
      </w:hyperlink>
    </w:p>
    <w:p>
      <w:pPr>
        <w:spacing w:after="0" w:line="10" w:lineRule="exact"/>
        <w:rPr>
          <w:rFonts w:ascii="Calibri" w:cs="Calibri" w:eastAsia="Calibri" w:hAnsi="Calibri"/>
          <w:sz w:val="22"/>
          <w:szCs w:val="22"/>
          <w:color w:val="FFFFFF"/>
        </w:rPr>
      </w:pPr>
    </w:p>
    <w:p>
      <w:pPr>
        <w:ind w:left="364" w:hanging="364"/>
        <w:spacing w:after="0"/>
        <w:tabs>
          <w:tab w:leader="none" w:pos="364" w:val="left"/>
        </w:tabs>
        <w:numPr>
          <w:ilvl w:val="0"/>
          <w:numId w:val="8"/>
        </w:numPr>
        <w:rPr>
          <w:rFonts w:ascii="Arial" w:cs="Arial" w:eastAsia="Arial" w:hAnsi="Arial"/>
          <w:sz w:val="22"/>
          <w:szCs w:val="22"/>
          <w:color w:val="FFFFFF"/>
        </w:rPr>
      </w:pPr>
      <w:r>
        <w:rPr>
          <w:rFonts w:ascii="Calibri" w:cs="Calibri" w:eastAsia="Calibri" w:hAnsi="Calibri"/>
          <w:sz w:val="22"/>
          <w:szCs w:val="22"/>
          <w:color w:val="FFFFFF"/>
        </w:rPr>
        <w:t>New South Wales Government: Health: Coronavirus cases confirmed in NSW</w:t>
      </w:r>
    </w:p>
    <w:sectPr>
      <w:pgSz w:w="11920" w:h="16841" w:orient="portrait"/>
      <w:cols w:equalWidth="0" w:num="1">
        <w:col w:w="9844"/>
      </w:cols>
      <w:pgMar w:left="1436" w:top="1071" w:right="6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1"/>
      <w:numFmt w:val="decimal"/>
      <w:start w:val="461"/>
    </w:lvl>
  </w:abstractNum>
  <w:abstractNum w:abstractNumId="2">
    <w:nsid w:val="3D1B58BA"/>
    <w:multiLevelType w:val="hybridMultilevel"/>
    <w:lvl w:ilvl="0">
      <w:lvlJc w:val="left"/>
      <w:lvlText w:val="%1"/>
      <w:numFmt w:val="decimal"/>
      <w:start w:val="80"/>
    </w:lvl>
  </w:abstractNum>
  <w:abstractNum w:abstractNumId="3">
    <w:nsid w:val="507ED7AB"/>
    <w:multiLevelType w:val="hybridMultilevel"/>
    <w:lvl w:ilvl="0">
      <w:lvlJc w:val="left"/>
      <w:lvlText w:val="%1"/>
      <w:numFmt w:val="decimal"/>
      <w:start w:val="37"/>
    </w:lvl>
  </w:abstractNum>
  <w:abstractNum w:abstractNumId="4">
    <w:nsid w:val="2EB141F2"/>
    <w:multiLevelType w:val="hybridMultilevel"/>
    <w:lvl w:ilvl="0">
      <w:lvlJc w:val="left"/>
      <w:lvlText w:val="•"/>
      <w:numFmt w:val="bullet"/>
      <w:start w:val="1"/>
    </w:lvl>
  </w:abstractNum>
  <w:abstractNum w:abstractNumId="5">
    <w:nsid w:val="41B71EFB"/>
    <w:multiLevelType w:val="hybridMultilevel"/>
    <w:lvl w:ilvl="0">
      <w:lvlJc w:val="left"/>
      <w:lvlText w:val="•"/>
      <w:numFmt w:val="bullet"/>
      <w:start w:val="1"/>
    </w:lvl>
  </w:abstractNum>
  <w:abstractNum w:abstractNumId="6">
    <w:nsid w:val="79E2A9E3"/>
    <w:multiLevelType w:val="hybridMultilevel"/>
    <w:lvl w:ilvl="0">
      <w:lvlJc w:val="left"/>
      <w:lvlText w:val="•"/>
      <w:numFmt w:val="bullet"/>
      <w:start w:val="1"/>
    </w:lvl>
  </w:abstractNum>
  <w:abstractNum w:abstractNumId="7">
    <w:nsid w:val="7545E146"/>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22" Type="http://schemas.openxmlformats.org/officeDocument/2006/relationships/image" Target="media/image4.png"/><Relationship Id="rId9" Type="http://schemas.openxmlformats.org/officeDocument/2006/relationships/hyperlink" Target="https://www.who.int/publications-detail/global-surveillance-for-human-infection-with-novel-coronavirus-(2019-ncov)" TargetMode="External"/><Relationship Id="rId12" Type="http://schemas.openxmlformats.org/officeDocument/2006/relationships/hyperlink" Target="https://www.who.int/health-topics/coronavirus/laboratory-diagnostics-for-novel-coronavirus" TargetMode="External"/><Relationship Id="rId13" Type="http://schemas.openxmlformats.org/officeDocument/2006/relationships/hyperlink" Target="https://www.who.int/internal-publications-detail/clinical-management-of-severe-acute-respiratory-infection-when-novel-coronavirus-(ncov)-infection-is-suspected" TargetMode="External"/><Relationship Id="rId14" Type="http://schemas.openxmlformats.org/officeDocument/2006/relationships/hyperlink" Target="https://www.who.int/publications-detail/infection-prevention-and-control-during-health-care-when-novel-coronavirus-(ncov)-infection-is-suspected" TargetMode="External"/><Relationship Id="rId15" Type="http://schemas.openxmlformats.org/officeDocument/2006/relationships/hyperlink" Target="https://www.who.int/internal-publications-detail/home-care-for-patients-with-suspected-novel-coronavirus-(nCoV)-infection-presenting-with-mild-symptoms-and-management-of-contacts" TargetMode="External"/><Relationship Id="rId16" Type="http://schemas.openxmlformats.org/officeDocument/2006/relationships/hyperlink" Target="https://www.who.int/publications-detail/risk-communication-and-community-engagement-readiness-and-initial-response-for-novel-coronaviruses-(-ncov)" TargetMode="External"/><Relationship Id="rId17" Type="http://schemas.openxmlformats.org/officeDocument/2006/relationships/hyperlink" Target="https://www.who.int/internal-publications-detail/disease-commodity-package---novel-coronavirus-(ncov)" TargetMode="External"/><Relationship Id="rId18" Type="http://schemas.openxmlformats.org/officeDocument/2006/relationships/hyperlink" Target="https://www.who.int/health-topics/coronavirus/who-recommendations-to-reduce-risk-of-transmission-of-emerging-pathogens-from-animals-to-humans-in-live-animal-markets" TargetMode="External"/><Relationship Id="rId19" Type="http://schemas.openxmlformats.org/officeDocument/2006/relationships/hyperlink" Target="https://www.who.int/ith/2020-24-01-outbreak-of-Pneumonia-caused-by-new-coronavirus/en/" TargetMode="External"/><Relationship Id="rId20" Type="http://schemas.openxmlformats.org/officeDocument/2006/relationships/hyperlink" Target="https://www.who.int/emergencies/diseases/novel-coronavirus-2019/early-investigations/" TargetMode="External"/><Relationship Id="rId21" Type="http://schemas.openxmlformats.org/officeDocument/2006/relationships/hyperlink" Target="https://openwho.org/courses/introduction-to-ncov" TargetMode="External"/><Relationship Id="rId23" Type="http://schemas.openxmlformats.org/officeDocument/2006/relationships/hyperlink" Target="https://www.who.int/emergencies/diseases/novel-coronavirus-2019" TargetMode="External"/><Relationship Id="rId24" Type="http://schemas.openxmlformats.org/officeDocument/2006/relationships/hyperlink" Target="https://www.who.int/southeastasia/news/detail/27-01-2020-readiness-is-the-key-to-detect-combat-spread-of-the-new-coronavirus" TargetMode="External"/><Relationship Id="rId25" Type="http://schemas.openxmlformats.org/officeDocument/2006/relationships/hyperlink" Target="http://www.emro.who.int/media/news/whos-eastern-mediterranean-region-scales-up-preparedness-for-novel-coronavirus.html" TargetMode="External"/><Relationship Id="rId26" Type="http://schemas.openxmlformats.org/officeDocument/2006/relationships/hyperlink" Target="https://www.cdc.go.kr/board/board.es?mid=a20501000000&amp;bid=0015" TargetMode="External"/><Relationship Id="rId27" Type="http://schemas.openxmlformats.org/officeDocument/2006/relationships/hyperlink" Target="https://www.who.int/csr/don/en/" TargetMode="External"/><Relationship Id="rId28" Type="http://schemas.openxmlformats.org/officeDocument/2006/relationships/hyperlink" Target="https://ddc.moph.go.th/viralpneumonia/index.html" TargetMode="External"/><Relationship Id="rId29" Type="http://schemas.openxmlformats.org/officeDocument/2006/relationships/hyperlink" Target="https://www.mhlw.go.jp/stf/houdou/houdou_list_202001.html" TargetMode="External"/><Relationship Id="rId30" Type="http://schemas.openxmlformats.org/officeDocument/2006/relationships/hyperlink" Target="https://www.mhlw.go.jp/content/10900000/000582967.pdf" TargetMode="External"/><Relationship Id="rId31" Type="http://schemas.openxmlformats.org/officeDocument/2006/relationships/hyperlink" Target="https://www.cdc.gov/media/releases/2020/p0121-novel-coronavirus-travel-case.html" TargetMode="External"/><Relationship Id="rId32" Type="http://schemas.openxmlformats.org/officeDocument/2006/relationships/hyperlink" Target="https://www.info.gov.hk/gia/general/202001/23/P2020012300970.htm" TargetMode="External"/><Relationship Id="rId33" Type="http://schemas.openxmlformats.org/officeDocument/2006/relationships/hyperlink" Target="https://www.ssm.gov.mo/apps1/PreventWuhanInfection/ch.aspx#clg17048" TargetMode="External"/><Relationship Id="rId34" Type="http://schemas.openxmlformats.org/officeDocument/2006/relationships/hyperlink" Target="https://www.moh.gov.sg/news-highlights/details/confirmed-imported-case-of-novel-coronavirus-infection-in-singapore-multi-ministry-taskforce-ramps-up-precautionary-measures" TargetMode="External"/><Relationship Id="rId35" Type="http://schemas.openxmlformats.org/officeDocument/2006/relationships/hyperlink" Target="https://www.cdc.gov/media/releases/2020/p0124-second-travel-coronavirus.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2020-03-10T16:40:45Z</dcterms:created>
  <dcterms:modified xsi:type="dcterms:W3CDTF">2020-03-10T16:40:45Z</dcterms:modified>
</cp:coreProperties>
</file>