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200"/>
        <w:spacing w:after="0"/>
        <w:rPr>
          <w:sz w:val="20"/>
          <w:szCs w:val="20"/>
          <w:color w:val="auto"/>
        </w:rPr>
      </w:pPr>
      <w:r>
        <w:rPr>
          <w:rFonts w:ascii="Arial" w:cs="Arial" w:eastAsia="Arial" w:hAnsi="Arial"/>
          <w:sz w:val="48"/>
          <w:szCs w:val="48"/>
          <w:b w:val="1"/>
          <w:bCs w:val="1"/>
          <w:color w:val="FFFFFF"/>
        </w:rPr>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- 10</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30 January 2020*</w:t>
      </w:r>
    </w:p>
    <w:p>
      <w:pPr>
        <w:spacing w:after="0" w:line="19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20" w:lineRule="exact"/>
        <w:rPr>
          <w:sz w:val="24"/>
          <w:szCs w:val="24"/>
          <w:color w:val="auto"/>
        </w:rPr>
      </w:pPr>
    </w:p>
    <w:p>
      <w:pPr>
        <w:jc w:val="both"/>
        <w:ind w:left="360" w:right="80" w:hanging="352"/>
        <w:spacing w:after="0" w:line="253"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The Emergency Committee on the novel coronavirus (2019-nCoV) under the International Health Regulations (IHR 2005) is meeting today to discuss whether the outbreak constitutes a public health emergency of international concern.</w:t>
      </w:r>
    </w:p>
    <w:p>
      <w:pPr>
        <w:spacing w:after="0" w:line="386" w:lineRule="exact"/>
        <w:rPr>
          <w:rFonts w:ascii="Arial" w:cs="Arial" w:eastAsia="Arial" w:hAnsi="Arial"/>
          <w:sz w:val="18"/>
          <w:szCs w:val="18"/>
          <w:color w:val="auto"/>
        </w:rPr>
      </w:pPr>
    </w:p>
    <w:p>
      <w:pPr>
        <w:ind w:left="360" w:right="80" w:hanging="352"/>
        <w:spacing w:after="0" w:line="235"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First confirmed cases of 2019-nCoV acute respiratory disease in Finland, India and Philippines; all had travel history to Wuhan City.</w:t>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ind w:left="360" w:right="80" w:hanging="352"/>
        <w:spacing w:after="0" w:line="235" w:lineRule="auto"/>
        <w:tabs>
          <w:tab w:leader="none" w:pos="36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On 29 January, WHO held its third press briefing to provide update on the situation. The audio can be found </w:t>
      </w:r>
      <w:hyperlink r:id="rId9">
        <w:r>
          <w:rPr>
            <w:rFonts w:ascii="Calibri" w:cs="Calibri" w:eastAsia="Calibri" w:hAnsi="Calibri"/>
            <w:sz w:val="22"/>
            <w:szCs w:val="22"/>
            <w:u w:val="single" w:color="auto"/>
            <w:color w:val="800080"/>
          </w:rPr>
          <w:t>here</w:t>
        </w:r>
        <w:r>
          <w:rPr>
            <w:rFonts w:ascii="Calibri" w:cs="Calibri" w:eastAsia="Calibri" w:hAnsi="Calibri"/>
            <w:sz w:val="22"/>
            <w:szCs w:val="22"/>
            <w:u w:val="single" w:color="auto"/>
            <w:color w:val="auto"/>
          </w:rPr>
          <w:t>.</w:t>
        </w:r>
      </w:hyperlink>
    </w:p>
    <w:p>
      <w:pPr>
        <w:spacing w:after="0" w:line="360" w:lineRule="exact"/>
        <w:rPr>
          <w:rFonts w:ascii="Calibri" w:cs="Calibri" w:eastAsia="Calibri" w:hAnsi="Calibri"/>
          <w:sz w:val="22"/>
          <w:szCs w:val="22"/>
          <w:color w:val="auto"/>
        </w:rPr>
      </w:pPr>
    </w:p>
    <w:p>
      <w:pPr>
        <w:ind w:left="360" w:hanging="352"/>
        <w:spacing w:after="0" w:line="271" w:lineRule="auto"/>
        <w:tabs>
          <w:tab w:leader="none" w:pos="360" w:val="left"/>
        </w:tabs>
        <w:numPr>
          <w:ilvl w:val="0"/>
          <w:numId w:val="1"/>
        </w:numPr>
        <w:rPr>
          <w:rFonts w:ascii="Calibri" w:cs="Calibri" w:eastAsia="Calibri" w:hAnsi="Calibri"/>
          <w:sz w:val="22"/>
          <w:szCs w:val="22"/>
          <w:color w:val="000000"/>
        </w:rPr>
      </w:pPr>
      <w:r>
        <w:rPr>
          <w:rFonts w:ascii="Calibri" w:cs="Calibri" w:eastAsia="Calibri" w:hAnsi="Calibri"/>
          <w:sz w:val="22"/>
          <w:szCs w:val="22"/>
          <w:color w:val="auto"/>
        </w:rPr>
        <w:t xml:space="preserve">WHO recommends that the interim name of the disease causing the current outbreak should be “2019-nCoV acute respiratory disease” (where ‘n’ is for novel and ‘CoV’ is for coronavirus). This name complies with the </w:t>
      </w:r>
      <w:hyperlink r:id="rId10">
        <w:r>
          <w:rPr>
            <w:rFonts w:ascii="Calibri" w:cs="Calibri" w:eastAsia="Calibri" w:hAnsi="Calibri"/>
            <w:sz w:val="22"/>
            <w:szCs w:val="22"/>
            <w:u w:val="single" w:color="auto"/>
            <w:color w:val="800080"/>
          </w:rPr>
          <w:t>WHO Best Practices for</w:t>
        </w:r>
      </w:hyperlink>
      <w:r>
        <w:rPr>
          <w:rFonts w:ascii="Calibri" w:cs="Calibri" w:eastAsia="Calibri" w:hAnsi="Calibri"/>
          <w:sz w:val="22"/>
          <w:szCs w:val="22"/>
          <w:color w:val="auto"/>
        </w:rPr>
        <w:t xml:space="preserve"> </w:t>
      </w:r>
      <w:hyperlink r:id="rId10">
        <w:r>
          <w:rPr>
            <w:rFonts w:ascii="Calibri" w:cs="Calibri" w:eastAsia="Calibri" w:hAnsi="Calibri"/>
            <w:sz w:val="22"/>
            <w:szCs w:val="22"/>
            <w:u w:val="single" w:color="auto"/>
            <w:color w:val="800080"/>
          </w:rPr>
          <w:t>Naming of New Human Infectious Diseases</w:t>
        </w:r>
        <w:r>
          <w:rPr>
            <w:rFonts w:ascii="Calibri" w:cs="Calibri" w:eastAsia="Calibri" w:hAnsi="Calibri"/>
            <w:sz w:val="22"/>
            <w:szCs w:val="22"/>
            <w:color w:val="000000"/>
          </w:rPr>
          <w:t xml:space="preserve">, </w:t>
        </w:r>
      </w:hyperlink>
      <w:r>
        <w:rPr>
          <w:rFonts w:ascii="Calibri" w:cs="Calibri" w:eastAsia="Calibri" w:hAnsi="Calibri"/>
          <w:sz w:val="22"/>
          <w:szCs w:val="22"/>
          <w:color w:val="800080"/>
        </w:rPr>
        <w:t xml:space="preserve">which </w:t>
      </w:r>
      <w:r>
        <w:rPr>
          <w:rFonts w:ascii="Calibri" w:cs="Calibri" w:eastAsia="Calibri" w:hAnsi="Calibri"/>
          <w:sz w:val="22"/>
          <w:szCs w:val="22"/>
          <w:color w:val="000000"/>
        </w:rPr>
        <w:t>were developed through a</w:t>
      </w:r>
      <w:r>
        <w:rPr>
          <w:rFonts w:ascii="Calibri" w:cs="Calibri" w:eastAsia="Calibri" w:hAnsi="Calibri"/>
          <w:sz w:val="22"/>
          <w:szCs w:val="22"/>
          <w:color w:val="800080"/>
        </w:rPr>
        <w:t xml:space="preserve"> </w:t>
      </w:r>
      <w:r>
        <w:rPr>
          <w:rFonts w:ascii="Calibri" w:cs="Calibri" w:eastAsia="Calibri" w:hAnsi="Calibri"/>
          <w:sz w:val="22"/>
          <w:szCs w:val="22"/>
          <w:color w:val="000000"/>
        </w:rPr>
        <w:t xml:space="preserve">consultative process among partner agencies. Endorsement for the interim name is being sought from WHO’s partner agencies, World Organization for Animal Health (OIE) and Food and Agriculture Organization (FAO). The final name of the disease will be provided by the </w:t>
      </w:r>
      <w:hyperlink r:id="rId11">
        <w:r>
          <w:rPr>
            <w:rFonts w:ascii="Calibri" w:cs="Calibri" w:eastAsia="Calibri" w:hAnsi="Calibri"/>
            <w:sz w:val="22"/>
            <w:szCs w:val="22"/>
            <w:u w:val="single" w:color="auto"/>
            <w:color w:val="800080"/>
          </w:rPr>
          <w:t>International Classification of Diseases (ICD)</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00"/>
        </w:rPr>
        <w:t>WHO is also proposing ‘2019-nCoV’ as an interim name of the virus. The final decision on the official name of the virus will be made by the International Committee on Taxonomy of Viruses.</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br w:type="column"/>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397" w:lineRule="exact"/>
        <w:rPr>
          <w:rFonts w:ascii="Calibri" w:cs="Calibri" w:eastAsia="Calibri" w:hAnsi="Calibri"/>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-88265</wp:posOffset>
                </wp:positionH>
                <wp:positionV relativeFrom="paragraph">
                  <wp:posOffset>-431165</wp:posOffset>
                </wp:positionV>
                <wp:extent cx="2209800" cy="42691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9800" cy="4269105"/>
                        </a:xfrm>
                        <a:prstGeom prst="rect">
                          <a:avLst/>
                        </a:prstGeom>
                        <a:solidFill>
                          <a:srgbClr val="E9E6D7"/>
                        </a:solidFill>
                      </wps:spPr>
                      <wps:bodyPr/>
                    </wps:wsp>
                  </a:graphicData>
                </a:graphic>
              </wp:anchor>
            </w:drawing>
          </mc:Choice>
          <mc:Fallback>
            <w:pict>
              <v:rect id="Shape 2" o:spid="_x0000_s1027" style="position:absolute;margin-left:-6.9499pt;margin-top:-33.9499pt;width:174pt;height:336.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spacing w:after="0" w:line="254" w:lineRule="exact"/>
        <w:rPr>
          <w:rFonts w:ascii="Calibri" w:cs="Calibri" w:eastAsia="Calibri" w:hAnsi="Calibri"/>
          <w:sz w:val="22"/>
          <w:szCs w:val="22"/>
          <w:color w:val="auto"/>
        </w:rPr>
      </w:pPr>
    </w:p>
    <w:p>
      <w:pPr>
        <w:ind w:left="120"/>
        <w:spacing w:after="0"/>
        <w:rPr>
          <w:sz w:val="20"/>
          <w:szCs w:val="20"/>
          <w:color w:val="auto"/>
        </w:rPr>
      </w:pPr>
      <w:r>
        <w:rPr>
          <w:rFonts w:ascii="Arial" w:cs="Arial" w:eastAsia="Arial" w:hAnsi="Arial"/>
          <w:sz w:val="32"/>
          <w:szCs w:val="32"/>
          <w:b w:val="1"/>
          <w:bCs w:val="1"/>
          <w:color w:val="FF6600"/>
        </w:rPr>
        <w:t>Globally</w:t>
      </w:r>
    </w:p>
    <w:p>
      <w:pPr>
        <w:spacing w:after="0" w:line="1" w:lineRule="exact"/>
        <w:rPr>
          <w:rFonts w:ascii="Calibri" w:cs="Calibri" w:eastAsia="Calibri" w:hAnsi="Calibri"/>
          <w:sz w:val="22"/>
          <w:szCs w:val="22"/>
          <w:color w:val="auto"/>
        </w:rPr>
      </w:pPr>
    </w:p>
    <w:p>
      <w:pPr>
        <w:ind w:left="120"/>
        <w:spacing w:after="0"/>
        <w:rPr>
          <w:sz w:val="20"/>
          <w:szCs w:val="20"/>
          <w:color w:val="auto"/>
        </w:rPr>
      </w:pPr>
      <w:r>
        <w:rPr>
          <w:rFonts w:ascii="Arial" w:cs="Arial" w:eastAsia="Arial" w:hAnsi="Arial"/>
          <w:sz w:val="28"/>
          <w:szCs w:val="28"/>
          <w:b w:val="1"/>
          <w:bCs w:val="1"/>
          <w:color w:val="FF6600"/>
        </w:rPr>
        <w:t xml:space="preserve">7818 </w:t>
      </w:r>
      <w:r>
        <w:rPr>
          <w:rFonts w:ascii="Arial" w:cs="Arial" w:eastAsia="Arial" w:hAnsi="Arial"/>
          <w:sz w:val="28"/>
          <w:szCs w:val="28"/>
          <w:color w:val="FF6600"/>
        </w:rPr>
        <w:t>confirmed</w:t>
      </w:r>
    </w:p>
    <w:p>
      <w:pPr>
        <w:spacing w:after="0" w:line="367" w:lineRule="exact"/>
        <w:rPr>
          <w:rFonts w:ascii="Calibri" w:cs="Calibri" w:eastAsia="Calibri" w:hAnsi="Calibri"/>
          <w:sz w:val="22"/>
          <w:szCs w:val="22"/>
          <w:color w:val="auto"/>
        </w:rPr>
      </w:pPr>
    </w:p>
    <w:p>
      <w:pPr>
        <w:ind w:left="120"/>
        <w:spacing w:after="0"/>
        <w:rPr>
          <w:sz w:val="20"/>
          <w:szCs w:val="20"/>
          <w:color w:val="auto"/>
        </w:rPr>
      </w:pPr>
      <w:r>
        <w:rPr>
          <w:rFonts w:ascii="Arial" w:cs="Arial" w:eastAsia="Arial" w:hAnsi="Arial"/>
          <w:sz w:val="32"/>
          <w:szCs w:val="32"/>
          <w:b w:val="1"/>
          <w:bCs w:val="1"/>
          <w:color w:val="FF6600"/>
        </w:rPr>
        <w:t>China</w:t>
      </w:r>
    </w:p>
    <w:p>
      <w:pPr>
        <w:spacing w:after="0" w:line="1" w:lineRule="exact"/>
        <w:rPr>
          <w:rFonts w:ascii="Calibri" w:cs="Calibri" w:eastAsia="Calibri" w:hAnsi="Calibri"/>
          <w:sz w:val="22"/>
          <w:szCs w:val="22"/>
          <w:color w:val="auto"/>
        </w:rPr>
      </w:pPr>
    </w:p>
    <w:p>
      <w:pPr>
        <w:ind w:left="280"/>
        <w:spacing w:after="0"/>
        <w:rPr>
          <w:sz w:val="20"/>
          <w:szCs w:val="20"/>
          <w:color w:val="auto"/>
        </w:rPr>
      </w:pPr>
      <w:r>
        <w:rPr>
          <w:rFonts w:ascii="Arial" w:cs="Arial" w:eastAsia="Arial" w:hAnsi="Arial"/>
          <w:sz w:val="28"/>
          <w:szCs w:val="28"/>
          <w:b w:val="1"/>
          <w:bCs w:val="1"/>
          <w:color w:val="FF6600"/>
        </w:rPr>
        <w:t xml:space="preserve">7736 </w:t>
      </w:r>
      <w:r>
        <w:rPr>
          <w:rFonts w:ascii="Arial" w:cs="Arial" w:eastAsia="Arial" w:hAnsi="Arial"/>
          <w:sz w:val="28"/>
          <w:szCs w:val="28"/>
          <w:color w:val="FF6600"/>
        </w:rPr>
        <w:t>confirmed</w:t>
      </w:r>
    </w:p>
    <w:p>
      <w:pPr>
        <w:ind w:left="120"/>
        <w:spacing w:after="0"/>
        <w:rPr>
          <w:sz w:val="20"/>
          <w:szCs w:val="20"/>
          <w:color w:val="auto"/>
        </w:rPr>
      </w:pPr>
      <w:r>
        <w:rPr>
          <w:rFonts w:ascii="Arial" w:cs="Arial" w:eastAsia="Arial" w:hAnsi="Arial"/>
          <w:sz w:val="28"/>
          <w:szCs w:val="28"/>
          <w:b w:val="1"/>
          <w:bCs w:val="1"/>
          <w:color w:val="FF6600"/>
        </w:rPr>
        <w:t xml:space="preserve">12167 </w:t>
      </w:r>
      <w:r>
        <w:rPr>
          <w:rFonts w:ascii="Arial" w:cs="Arial" w:eastAsia="Arial" w:hAnsi="Arial"/>
          <w:sz w:val="28"/>
          <w:szCs w:val="28"/>
          <w:color w:val="FF6600"/>
        </w:rPr>
        <w:t>suspected</w:t>
      </w:r>
    </w:p>
    <w:p>
      <w:pPr>
        <w:ind w:left="280"/>
        <w:spacing w:after="0"/>
        <w:rPr>
          <w:sz w:val="20"/>
          <w:szCs w:val="20"/>
          <w:color w:val="auto"/>
        </w:rPr>
      </w:pPr>
      <w:r>
        <w:rPr>
          <w:rFonts w:ascii="Arial" w:cs="Arial" w:eastAsia="Arial" w:hAnsi="Arial"/>
          <w:sz w:val="28"/>
          <w:szCs w:val="28"/>
          <w:b w:val="1"/>
          <w:bCs w:val="1"/>
          <w:color w:val="FF6600"/>
        </w:rPr>
        <w:t xml:space="preserve">1370 </w:t>
      </w:r>
      <w:r>
        <w:rPr>
          <w:rFonts w:ascii="Arial" w:cs="Arial" w:eastAsia="Arial" w:hAnsi="Arial"/>
          <w:sz w:val="28"/>
          <w:szCs w:val="28"/>
          <w:color w:val="FF6600"/>
        </w:rPr>
        <w:t>severe</w:t>
      </w:r>
    </w:p>
    <w:p>
      <w:pPr>
        <w:ind w:left="980" w:hanging="550"/>
        <w:spacing w:after="0"/>
        <w:tabs>
          <w:tab w:leader="none" w:pos="980" w:val="left"/>
        </w:tabs>
        <w:numPr>
          <w:ilvl w:val="0"/>
          <w:numId w:val="2"/>
        </w:numPr>
        <w:rPr>
          <w:rFonts w:ascii="Arial" w:cs="Arial" w:eastAsia="Arial" w:hAnsi="Arial"/>
          <w:sz w:val="28"/>
          <w:szCs w:val="28"/>
          <w:b w:val="1"/>
          <w:bCs w:val="1"/>
          <w:color w:val="FF6600"/>
        </w:rPr>
      </w:pPr>
      <w:r>
        <w:rPr>
          <w:rFonts w:ascii="Arial" w:cs="Arial" w:eastAsia="Arial" w:hAnsi="Arial"/>
          <w:sz w:val="28"/>
          <w:szCs w:val="28"/>
          <w:color w:val="FF6600"/>
        </w:rPr>
        <w:t>deaths</w:t>
      </w:r>
    </w:p>
    <w:p>
      <w:pPr>
        <w:spacing w:after="0" w:line="292" w:lineRule="exact"/>
        <w:rPr>
          <w:rFonts w:ascii="Calibri" w:cs="Calibri" w:eastAsia="Calibri" w:hAnsi="Calibri"/>
          <w:sz w:val="22"/>
          <w:szCs w:val="22"/>
          <w:color w:val="auto"/>
        </w:rPr>
      </w:pPr>
    </w:p>
    <w:p>
      <w:pPr>
        <w:ind w:left="120"/>
        <w:spacing w:after="0"/>
        <w:rPr>
          <w:sz w:val="20"/>
          <w:szCs w:val="20"/>
          <w:color w:val="auto"/>
        </w:rPr>
      </w:pPr>
      <w:r>
        <w:rPr>
          <w:rFonts w:ascii="Arial" w:cs="Arial" w:eastAsia="Arial" w:hAnsi="Arial"/>
          <w:sz w:val="32"/>
          <w:szCs w:val="32"/>
          <w:b w:val="1"/>
          <w:bCs w:val="1"/>
          <w:color w:val="FF6600"/>
        </w:rPr>
        <w:t>Outside of China</w:t>
      </w:r>
    </w:p>
    <w:p>
      <w:pPr>
        <w:spacing w:after="0" w:line="1" w:lineRule="exact"/>
        <w:rPr>
          <w:rFonts w:ascii="Calibri" w:cs="Calibri" w:eastAsia="Calibri" w:hAnsi="Calibri"/>
          <w:sz w:val="22"/>
          <w:szCs w:val="22"/>
          <w:color w:val="auto"/>
        </w:rPr>
      </w:pPr>
    </w:p>
    <w:p>
      <w:pPr>
        <w:ind w:left="880" w:hanging="388"/>
        <w:spacing w:after="0"/>
        <w:tabs>
          <w:tab w:leader="none" w:pos="880" w:val="left"/>
        </w:tabs>
        <w:numPr>
          <w:ilvl w:val="0"/>
          <w:numId w:val="3"/>
        </w:numPr>
        <w:rPr>
          <w:rFonts w:ascii="Arial" w:cs="Arial" w:eastAsia="Arial" w:hAnsi="Arial"/>
          <w:sz w:val="28"/>
          <w:szCs w:val="28"/>
          <w:b w:val="1"/>
          <w:bCs w:val="1"/>
          <w:color w:val="FF6600"/>
        </w:rPr>
      </w:pPr>
      <w:r>
        <w:rPr>
          <w:rFonts w:ascii="Arial" w:cs="Arial" w:eastAsia="Arial" w:hAnsi="Arial"/>
          <w:sz w:val="28"/>
          <w:szCs w:val="28"/>
          <w:color w:val="FF6600"/>
        </w:rPr>
        <w:t>confirmed</w:t>
      </w:r>
    </w:p>
    <w:p>
      <w:pPr>
        <w:ind w:left="500"/>
        <w:spacing w:after="0"/>
        <w:rPr>
          <w:rFonts w:ascii="Arial" w:cs="Arial" w:eastAsia="Arial" w:hAnsi="Arial"/>
          <w:sz w:val="28"/>
          <w:szCs w:val="28"/>
          <w:b w:val="1"/>
          <w:bCs w:val="1"/>
          <w:color w:val="FF6600"/>
        </w:rPr>
      </w:pPr>
      <w:r>
        <w:rPr>
          <w:rFonts w:ascii="Arial" w:cs="Arial" w:eastAsia="Arial" w:hAnsi="Arial"/>
          <w:sz w:val="28"/>
          <w:szCs w:val="28"/>
          <w:b w:val="1"/>
          <w:bCs w:val="1"/>
          <w:color w:val="FF6600"/>
        </w:rPr>
        <w:t xml:space="preserve">18 </w:t>
      </w:r>
      <w:r>
        <w:rPr>
          <w:rFonts w:ascii="Arial" w:cs="Arial" w:eastAsia="Arial" w:hAnsi="Arial"/>
          <w:sz w:val="28"/>
          <w:szCs w:val="28"/>
          <w:color w:val="FF6600"/>
        </w:rPr>
        <w:t>countries</w:t>
      </w:r>
    </w:p>
    <w:p>
      <w:pPr>
        <w:spacing w:after="0" w:line="301" w:lineRule="exact"/>
        <w:rPr>
          <w:rFonts w:ascii="Calibri" w:cs="Calibri" w:eastAsia="Calibri" w:hAnsi="Calibri"/>
          <w:sz w:val="22"/>
          <w:szCs w:val="22"/>
          <w:color w:val="auto"/>
        </w:rPr>
      </w:pPr>
    </w:p>
    <w:p>
      <w:pPr>
        <w:ind w:left="120"/>
        <w:spacing w:after="0"/>
        <w:rPr>
          <w:sz w:val="20"/>
          <w:szCs w:val="20"/>
          <w:color w:val="auto"/>
        </w:rPr>
      </w:pPr>
      <w:r>
        <w:rPr>
          <w:rFonts w:ascii="Calibri" w:cs="Calibri" w:eastAsia="Calibri" w:hAnsi="Calibri"/>
          <w:sz w:val="27"/>
          <w:szCs w:val="27"/>
          <w:b w:val="1"/>
          <w:bCs w:val="1"/>
          <w:color w:val="0093D5"/>
        </w:rPr>
        <w:t>WHO RISK ASSESSMENT</w:t>
      </w:r>
    </w:p>
    <w:p>
      <w:pPr>
        <w:spacing w:after="0" w:line="185" w:lineRule="exact"/>
        <w:rPr>
          <w:rFonts w:ascii="Calibri" w:cs="Calibri" w:eastAsia="Calibri" w:hAnsi="Calibri"/>
          <w:sz w:val="22"/>
          <w:szCs w:val="22"/>
          <w:color w:val="auto"/>
        </w:rPr>
      </w:pP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China</w:t>
      </w:r>
      <w:r>
        <w:rPr>
          <w:sz w:val="20"/>
          <w:szCs w:val="20"/>
          <w:color w:val="auto"/>
        </w:rPr>
        <w:tab/>
      </w:r>
      <w:r>
        <w:rPr>
          <w:rFonts w:ascii="Arial" w:cs="Arial" w:eastAsia="Arial" w:hAnsi="Arial"/>
          <w:sz w:val="22"/>
          <w:szCs w:val="22"/>
          <w:b w:val="1"/>
          <w:bCs w:val="1"/>
          <w:color w:val="FF6600"/>
        </w:rPr>
        <w:t>Very 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Regional Level</w:t>
      </w:r>
      <w:r>
        <w:rPr>
          <w:sz w:val="20"/>
          <w:szCs w:val="20"/>
          <w:color w:val="auto"/>
        </w:rPr>
        <w:tab/>
      </w:r>
      <w:r>
        <w:rPr>
          <w:rFonts w:ascii="Arial" w:cs="Arial" w:eastAsia="Arial" w:hAnsi="Arial"/>
          <w:sz w:val="22"/>
          <w:szCs w:val="22"/>
          <w:b w:val="1"/>
          <w:bCs w:val="1"/>
          <w:color w:val="FF6600"/>
        </w:rPr>
        <w:t>High</w:t>
      </w:r>
    </w:p>
    <w:p>
      <w:pPr>
        <w:ind w:left="120"/>
        <w:spacing w:after="0"/>
        <w:tabs>
          <w:tab w:leader="none" w:pos="1800" w:val="left"/>
        </w:tabs>
        <w:rPr>
          <w:sz w:val="20"/>
          <w:szCs w:val="20"/>
          <w:color w:val="auto"/>
        </w:rPr>
      </w:pPr>
      <w:r>
        <w:rPr>
          <w:rFonts w:ascii="Calibri" w:cs="Calibri" w:eastAsia="Calibri" w:hAnsi="Calibri"/>
          <w:sz w:val="22"/>
          <w:szCs w:val="22"/>
          <w:b w:val="1"/>
          <w:bCs w:val="1"/>
          <w:color w:val="FF6600"/>
        </w:rPr>
        <w:t>Global Level</w:t>
      </w:r>
      <w:r>
        <w:rPr>
          <w:sz w:val="20"/>
          <w:szCs w:val="20"/>
          <w:color w:val="auto"/>
        </w:rPr>
        <w:tab/>
      </w:r>
      <w:r>
        <w:rPr>
          <w:rFonts w:ascii="Arial" w:cs="Arial" w:eastAsia="Arial" w:hAnsi="Arial"/>
          <w:sz w:val="22"/>
          <w:szCs w:val="22"/>
          <w:b w:val="1"/>
          <w:bCs w:val="1"/>
          <w:color w:val="FF6600"/>
        </w:rPr>
        <w:t>High</w:t>
      </w:r>
    </w:p>
    <w:p>
      <w:pPr>
        <w:spacing w:after="0" w:line="627" w:lineRule="exact"/>
        <w:rPr>
          <w:rFonts w:ascii="Calibri" w:cs="Calibri" w:eastAsia="Calibri" w:hAnsi="Calibri"/>
          <w:sz w:val="22"/>
          <w:szCs w:val="22"/>
          <w:color w:val="auto"/>
        </w:rPr>
      </w:pPr>
    </w:p>
    <w:p>
      <w:pPr>
        <w:sectPr>
          <w:pgSz w:w="11920" w:h="16985" w:orient="portrait"/>
          <w:cols w:equalWidth="0" w:num="2">
            <w:col w:w="7680" w:space="360"/>
            <w:col w:w="2920"/>
          </w:cols>
          <w:pgMar w:left="400" w:top="520" w:right="551" w:bottom="0" w:gutter="0" w:footer="0" w:header="0"/>
        </w:sectPr>
      </w:pPr>
    </w:p>
    <w:p>
      <w:pPr>
        <w:ind w:left="48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30 January 2020</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w:drawing>
          <wp:anchor simplePos="0" relativeHeight="251657728" behindDoc="1" locked="0" layoutInCell="0" allowOverlap="1">
            <wp:simplePos x="0" y="0"/>
            <wp:positionH relativeFrom="column">
              <wp:posOffset>305435</wp:posOffset>
            </wp:positionH>
            <wp:positionV relativeFrom="paragraph">
              <wp:posOffset>27940</wp:posOffset>
            </wp:positionV>
            <wp:extent cx="6447790" cy="43999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6447790" cy="4399915"/>
                    </a:xfrm>
                    <a:prstGeom prst="rect">
                      <a:avLst/>
                    </a:prstGeom>
                    <a:noFill/>
                  </pic:spPr>
                </pic:pic>
              </a:graphicData>
            </a:graphic>
          </wp:anchor>
        </w:drawing>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87" w:lineRule="exact"/>
        <w:rPr>
          <w:rFonts w:ascii="Calibri" w:cs="Calibri" w:eastAsia="Calibri" w:hAnsi="Calibri"/>
          <w:sz w:val="22"/>
          <w:szCs w:val="22"/>
          <w:color w:val="auto"/>
        </w:rPr>
      </w:pPr>
    </w:p>
    <w:p>
      <w:pPr>
        <w:jc w:val="right"/>
        <w:ind w:right="60"/>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0960"/>
          </w:cols>
          <w:pgMar w:left="400" w:top="520" w:right="55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 Laboratory detection:</w:t>
      </w:r>
    </w:p>
    <w:p>
      <w:pPr>
        <w:spacing w:after="0" w:line="396" w:lineRule="exact"/>
        <w:rPr>
          <w:sz w:val="20"/>
          <w:szCs w:val="20"/>
          <w:color w:val="auto"/>
        </w:rPr>
      </w:pPr>
    </w:p>
    <w:p>
      <w:pPr>
        <w:ind w:right="120"/>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WHO published interim </w:t>
      </w:r>
      <w:hyperlink r:id="rId13">
        <w:r>
          <w:rPr>
            <w:rFonts w:ascii="Calibri" w:cs="Calibri" w:eastAsia="Calibri" w:hAnsi="Calibri"/>
            <w:sz w:val="22"/>
            <w:szCs w:val="22"/>
            <w:u w:val="single" w:color="auto"/>
            <w:color w:val="800080"/>
          </w:rPr>
          <w:t>laboratory guidance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detection of the novel coronavirus on 9 January and has updated that advice twice. This guidance includes advice on biosafety, patient sampling, and pathogen detection and characterization. Like the epidemiologic situation, the diagnostic landscape is changing quickly. The first 2019-nCoV cases were detected using metagenomic sequencing. Within days of obtaining the sequence data polymerase chain reaction (PCR) assays were developed for clinical diagnostic use. Multiple academic and public-sector groups, including China Center for Disease Control and Prevention (CDC), have designed assays targeting areas of the genome detecting sequences specific for the novel virus (2019-nCoV) and have made them publicly available.</w:t>
      </w:r>
    </w:p>
    <w:p>
      <w:pPr>
        <w:spacing w:after="0" w:line="370" w:lineRule="exact"/>
        <w:rPr>
          <w:sz w:val="20"/>
          <w:szCs w:val="20"/>
          <w:color w:val="auto"/>
        </w:rPr>
      </w:pPr>
    </w:p>
    <w:p>
      <w:pPr>
        <w:ind w:right="380"/>
        <w:spacing w:after="0" w:line="261" w:lineRule="auto"/>
        <w:rPr>
          <w:sz w:val="20"/>
          <w:szCs w:val="20"/>
          <w:color w:val="auto"/>
        </w:rPr>
      </w:pPr>
      <w:r>
        <w:rPr>
          <w:rFonts w:ascii="Calibri" w:cs="Calibri" w:eastAsia="Calibri" w:hAnsi="Calibri"/>
          <w:sz w:val="22"/>
          <w:szCs w:val="22"/>
          <w:color w:val="auto"/>
        </w:rPr>
        <w:t>One of WHO’s main aims is to strengthen global diagnostic capacity for 2019-nCoV detection to improve surveillance, early detection and track the spread of disease. To date, human- to- human transmission outside of China has been limited, and public health efforts are targeted at limiting further transmission in countries with imported cases which depends critically on the ability to detect the pathogen.</w:t>
      </w:r>
    </w:p>
    <w:p>
      <w:pPr>
        <w:spacing w:after="0" w:line="329" w:lineRule="exact"/>
        <w:rPr>
          <w:sz w:val="20"/>
          <w:szCs w:val="20"/>
          <w:color w:val="auto"/>
        </w:rPr>
      </w:pPr>
    </w:p>
    <w:p>
      <w:pPr>
        <w:spacing w:after="0"/>
        <w:rPr>
          <w:sz w:val="20"/>
          <w:szCs w:val="20"/>
          <w:color w:val="auto"/>
        </w:rPr>
      </w:pPr>
      <w:r>
        <w:rPr>
          <w:rFonts w:ascii="Calibri" w:cs="Calibri" w:eastAsia="Calibri" w:hAnsi="Calibri"/>
          <w:sz w:val="22"/>
          <w:szCs w:val="22"/>
          <w:color w:val="auto"/>
        </w:rPr>
        <w:t>WHO has taken a three-pronged approach to enhance diagnostic capacity for 2019-nCoV:</w:t>
      </w:r>
    </w:p>
    <w:p>
      <w:pPr>
        <w:spacing w:after="0" w:line="88" w:lineRule="exact"/>
        <w:rPr>
          <w:sz w:val="20"/>
          <w:szCs w:val="20"/>
          <w:color w:val="auto"/>
        </w:rPr>
      </w:pPr>
    </w:p>
    <w:p>
      <w:pPr>
        <w:jc w:val="both"/>
        <w:ind w:left="1080" w:right="360" w:hanging="360"/>
        <w:spacing w:after="0" w:line="254" w:lineRule="auto"/>
        <w:tabs>
          <w:tab w:leader="none" w:pos="108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Forming a network of specialized </w:t>
      </w:r>
      <w:r>
        <w:rPr>
          <w:rFonts w:ascii="Calibri" w:cs="Calibri" w:eastAsia="Calibri" w:hAnsi="Calibri"/>
          <w:sz w:val="22"/>
          <w:szCs w:val="22"/>
          <w:b w:val="1"/>
          <w:bCs w:val="1"/>
          <w:color w:val="auto"/>
        </w:rPr>
        <w:t>referral laboratories</w:t>
      </w:r>
      <w:r>
        <w:rPr>
          <w:rFonts w:ascii="Calibri" w:cs="Calibri" w:eastAsia="Calibri" w:hAnsi="Calibri"/>
          <w:sz w:val="22"/>
          <w:szCs w:val="22"/>
          <w:color w:val="auto"/>
        </w:rPr>
        <w:t xml:space="preserve"> with demonstrated expertise in the molecular detection of coronaviruses. These international labs can support national labs to confirm 2019-nCoV cases and troubleshoot their molecular assays;</w:t>
      </w:r>
    </w:p>
    <w:p>
      <w:pPr>
        <w:spacing w:after="0" w:line="73" w:lineRule="exact"/>
        <w:rPr>
          <w:rFonts w:ascii="Calibri" w:cs="Calibri" w:eastAsia="Calibri" w:hAnsi="Calibri"/>
          <w:sz w:val="22"/>
          <w:szCs w:val="22"/>
          <w:color w:val="auto"/>
        </w:rPr>
      </w:pPr>
    </w:p>
    <w:p>
      <w:pPr>
        <w:ind w:left="1080" w:right="60" w:hanging="360"/>
        <w:spacing w:after="0" w:line="261" w:lineRule="auto"/>
        <w:tabs>
          <w:tab w:leader="none" w:pos="108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Strengthening </w:t>
      </w:r>
      <w:r>
        <w:rPr>
          <w:rFonts w:ascii="Calibri" w:cs="Calibri" w:eastAsia="Calibri" w:hAnsi="Calibri"/>
          <w:sz w:val="22"/>
          <w:szCs w:val="22"/>
          <w:b w:val="1"/>
          <w:bCs w:val="1"/>
          <w:color w:val="auto"/>
        </w:rPr>
        <w:t>national capacity</w:t>
      </w:r>
      <w:r>
        <w:rPr>
          <w:rFonts w:ascii="Calibri" w:cs="Calibri" w:eastAsia="Calibri" w:hAnsi="Calibri"/>
          <w:sz w:val="22"/>
          <w:szCs w:val="22"/>
          <w:color w:val="auto"/>
        </w:rPr>
        <w:t xml:space="preserve"> for detection of 2019-nCoV so that diagnostic testing can be performed rapidly without the need for overseas shipping. One way this has been achieved is through working with existing global networks for detection of respiratory pathogens such as, notably, the National Influenza Centers that support the Global Influenza Surveillance and Response System;</w:t>
      </w:r>
    </w:p>
    <w:p>
      <w:pPr>
        <w:spacing w:after="0" w:line="68" w:lineRule="exact"/>
        <w:rPr>
          <w:rFonts w:ascii="Calibri" w:cs="Calibri" w:eastAsia="Calibri" w:hAnsi="Calibri"/>
          <w:sz w:val="22"/>
          <w:szCs w:val="22"/>
          <w:color w:val="auto"/>
        </w:rPr>
      </w:pPr>
    </w:p>
    <w:p>
      <w:pPr>
        <w:ind w:left="1080" w:hanging="360"/>
        <w:spacing w:after="0" w:line="267" w:lineRule="auto"/>
        <w:tabs>
          <w:tab w:leader="none" w:pos="108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Ensuring </w:t>
      </w:r>
      <w:r>
        <w:rPr>
          <w:rFonts w:ascii="Calibri" w:cs="Calibri" w:eastAsia="Calibri" w:hAnsi="Calibri"/>
          <w:sz w:val="22"/>
          <w:szCs w:val="22"/>
          <w:b w:val="1"/>
          <w:bCs w:val="1"/>
          <w:color w:val="auto"/>
        </w:rPr>
        <w:t>test availability</w:t>
      </w:r>
      <w:r>
        <w:rPr>
          <w:rFonts w:ascii="Calibri" w:cs="Calibri" w:eastAsia="Calibri" w:hAnsi="Calibri"/>
          <w:sz w:val="22"/>
          <w:szCs w:val="22"/>
          <w:color w:val="auto"/>
        </w:rPr>
        <w:t>. This has involved a) screening of 2019-nCoV PCR protocols from academic laboratories for validation data (e.g. limits of detection, specificity), b) looking for sequence alignment of established commercial coronavirus assays (e.g. SARS) to see if any were likely to be able to detect 2019-nCoV with high sensitivity, and c) working with commercial and non-commercial agencies with capacity to manufacture and distribute newly-developed 2019-nCoV PCR assays. WHO will begin supporting its regional and country offices to make these tests available the first week of February 2020.</w:t>
      </w:r>
    </w:p>
    <w:p>
      <w:pPr>
        <w:sectPr>
          <w:pgSz w:w="11920" w:h="16841" w:orient="portrait"/>
          <w:cols w:equalWidth="0" w:num="1">
            <w:col w:w="10440"/>
          </w:cols>
          <w:pgMar w:left="720" w:top="1440" w:right="751" w:bottom="1440" w:gutter="0" w:footer="0" w:header="0"/>
        </w:sectPr>
      </w:pPr>
    </w:p>
    <w:bookmarkStart w:id="2" w:name="page3"/>
    <w:bookmarkEnd w:id="2"/>
    <w:p>
      <w:pPr>
        <w:spacing w:after="0" w:line="4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SURVEILLANCE</w:t>
      </w:r>
    </w:p>
    <w:p>
      <w:pPr>
        <w:spacing w:after="0" w:line="30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Table 1. Countries, territories or areas with reported confirmed cases of 2019-nCoV, 30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2051685</wp:posOffset>
                </wp:positionH>
                <wp:positionV relativeFrom="paragraph">
                  <wp:posOffset>423545</wp:posOffset>
                </wp:positionV>
                <wp:extent cx="201358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35pt" to="320.1pt,33.3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3794125</wp:posOffset>
                </wp:positionV>
                <wp:extent cx="40138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298.75pt" to="477.6pt,298.7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4098925</wp:posOffset>
                </wp:positionV>
                <wp:extent cx="40138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22.75pt" to="477.6pt,322.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6242050</wp:posOffset>
                </wp:positionV>
                <wp:extent cx="606552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1.5pt" to="477.6pt,491.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201930</wp:posOffset>
                </wp:positionV>
                <wp:extent cx="0" cy="635254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5254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9pt" to="0.45pt,516.1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213995</wp:posOffset>
                </wp:positionV>
                <wp:extent cx="0" cy="634047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047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6.85pt" to="162pt,516.1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213995</wp:posOffset>
                </wp:positionV>
                <wp:extent cx="0" cy="634047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4047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6.85pt" to="319.6pt,516.1pt" o:allowincell="f" strokecolor="#FFFFFF" strokeweight="0.9599pt"/>
            </w:pict>
          </mc:Fallback>
        </mc:AlternateContent>
      </w: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283"/>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7736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continue"/>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3220" w:type="dxa"/>
            <w:vAlign w:val="bottom"/>
            <w:tcBorders>
              <w:bottom w:val="single" w:sz="8" w:color="4F81BD"/>
            </w:tcBorders>
            <w:shd w:val="clear" w:color="auto" w:fill="4F81BD"/>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2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40" w:type="dxa"/>
            <w:vAlign w:val="bottom"/>
            <w:tcBorders>
              <w:bottom w:val="single" w:sz="8" w:color="E9EDF4"/>
            </w:tcBorders>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14</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3" w:lineRule="exact"/>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3"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India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3</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European Region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Finland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Eastern Mediterranean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7818</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-6317615</wp:posOffset>
                </wp:positionV>
                <wp:extent cx="0" cy="632968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296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497.4499pt" to="477.1pt,0.9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5715</wp:posOffset>
                </wp:positionV>
                <wp:extent cx="606552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45pt" to="477.6pt,0.45pt" o:allowincell="f" strokecolor="#FFFFFF" strokeweight="0.96pt"/>
            </w:pict>
          </mc:Fallback>
        </mc:AlternateContent>
      </w:r>
    </w:p>
    <w:p>
      <w:pPr>
        <w:spacing w:after="0" w:line="6" w:lineRule="exact"/>
        <w:rPr>
          <w:sz w:val="20"/>
          <w:szCs w:val="20"/>
          <w:color w:val="auto"/>
        </w:rPr>
      </w:pPr>
    </w:p>
    <w:p>
      <w:pPr>
        <w:spacing w:after="0" w:line="235" w:lineRule="auto"/>
        <w:rPr>
          <w:sz w:val="20"/>
          <w:szCs w:val="20"/>
          <w:color w:val="auto"/>
        </w:rPr>
      </w:pPr>
      <w:r>
        <w:rPr>
          <w:rFonts w:ascii="Arial" w:cs="Arial" w:eastAsia="Arial" w:hAnsi="Arial"/>
          <w:sz w:val="18"/>
          <w:szCs w:val="18"/>
          <w:color w:val="auto"/>
        </w:rPr>
        <w:t>*Confirmed cases in China include cases confirmed in Hong Kong SAR (10 confirmed cases), Macau SAR (7 confirmed cases) and Taipei (8 confirmed cases).</w:t>
      </w:r>
    </w:p>
    <w:p>
      <w:pPr>
        <w:sectPr>
          <w:pgSz w:w="11920" w:h="16841" w:orient="portrait"/>
          <w:cols w:equalWidth="0" w:num="1">
            <w:col w:w="10440"/>
          </w:cols>
          <w:pgMar w:left="720" w:top="1440" w:right="751" w:bottom="1440" w:gutter="0" w:footer="0" w:header="0"/>
        </w:sectPr>
      </w:pPr>
    </w:p>
    <w:bookmarkStart w:id="3" w:name="page4"/>
    <w:bookmarkEnd w:id="3"/>
    <w:p>
      <w:pPr>
        <w:spacing w:after="0" w:line="7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AB0"/>
        </w:rPr>
        <w:t>Figure 2: Epidemic curve by date of onset of 2019-nCoV cases identified outside of China, 30 January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200660</wp:posOffset>
            </wp:positionV>
            <wp:extent cx="6648450" cy="39865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6648450" cy="3986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right="40"/>
        <w:spacing w:after="0" w:line="225" w:lineRule="auto"/>
        <w:rPr>
          <w:sz w:val="20"/>
          <w:szCs w:val="20"/>
          <w:color w:val="auto"/>
        </w:rPr>
      </w:pPr>
      <w:r>
        <w:rPr>
          <w:rFonts w:ascii="Calibri" w:cs="Calibri" w:eastAsia="Calibri" w:hAnsi="Calibri"/>
          <w:sz w:val="22"/>
          <w:szCs w:val="22"/>
          <w:color w:val="auto"/>
        </w:rPr>
        <w:t>Note for figure 2: Of the 82 cases reported outside China, seven were detected while asymptomatic. For the remaining 75 cases, information on date of onset is available only for the 49 cases presented in the epidemiologic curve.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6606540</wp:posOffset>
                </wp:positionH>
                <wp:positionV relativeFrom="paragraph">
                  <wp:posOffset>278130</wp:posOffset>
                </wp:positionV>
                <wp:extent cx="0" cy="327723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7723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2pt,21.9pt" to="520.2pt,279.95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290830</wp:posOffset>
                </wp:positionV>
                <wp:extent cx="663194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2.9pt" to="521.2pt,22.9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278130</wp:posOffset>
                </wp:positionV>
                <wp:extent cx="0" cy="327723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7723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pt" to="0pt,279.95pt" o:allowincell="f" strokecolor="#4F81BD" strokeweight="2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3542665</wp:posOffset>
                </wp:positionV>
                <wp:extent cx="663194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278.95pt" to="521.2pt,278.95pt" o:allowincell="f" strokecolor="#4F81BD" strokeweight="2pt"/>
            </w:pict>
          </mc:Fallback>
        </mc:AlternateContent>
      </w:r>
    </w:p>
    <w:p>
      <w:pPr>
        <w:spacing w:after="0" w:line="200" w:lineRule="exact"/>
        <w:rPr>
          <w:sz w:val="20"/>
          <w:szCs w:val="20"/>
          <w:color w:val="auto"/>
        </w:rPr>
      </w:pPr>
    </w:p>
    <w:p>
      <w:pPr>
        <w:spacing w:after="0" w:line="327" w:lineRule="exact"/>
        <w:rPr>
          <w:sz w:val="20"/>
          <w:szCs w:val="20"/>
          <w:color w:val="auto"/>
        </w:rPr>
      </w:pP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28" w:lineRule="exact"/>
        <w:rPr>
          <w:sz w:val="20"/>
          <w:szCs w:val="20"/>
          <w:color w:val="auto"/>
        </w:rPr>
      </w:pPr>
    </w:p>
    <w:p>
      <w:pPr>
        <w:jc w:val="both"/>
        <w:ind w:left="920" w:hanging="351"/>
        <w:spacing w:after="0" w:line="225"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4"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58" w:lineRule="exact"/>
        <w:rPr>
          <w:rFonts w:ascii="Arial" w:cs="Arial" w:eastAsia="Arial" w:hAnsi="Arial"/>
          <w:sz w:val="22"/>
          <w:szCs w:val="22"/>
          <w:color w:val="auto"/>
        </w:rPr>
      </w:pPr>
    </w:p>
    <w:p>
      <w:pPr>
        <w:ind w:left="920" w:right="260" w:hanging="351"/>
        <w:spacing w:after="0" w:line="218" w:lineRule="auto"/>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8" w:lineRule="exact"/>
        <w:rPr>
          <w:sz w:val="20"/>
          <w:szCs w:val="20"/>
          <w:color w:val="auto"/>
        </w:rPr>
      </w:pPr>
    </w:p>
    <w:p>
      <w:pPr>
        <w:jc w:val="both"/>
        <w:ind w:left="200" w:right="20"/>
        <w:spacing w:after="0" w:line="228"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ectPr>
          <w:pgSz w:w="11920" w:h="16841" w:orient="portrait"/>
          <w:cols w:equalWidth="0" w:num="1">
            <w:col w:w="10180"/>
          </w:cols>
          <w:pgMar w:left="720" w:top="1440" w:right="1011" w:bottom="681" w:gutter="0" w:footer="0" w:header="0"/>
        </w:sectPr>
      </w:pPr>
    </w:p>
    <w:bookmarkStart w:id="4" w:name="page5"/>
    <w:bookmarkEnd w:id="4"/>
    <w:p>
      <w:pPr>
        <w:spacing w:after="0" w:line="5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PREPAREDNESS AND RESPONSE</w:t>
      </w:r>
    </w:p>
    <w:p>
      <w:pPr>
        <w:spacing w:after="0" w:line="200" w:lineRule="exact"/>
        <w:rPr>
          <w:sz w:val="20"/>
          <w:szCs w:val="20"/>
          <w:color w:val="auto"/>
        </w:rPr>
      </w:pPr>
    </w:p>
    <w:p>
      <w:pPr>
        <w:spacing w:after="0" w:line="331" w:lineRule="exact"/>
        <w:rPr>
          <w:sz w:val="20"/>
          <w:szCs w:val="20"/>
          <w:color w:val="auto"/>
        </w:rPr>
      </w:pPr>
    </w:p>
    <w:p>
      <w:pPr>
        <w:ind w:left="720" w:right="220" w:hanging="360"/>
        <w:spacing w:after="0" w:line="265" w:lineRule="auto"/>
        <w:tabs>
          <w:tab w:leader="none" w:pos="720" w:val="left"/>
        </w:tabs>
        <w:numPr>
          <w:ilvl w:val="0"/>
          <w:numId w:val="6"/>
        </w:numPr>
        <w:rPr>
          <w:rFonts w:ascii="Calibri" w:cs="Calibri" w:eastAsia="Calibri" w:hAnsi="Calibri"/>
          <w:sz w:val="22"/>
          <w:szCs w:val="22"/>
          <w:color w:val="800080"/>
        </w:rPr>
      </w:pPr>
      <w:r>
        <w:rPr>
          <w:rFonts w:ascii="Calibri" w:cs="Calibri" w:eastAsia="Calibri" w:hAnsi="Calibri"/>
          <w:sz w:val="22"/>
          <w:szCs w:val="22"/>
          <w:color w:val="auto"/>
        </w:rPr>
        <w:t>WHO has developed a protocol for the investigation of early cases (the “</w:t>
      </w:r>
      <w:hyperlink r:id="rId15">
        <w:r>
          <w:rPr>
            <w:rFonts w:ascii="Calibri" w:cs="Calibri" w:eastAsia="Calibri" w:hAnsi="Calibri"/>
            <w:sz w:val="22"/>
            <w:szCs w:val="22"/>
            <w:u w:val="single" w:color="auto"/>
            <w:color w:val="800080"/>
          </w:rPr>
          <w:t>First Few X (FFX) Cases and contact</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800080"/>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800080"/>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0" w:lineRule="exact"/>
        <w:rPr>
          <w:rFonts w:ascii="Calibri" w:cs="Calibri" w:eastAsia="Calibri" w:hAnsi="Calibri"/>
          <w:sz w:val="22"/>
          <w:szCs w:val="22"/>
          <w:color w:val="800080"/>
        </w:rPr>
      </w:pPr>
    </w:p>
    <w:p>
      <w:pPr>
        <w:ind w:left="720" w:right="180" w:hanging="360"/>
        <w:spacing w:after="0" w:line="236"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720" w:right="40" w:hanging="360"/>
        <w:spacing w:after="0" w:line="261"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interim guidance for </w:t>
      </w:r>
      <w:hyperlink r:id="rId16">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7">
        <w:r>
          <w:rPr>
            <w:rFonts w:ascii="Calibri" w:cs="Calibri" w:eastAsia="Calibri" w:hAnsi="Calibri"/>
            <w:sz w:val="22"/>
            <w:szCs w:val="22"/>
            <w:u w:val="single" w:color="auto"/>
            <w:color w:val="800080"/>
          </w:rPr>
          <w:t>advice on the use of masks during home care and</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800080"/>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800080"/>
          </w:rPr>
          <w:t xml:space="preserve"> </w:t>
        </w:r>
      </w:hyperlink>
      <w:hyperlink r:id="rId18">
        <w:r>
          <w:rPr>
            <w:rFonts w:ascii="Calibri" w:cs="Calibri" w:eastAsia="Calibri" w:hAnsi="Calibri"/>
            <w:sz w:val="22"/>
            <w:szCs w:val="22"/>
            <w:u w:val="single" w:color="auto"/>
            <w:color w:val="0000FF"/>
          </w:rPr>
          <w:t>clinical management</w:t>
        </w:r>
      </w:hyperlink>
      <w:hyperlink r:id="rId19">
        <w:r>
          <w:rPr>
            <w:rFonts w:ascii="Calibri" w:cs="Calibri" w:eastAsia="Calibri" w:hAnsi="Calibri"/>
            <w:sz w:val="22"/>
            <w:szCs w:val="22"/>
            <w:color w:val="000000"/>
          </w:rPr>
          <w:t>,</w:t>
        </w:r>
      </w:hyperlink>
      <w:r>
        <w:rPr>
          <w:rFonts w:ascii="Calibri" w:cs="Calibri" w:eastAsia="Calibri" w:hAnsi="Calibri"/>
          <w:sz w:val="22"/>
          <w:szCs w:val="22"/>
          <w:color w:val="800080"/>
        </w:rPr>
        <w:t xml:space="preserve"> </w:t>
      </w:r>
      <w:hyperlink r:id="rId19">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0">
        <w:r>
          <w:rPr>
            <w:rFonts w:ascii="Calibri" w:cs="Calibri" w:eastAsia="Calibri" w:hAnsi="Calibri"/>
            <w:sz w:val="22"/>
            <w:szCs w:val="22"/>
            <w:u w:val="single" w:color="auto"/>
            <w:color w:val="0000FF"/>
          </w:rPr>
          <w:t xml:space="preserve">coronavirus, </w:t>
        </w:r>
      </w:hyperlink>
      <w:hyperlink r:id="rId21">
        <w:r>
          <w:rPr>
            <w:rFonts w:ascii="Calibri" w:cs="Calibri" w:eastAsia="Calibri" w:hAnsi="Calibri"/>
            <w:sz w:val="22"/>
            <w:szCs w:val="22"/>
            <w:u w:val="single" w:color="auto"/>
            <w:color w:val="0000FF"/>
          </w:rPr>
          <w:t>risk communication and community engagement</w:t>
        </w:r>
        <w:r>
          <w:rPr>
            <w:rFonts w:ascii="Calibri" w:cs="Calibri" w:eastAsia="Calibri" w:hAnsi="Calibri"/>
            <w:sz w:val="22"/>
            <w:szCs w:val="22"/>
            <w:u w:val="single" w:color="auto"/>
            <w:color w:val="000000"/>
          </w:rPr>
          <w:t>.</w:t>
        </w:r>
      </w:hyperlink>
    </w:p>
    <w:p>
      <w:pPr>
        <w:spacing w:after="0" w:line="65" w:lineRule="exact"/>
        <w:rPr>
          <w:rFonts w:ascii="Calibri" w:cs="Calibri" w:eastAsia="Calibri" w:hAnsi="Calibri"/>
          <w:sz w:val="22"/>
          <w:szCs w:val="22"/>
          <w:color w:val="0000FF"/>
        </w:rPr>
      </w:pPr>
    </w:p>
    <w:p>
      <w:pPr>
        <w:ind w:left="720" w:right="420" w:hanging="360"/>
        <w:spacing w:after="0" w:line="236"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2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2" w:lineRule="exact"/>
        <w:rPr>
          <w:rFonts w:ascii="Calibri" w:cs="Calibri" w:eastAsia="Calibri" w:hAnsi="Calibri"/>
          <w:sz w:val="22"/>
          <w:szCs w:val="22"/>
          <w:color w:val="auto"/>
        </w:rPr>
      </w:pPr>
    </w:p>
    <w:p>
      <w:pPr>
        <w:ind w:left="720" w:hanging="360"/>
        <w:spacing w:after="0"/>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3">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720" w:right="1020" w:hanging="360"/>
        <w:spacing w:after="0" w:line="236"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4">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4">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720" w:hanging="360"/>
        <w:spacing w:after="0"/>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7" w:lineRule="exact"/>
        <w:rPr>
          <w:rFonts w:ascii="Arial" w:cs="Arial" w:eastAsia="Arial" w:hAnsi="Arial"/>
          <w:sz w:val="22"/>
          <w:szCs w:val="22"/>
          <w:color w:val="auto"/>
        </w:rPr>
      </w:pPr>
    </w:p>
    <w:p>
      <w:pPr>
        <w:ind w:left="720" w:right="160" w:hanging="360"/>
        <w:spacing w:after="0" w:line="236" w:lineRule="auto"/>
        <w:tabs>
          <w:tab w:leader="none" w:pos="720" w:val="left"/>
        </w:tabs>
        <w:numPr>
          <w:ilvl w:val="0"/>
          <w:numId w:val="6"/>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5">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720" w:hanging="360"/>
        <w:spacing w:after="0" w:line="267" w:lineRule="auto"/>
        <w:tabs>
          <w:tab w:leader="none" w:pos="720" w:val="left"/>
        </w:tabs>
        <w:numPr>
          <w:ilvl w:val="0"/>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The first protocol that is available is a: </w:t>
      </w:r>
      <w:hyperlink r:id="rId26">
        <w:r>
          <w:rPr>
            <w:rFonts w:ascii="Calibri" w:cs="Calibri" w:eastAsia="Calibri" w:hAnsi="Calibri"/>
            <w:sz w:val="22"/>
            <w:szCs w:val="22"/>
            <w:u w:val="single" w:color="auto"/>
            <w:color w:val="0000FF"/>
          </w:rPr>
          <w:t>Household transmission investigation protocol for 2019-novel coronavirus (2019-nCoV) infection</w:t>
        </w:r>
        <w:r>
          <w:rPr>
            <w:rFonts w:ascii="Calibri" w:cs="Calibri" w:eastAsia="Calibri" w:hAnsi="Calibri"/>
            <w:sz w:val="22"/>
            <w:szCs w:val="22"/>
            <w:color w:val="000000"/>
          </w:rPr>
          <w:t>.</w:t>
        </w:r>
      </w:hyperlink>
    </w:p>
    <w:p>
      <w:pPr>
        <w:spacing w:after="0" w:line="60" w:lineRule="exact"/>
        <w:rPr>
          <w:rFonts w:ascii="Calibri" w:cs="Calibri" w:eastAsia="Calibri" w:hAnsi="Calibri"/>
          <w:sz w:val="22"/>
          <w:szCs w:val="22"/>
          <w:color w:val="0000FF"/>
        </w:rPr>
      </w:pPr>
    </w:p>
    <w:p>
      <w:pPr>
        <w:ind w:left="720" w:right="320" w:hanging="360"/>
        <w:spacing w:after="0" w:line="261" w:lineRule="auto"/>
        <w:tabs>
          <w:tab w:leader="none" w:pos="7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67" w:lineRule="exact"/>
        <w:rPr>
          <w:rFonts w:ascii="Arial" w:cs="Arial" w:eastAsia="Arial" w:hAnsi="Arial"/>
          <w:sz w:val="22"/>
          <w:szCs w:val="22"/>
          <w:color w:val="auto"/>
        </w:rPr>
      </w:pPr>
    </w:p>
    <w:p>
      <w:pPr>
        <w:ind w:left="720" w:right="220" w:hanging="360"/>
        <w:spacing w:after="0" w:line="235" w:lineRule="auto"/>
        <w:tabs>
          <w:tab w:leader="none" w:pos="720" w:val="left"/>
        </w:tabs>
        <w:numPr>
          <w:ilvl w:val="0"/>
          <w:numId w:val="6"/>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2806065</wp:posOffset>
                </wp:positionH>
                <wp:positionV relativeFrom="paragraph">
                  <wp:posOffset>-4530090</wp:posOffset>
                </wp:positionV>
                <wp:extent cx="31750" cy="1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8" o:spid="_x0000_s1043" style="position:absolute;margin-left:220.95pt;margin-top:-356.6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34" w:lineRule="exact"/>
        <w:rPr>
          <w:rFonts w:ascii="Arial" w:cs="Arial" w:eastAsia="Arial" w:hAnsi="Arial"/>
          <w:sz w:val="22"/>
          <w:szCs w:val="22"/>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w:t>
      </w:r>
    </w:p>
    <w:p>
      <w:pPr>
        <w:spacing w:after="0" w:line="394" w:lineRule="exact"/>
        <w:rPr>
          <w:rFonts w:ascii="Arial" w:cs="Arial" w:eastAsia="Arial" w:hAnsi="Arial"/>
          <w:sz w:val="22"/>
          <w:szCs w:val="22"/>
          <w:color w:val="auto"/>
        </w:rPr>
      </w:pPr>
    </w:p>
    <w:p>
      <w:pPr>
        <w:ind w:left="360" w:right="56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6"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7"/>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ectPr>
          <w:pgSz w:w="11920" w:h="16841" w:orient="portrait"/>
          <w:cols w:equalWidth="0" w:num="1">
            <w:col w:w="10840"/>
          </w:cols>
          <w:pgMar w:left="360" w:top="1440" w:right="711" w:bottom="682" w:gutter="0" w:footer="0" w:header="0"/>
        </w:sectPr>
      </w:pPr>
    </w:p>
    <w:bookmarkStart w:id="5" w:name="page6"/>
    <w:bookmarkEnd w:id="5"/>
    <w:p>
      <w:pPr>
        <w:ind w:left="360" w:right="560" w:hanging="360"/>
        <w:spacing w:after="0" w:line="236" w:lineRule="auto"/>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89" w:lineRule="exact"/>
        <w:rPr>
          <w:rFonts w:ascii="Arial" w:cs="Arial" w:eastAsia="Arial" w:hAnsi="Arial"/>
          <w:sz w:val="20"/>
          <w:szCs w:val="20"/>
          <w:color w:val="auto"/>
        </w:rPr>
      </w:pPr>
    </w:p>
    <w:p>
      <w:pPr>
        <w:ind w:left="360" w:right="300" w:hanging="360"/>
        <w:spacing w:after="0" w:line="236" w:lineRule="auto"/>
        <w:tabs>
          <w:tab w:leader="none" w:pos="360" w:val="left"/>
        </w:tabs>
        <w:numPr>
          <w:ilvl w:val="0"/>
          <w:numId w:val="8"/>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3"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p>
      <w:pPr>
        <w:sectPr>
          <w:pgSz w:w="11920" w:h="16841" w:orient="portrait"/>
          <w:cols w:equalWidth="0" w:num="1">
            <w:col w:w="10820"/>
          </w:cols>
          <w:pgMar w:left="360" w:top="943" w:right="731" w:bottom="1440" w:gutter="0" w:footer="0" w:header="0"/>
        </w:sectPr>
      </w:pPr>
    </w:p>
    <w:bookmarkStart w:id="6" w:name="page7"/>
    <w:bookmarkEnd w:id="6"/>
    <w:p>
      <w:pPr>
        <w:spacing w:after="0" w:line="95"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571500</wp:posOffset>
            </wp:positionH>
            <wp:positionV relativeFrom="page">
              <wp:posOffset>929640</wp:posOffset>
            </wp:positionV>
            <wp:extent cx="6670675" cy="76485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6670675" cy="7648575"/>
                    </a:xfrm>
                    <a:prstGeom prst="rect">
                      <a:avLst/>
                    </a:prstGeom>
                    <a:noFill/>
                  </pic:spPr>
                </pic:pic>
              </a:graphicData>
            </a:graphic>
          </wp:anchor>
        </w:drawing>
      </w:r>
    </w:p>
    <w:p>
      <w:pPr>
        <w:spacing w:after="0"/>
        <w:rPr>
          <w:sz w:val="20"/>
          <w:szCs w:val="20"/>
          <w:color w:val="auto"/>
        </w:rPr>
      </w:pPr>
      <w:r>
        <w:rPr>
          <w:rFonts w:ascii="Calibri" w:cs="Calibri" w:eastAsia="Calibri" w:hAnsi="Calibri"/>
          <w:sz w:val="22"/>
          <w:szCs w:val="22"/>
          <w:b w:val="1"/>
          <w:bCs w:val="1"/>
          <w:color w:val="FFFFFF"/>
        </w:rPr>
        <w:t>Resources:</w:t>
      </w:r>
    </w:p>
    <w:p>
      <w:pPr>
        <w:spacing w:after="0" w:line="61" w:lineRule="exact"/>
        <w:rPr>
          <w:sz w:val="20"/>
          <w:szCs w:val="20"/>
          <w:color w:val="auto"/>
        </w:rPr>
      </w:pPr>
    </w:p>
    <w:p>
      <w:pPr>
        <w:ind w:left="360" w:right="332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Technical interim guidance for novel coronavirus, WHO: </w:t>
      </w:r>
      <w:hyperlink r:id="rId28">
        <w:r>
          <w:rPr>
            <w:rFonts w:ascii="Calibri" w:cs="Calibri" w:eastAsia="Calibri" w:hAnsi="Calibri"/>
            <w:sz w:val="22"/>
            <w:szCs w:val="22"/>
            <w:color w:val="FFFFFF"/>
          </w:rPr>
          <w:t>https://www.who.int/emergencies/diseases/novel-coronavirus-2019</w:t>
        </w:r>
      </w:hyperlink>
    </w:p>
    <w:p>
      <w:pPr>
        <w:spacing w:after="0" w:line="59" w:lineRule="exact"/>
        <w:rPr>
          <w:rFonts w:ascii="Calibri" w:cs="Calibri" w:eastAsia="Calibri" w:hAnsi="Calibri"/>
          <w:sz w:val="22"/>
          <w:szCs w:val="22"/>
          <w:color w:val="FFFFFF"/>
        </w:rPr>
      </w:pPr>
    </w:p>
    <w:p>
      <w:pPr>
        <w:ind w:left="360" w:right="180" w:hanging="351"/>
        <w:spacing w:after="0" w:line="225"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WHO travel advice for international travel and trade in relation to the outbreak of the novel coronavirus 2019-nCoV </w:t>
      </w:r>
      <w:hyperlink r:id="rId24">
        <w:r>
          <w:rPr>
            <w:rFonts w:ascii="Calibri" w:cs="Calibri" w:eastAsia="Calibri" w:hAnsi="Calibri"/>
            <w:sz w:val="22"/>
            <w:szCs w:val="22"/>
            <w:color w:val="FFFFFF"/>
          </w:rPr>
          <w:t>https://www.who.int/ith/2020-24-01-outbreak-of-Pneumonia-caused-by-new-coronavirus/en/</w:t>
        </w:r>
      </w:hyperlink>
    </w:p>
    <w:p>
      <w:pPr>
        <w:spacing w:after="0" w:line="174" w:lineRule="exact"/>
        <w:rPr>
          <w:rFonts w:ascii="Calibri" w:cs="Calibri" w:eastAsia="Calibri" w:hAnsi="Calibri"/>
          <w:sz w:val="22"/>
          <w:szCs w:val="22"/>
          <w:color w:val="FFFFFF"/>
        </w:rPr>
      </w:pPr>
    </w:p>
    <w:p>
      <w:pPr>
        <w:ind w:left="360" w:hanging="351"/>
        <w:spacing w:after="0"/>
        <w:tabs>
          <w:tab w:leader="none" w:pos="360" w:val="left"/>
        </w:tabs>
        <w:numPr>
          <w:ilvl w:val="0"/>
          <w:numId w:val="9"/>
        </w:numPr>
        <w:rPr>
          <w:rFonts w:ascii="Arial" w:cs="Arial" w:eastAsia="Arial" w:hAnsi="Arial"/>
          <w:sz w:val="22"/>
          <w:szCs w:val="22"/>
          <w:color w:val="FFFFFF"/>
        </w:rPr>
      </w:pPr>
      <w:r>
        <w:rPr>
          <w:rFonts w:ascii="Calibri" w:cs="Calibri" w:eastAsia="Calibri" w:hAnsi="Calibri"/>
          <w:sz w:val="22"/>
          <w:szCs w:val="22"/>
          <w:color w:val="FFFFFF"/>
        </w:rPr>
        <w:t>Readiness is the key to detect, combat spread of the new coronavirus:</w:t>
      </w:r>
    </w:p>
    <w:p>
      <w:pPr>
        <w:spacing w:after="0" w:line="207" w:lineRule="exact"/>
        <w:rPr>
          <w:rFonts w:ascii="Arial" w:cs="Arial" w:eastAsia="Arial" w:hAnsi="Arial"/>
          <w:sz w:val="22"/>
          <w:szCs w:val="22"/>
          <w:color w:val="FFFFFF"/>
        </w:rPr>
      </w:pPr>
    </w:p>
    <w:p>
      <w:pPr>
        <w:ind w:left="360" w:right="440"/>
        <w:spacing w:after="0" w:line="218" w:lineRule="auto"/>
        <w:rPr>
          <w:rFonts w:ascii="Calibri" w:cs="Calibri" w:eastAsia="Calibri" w:hAnsi="Calibri"/>
          <w:sz w:val="22"/>
          <w:szCs w:val="22"/>
          <w:color w:val="FFFFFF"/>
        </w:rPr>
      </w:pPr>
      <w:hyperlink r:id="rId29">
        <w:r>
          <w:rPr>
            <w:rFonts w:ascii="Calibri" w:cs="Calibri" w:eastAsia="Calibri" w:hAnsi="Calibri"/>
            <w:sz w:val="22"/>
            <w:szCs w:val="22"/>
            <w:color w:val="FFFFFF"/>
          </w:rPr>
          <w:t>https://www.who.int/southeastasia/news/detail/27-01-2020-readiness-is-the-key-to-detect-combat-</w:t>
        </w:r>
      </w:hyperlink>
      <w:hyperlink r:id="rId29">
        <w:r>
          <w:rPr>
            <w:rFonts w:ascii="Calibri" w:cs="Calibri" w:eastAsia="Calibri" w:hAnsi="Calibri"/>
            <w:sz w:val="22"/>
            <w:szCs w:val="22"/>
            <w:color w:val="FFFFFF"/>
          </w:rPr>
          <w:t>spread-of-the-new-coronavirus</w:t>
        </w:r>
      </w:hyperlink>
    </w:p>
    <w:p>
      <w:pPr>
        <w:spacing w:after="0" w:line="222" w:lineRule="exact"/>
        <w:rPr>
          <w:rFonts w:ascii="Calibri" w:cs="Calibri" w:eastAsia="Calibri" w:hAnsi="Calibri"/>
          <w:sz w:val="22"/>
          <w:szCs w:val="22"/>
          <w:color w:val="FFFFFF"/>
        </w:rPr>
      </w:pPr>
    </w:p>
    <w:p>
      <w:pPr>
        <w:ind w:left="360" w:hanging="351"/>
        <w:spacing w:after="0" w:line="225"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WHO’s Eastern Mediterranean Region scales up preparedness for novel coronavirus </w:t>
      </w:r>
      <w:hyperlink r:id="rId30">
        <w:r>
          <w:rPr>
            <w:rFonts w:ascii="Calibri" w:cs="Calibri" w:eastAsia="Calibri" w:hAnsi="Calibri"/>
            <w:sz w:val="22"/>
            <w:szCs w:val="22"/>
            <w:color w:val="FFFFFF"/>
          </w:rPr>
          <w:t>http://www.emro.who.int/media/news/whos-eastern-mediterranean-region-scales-up-preparedness-for-</w:t>
        </w:r>
      </w:hyperlink>
      <w:hyperlink r:id="rId30">
        <w:r>
          <w:rPr>
            <w:rFonts w:ascii="Calibri" w:cs="Calibri" w:eastAsia="Calibri" w:hAnsi="Calibri"/>
            <w:sz w:val="22"/>
            <w:szCs w:val="22"/>
            <w:color w:val="FFFFFF"/>
          </w:rPr>
          <w:t>novel-coronavirus.html</w:t>
        </w:r>
      </w:hyperlink>
    </w:p>
    <w:p>
      <w:pPr>
        <w:spacing w:after="0" w:line="61" w:lineRule="exact"/>
        <w:rPr>
          <w:rFonts w:ascii="Calibri" w:cs="Calibri" w:eastAsia="Calibri" w:hAnsi="Calibri"/>
          <w:sz w:val="22"/>
          <w:szCs w:val="22"/>
          <w:color w:val="FFFFFF"/>
        </w:rPr>
      </w:pPr>
    </w:p>
    <w:p>
      <w:pPr>
        <w:ind w:left="360" w:right="310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statements by KCDC (in Korean): </w:t>
      </w:r>
      <w:hyperlink r:id="rId31">
        <w:r>
          <w:rPr>
            <w:rFonts w:ascii="Calibri" w:cs="Calibri" w:eastAsia="Calibri" w:hAnsi="Calibri"/>
            <w:sz w:val="22"/>
            <w:szCs w:val="22"/>
            <w:color w:val="FFFFFF"/>
          </w:rPr>
          <w:t>https://www.cdc.go.kr/board/board.es?mid=a20501000000&amp;bid=0015</w:t>
        </w:r>
      </w:hyperlink>
    </w:p>
    <w:p>
      <w:pPr>
        <w:spacing w:after="0" w:line="61" w:lineRule="exact"/>
        <w:rPr>
          <w:rFonts w:ascii="Calibri" w:cs="Calibri" w:eastAsia="Calibri" w:hAnsi="Calibri"/>
          <w:sz w:val="22"/>
          <w:szCs w:val="22"/>
          <w:color w:val="FFFFFF"/>
        </w:rPr>
      </w:pPr>
    </w:p>
    <w:p>
      <w:pPr>
        <w:ind w:left="360" w:right="640" w:hanging="351"/>
        <w:spacing w:after="0" w:line="218" w:lineRule="auto"/>
        <w:tabs>
          <w:tab w:leader="none" w:pos="360" w:val="left"/>
        </w:tabs>
        <w:numPr>
          <w:ilvl w:val="0"/>
          <w:numId w:val="9"/>
        </w:numPr>
        <w:rPr>
          <w:rFonts w:ascii="Arial" w:cs="Arial" w:eastAsia="Arial" w:hAnsi="Arial"/>
          <w:sz w:val="22"/>
          <w:szCs w:val="22"/>
          <w:color w:val="FFFFFF"/>
        </w:rPr>
      </w:pPr>
      <w:r>
        <w:rPr>
          <w:rFonts w:ascii="Calibri" w:cs="Calibri" w:eastAsia="Calibri" w:hAnsi="Calibri"/>
          <w:sz w:val="22"/>
          <w:szCs w:val="22"/>
          <w:color w:val="FFFFFF"/>
        </w:rPr>
        <w:t>Wuhan Municipal Health Commission's briefing on the pneumonia epidemic situation, (in Chinese): http://wjw.wuhan.gov.cn/front/web/list2nd/no/710</w:t>
      </w:r>
    </w:p>
    <w:p>
      <w:pPr>
        <w:spacing w:after="0" w:line="59" w:lineRule="exact"/>
        <w:rPr>
          <w:rFonts w:ascii="Arial" w:cs="Arial" w:eastAsia="Arial" w:hAnsi="Arial"/>
          <w:sz w:val="22"/>
          <w:szCs w:val="22"/>
          <w:color w:val="FFFFFF"/>
        </w:rPr>
      </w:pPr>
    </w:p>
    <w:p>
      <w:pPr>
        <w:ind w:left="360" w:right="562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Disease outbreak news, Novel Coronavirus: </w:t>
      </w:r>
      <w:hyperlink r:id="rId32">
        <w:r>
          <w:rPr>
            <w:rFonts w:ascii="Calibri" w:cs="Calibri" w:eastAsia="Calibri" w:hAnsi="Calibri"/>
            <w:sz w:val="22"/>
            <w:szCs w:val="22"/>
            <w:color w:val="FFFFFF"/>
          </w:rPr>
          <w:t>https://www.who.int/csr/don/en/</w:t>
        </w:r>
      </w:hyperlink>
    </w:p>
    <w:p>
      <w:pPr>
        <w:spacing w:after="0" w:line="61" w:lineRule="exact"/>
        <w:rPr>
          <w:rFonts w:ascii="Calibri" w:cs="Calibri" w:eastAsia="Calibri" w:hAnsi="Calibri"/>
          <w:sz w:val="22"/>
          <w:szCs w:val="22"/>
          <w:color w:val="FFFFFF"/>
        </w:rPr>
      </w:pPr>
    </w:p>
    <w:p>
      <w:pPr>
        <w:ind w:left="360" w:right="220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Thailand Ministry of Public Health situation update on novel coronavirus (in Thai): </w:t>
      </w:r>
      <w:hyperlink r:id="rId33">
        <w:r>
          <w:rPr>
            <w:rFonts w:ascii="Calibri" w:cs="Calibri" w:eastAsia="Calibri" w:hAnsi="Calibri"/>
            <w:sz w:val="22"/>
            <w:szCs w:val="22"/>
            <w:color w:val="FFFFFF"/>
          </w:rPr>
          <w:t>https://ddc.moph.go.th/viralpneumonia/index.html</w:t>
        </w:r>
      </w:hyperlink>
    </w:p>
    <w:p>
      <w:pPr>
        <w:spacing w:after="0" w:line="61" w:lineRule="exact"/>
        <w:rPr>
          <w:rFonts w:ascii="Calibri" w:cs="Calibri" w:eastAsia="Calibri" w:hAnsi="Calibri"/>
          <w:sz w:val="22"/>
          <w:szCs w:val="22"/>
          <w:color w:val="FFFFFF"/>
        </w:rPr>
      </w:pPr>
    </w:p>
    <w:p>
      <w:pPr>
        <w:ind w:left="360" w:right="234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Press statement by Ministry of Health, Labour and Welfare, Japan (in Japanese): </w:t>
      </w:r>
      <w:hyperlink r:id="rId34">
        <w:r>
          <w:rPr>
            <w:rFonts w:ascii="Calibri" w:cs="Calibri" w:eastAsia="Calibri" w:hAnsi="Calibri"/>
            <w:sz w:val="22"/>
            <w:szCs w:val="22"/>
            <w:color w:val="FFFFFF"/>
          </w:rPr>
          <w:t>https://www.mhlw.go.jp/stf/houdou/houdou_list_202001.html</w:t>
        </w:r>
      </w:hyperlink>
    </w:p>
    <w:p>
      <w:pPr>
        <w:spacing w:after="0" w:line="61" w:lineRule="exact"/>
        <w:rPr>
          <w:rFonts w:ascii="Calibri" w:cs="Calibri" w:eastAsia="Calibri" w:hAnsi="Calibri"/>
          <w:sz w:val="22"/>
          <w:szCs w:val="22"/>
          <w:color w:val="FFFFFF"/>
        </w:rPr>
      </w:pPr>
    </w:p>
    <w:p>
      <w:pPr>
        <w:ind w:left="360" w:right="1160" w:hanging="351"/>
        <w:spacing w:after="0" w:line="224"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Notice sent out from Health and Food Safety Planning Division, Quarantine Station Operation Management Office (in Japanese): </w:t>
      </w:r>
      <w:hyperlink r:id="rId35">
        <w:r>
          <w:rPr>
            <w:rFonts w:ascii="Calibri" w:cs="Calibri" w:eastAsia="Calibri" w:hAnsi="Calibri"/>
            <w:sz w:val="22"/>
            <w:szCs w:val="22"/>
            <w:color w:val="FFFFFF"/>
          </w:rPr>
          <w:t>https://www.mhlw.go.jp/content/10900000/000582967.pdf</w:t>
        </w:r>
      </w:hyperlink>
    </w:p>
    <w:p>
      <w:pPr>
        <w:spacing w:after="0" w:line="64" w:lineRule="exact"/>
        <w:rPr>
          <w:rFonts w:ascii="Calibri" w:cs="Calibri" w:eastAsia="Calibri" w:hAnsi="Calibri"/>
          <w:sz w:val="22"/>
          <w:szCs w:val="22"/>
          <w:color w:val="FFFFFF"/>
        </w:rPr>
      </w:pPr>
    </w:p>
    <w:p>
      <w:pPr>
        <w:ind w:left="360" w:right="332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Situation report by WHO on Novel Coronavirus (2019-nCoV) </w:t>
      </w:r>
      <w:hyperlink r:id="rId28">
        <w:r>
          <w:rPr>
            <w:rFonts w:ascii="Calibri" w:cs="Calibri" w:eastAsia="Calibri" w:hAnsi="Calibri"/>
            <w:sz w:val="22"/>
            <w:szCs w:val="22"/>
            <w:color w:val="FFFFFF"/>
          </w:rPr>
          <w:t>https://www.who.int/emergencies/diseases/novel-coronavirus-2019</w:t>
        </w:r>
      </w:hyperlink>
    </w:p>
    <w:p>
      <w:pPr>
        <w:spacing w:after="0" w:line="61" w:lineRule="exact"/>
        <w:rPr>
          <w:rFonts w:ascii="Calibri" w:cs="Calibri" w:eastAsia="Calibri" w:hAnsi="Calibri"/>
          <w:sz w:val="22"/>
          <w:szCs w:val="22"/>
          <w:color w:val="FFFFFF"/>
        </w:rPr>
      </w:pPr>
    </w:p>
    <w:p>
      <w:pPr>
        <w:ind w:left="360" w:right="86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First Travel-related Case of 2019 Novel Coronavirus Detected in United States </w:t>
      </w:r>
      <w:hyperlink r:id="rId36">
        <w:r>
          <w:rPr>
            <w:rFonts w:ascii="Calibri" w:cs="Calibri" w:eastAsia="Calibri" w:hAnsi="Calibri"/>
            <w:sz w:val="22"/>
            <w:szCs w:val="22"/>
            <w:color w:val="FFFFFF"/>
          </w:rPr>
          <w:t>https://www.cdc.gov/media/releases/2020/p0121-novel-coronavirus-travel-case.html</w:t>
        </w:r>
      </w:hyperlink>
    </w:p>
    <w:p>
      <w:pPr>
        <w:spacing w:after="0" w:line="59" w:lineRule="exact"/>
        <w:rPr>
          <w:rFonts w:ascii="Calibri" w:cs="Calibri" w:eastAsia="Calibri" w:hAnsi="Calibri"/>
          <w:sz w:val="22"/>
          <w:szCs w:val="22"/>
          <w:color w:val="FFFFFF"/>
        </w:rPr>
      </w:pPr>
    </w:p>
    <w:p>
      <w:pPr>
        <w:ind w:left="360" w:right="304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Hong Kong SAR Department of Health, Press Release </w:t>
      </w:r>
      <w:hyperlink r:id="rId37">
        <w:r>
          <w:rPr>
            <w:rFonts w:ascii="Calibri" w:cs="Calibri" w:eastAsia="Calibri" w:hAnsi="Calibri"/>
            <w:sz w:val="22"/>
            <w:szCs w:val="22"/>
            <w:color w:val="FFFFFF"/>
          </w:rPr>
          <w:t>https://www.info.gov.hk/gia/general/202001/23/P2020012300970.htm</w:t>
        </w:r>
      </w:hyperlink>
    </w:p>
    <w:p>
      <w:pPr>
        <w:spacing w:after="0" w:line="61" w:lineRule="exact"/>
        <w:rPr>
          <w:rFonts w:ascii="Calibri" w:cs="Calibri" w:eastAsia="Calibri" w:hAnsi="Calibri"/>
          <w:sz w:val="22"/>
          <w:szCs w:val="22"/>
          <w:color w:val="FFFFFF"/>
        </w:rPr>
      </w:pPr>
    </w:p>
    <w:p>
      <w:pPr>
        <w:ind w:left="360" w:right="268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Epidemic Prevention Measures, Macau SAR Health Bureau </w:t>
      </w:r>
      <w:hyperlink r:id="rId38">
        <w:r>
          <w:rPr>
            <w:rFonts w:ascii="Calibri" w:cs="Calibri" w:eastAsia="Calibri" w:hAnsi="Calibri"/>
            <w:sz w:val="22"/>
            <w:szCs w:val="22"/>
            <w:color w:val="FFFFFF"/>
          </w:rPr>
          <w:t>https://www.ssm.gov.mo/apps1/PreventWuhanInfection/ch.aspx#clg17048</w:t>
        </w:r>
      </w:hyperlink>
    </w:p>
    <w:p>
      <w:pPr>
        <w:spacing w:after="0" w:line="61" w:lineRule="exact"/>
        <w:rPr>
          <w:rFonts w:ascii="Calibri" w:cs="Calibri" w:eastAsia="Calibri" w:hAnsi="Calibri"/>
          <w:sz w:val="22"/>
          <w:szCs w:val="22"/>
          <w:color w:val="FFFFFF"/>
        </w:rPr>
      </w:pPr>
    </w:p>
    <w:p>
      <w:pPr>
        <w:ind w:left="360" w:right="720" w:hanging="351"/>
        <w:spacing w:after="0" w:line="225"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Press release on 23 January 2020, Ministry of Health Singapore. </w:t>
      </w:r>
      <w:hyperlink r:id="rId39">
        <w:r>
          <w:rPr>
            <w:rFonts w:ascii="Calibri" w:cs="Calibri" w:eastAsia="Calibri" w:hAnsi="Calibri"/>
            <w:sz w:val="22"/>
            <w:szCs w:val="22"/>
            <w:color w:val="FFFFFF"/>
          </w:rPr>
          <w:t>https://www.moh.gov.sg/news-highlights/details/confirmed-imported-case-of-novel-coronavirus-</w:t>
        </w:r>
      </w:hyperlink>
      <w:hyperlink r:id="rId39">
        <w:r>
          <w:rPr>
            <w:rFonts w:ascii="Calibri" w:cs="Calibri" w:eastAsia="Calibri" w:hAnsi="Calibri"/>
            <w:sz w:val="22"/>
            <w:szCs w:val="22"/>
            <w:color w:val="FFFFFF"/>
          </w:rPr>
          <w:t>infection-in-singapore-multi-ministry-taskforce-ramps-up-precautionary-measures</w:t>
        </w:r>
      </w:hyperlink>
    </w:p>
    <w:p>
      <w:pPr>
        <w:spacing w:after="0" w:line="61" w:lineRule="exact"/>
        <w:rPr>
          <w:rFonts w:ascii="Calibri" w:cs="Calibri" w:eastAsia="Calibri" w:hAnsi="Calibri"/>
          <w:sz w:val="22"/>
          <w:szCs w:val="22"/>
          <w:color w:val="FFFFFF"/>
        </w:rPr>
      </w:pPr>
    </w:p>
    <w:p>
      <w:pPr>
        <w:ind w:left="360" w:right="60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CDC press release. Second Travel-related Case of 2019 Novel Coronavirus Detected in United States </w:t>
      </w:r>
      <w:hyperlink r:id="rId40">
        <w:r>
          <w:rPr>
            <w:rFonts w:ascii="Calibri" w:cs="Calibri" w:eastAsia="Calibri" w:hAnsi="Calibri"/>
            <w:sz w:val="22"/>
            <w:szCs w:val="22"/>
            <w:color w:val="FFFFFF"/>
          </w:rPr>
          <w:t>https://www.cdc.gov/media/releases/2020/p0124-second-travel-coronavirus.html</w:t>
        </w:r>
      </w:hyperlink>
    </w:p>
    <w:p>
      <w:pPr>
        <w:spacing w:after="0" w:line="61" w:lineRule="exact"/>
        <w:rPr>
          <w:rFonts w:ascii="Calibri" w:cs="Calibri" w:eastAsia="Calibri" w:hAnsi="Calibri"/>
          <w:sz w:val="22"/>
          <w:szCs w:val="22"/>
          <w:color w:val="FFFFFF"/>
        </w:rPr>
      </w:pPr>
    </w:p>
    <w:p>
      <w:pPr>
        <w:ind w:left="360" w:right="2640" w:hanging="351"/>
        <w:spacing w:after="0" w:line="218" w:lineRule="auto"/>
        <w:tabs>
          <w:tab w:leader="none" w:pos="360" w:val="left"/>
        </w:tabs>
        <w:numPr>
          <w:ilvl w:val="0"/>
          <w:numId w:val="9"/>
        </w:numPr>
        <w:rPr>
          <w:rFonts w:ascii="Calibri" w:cs="Calibri" w:eastAsia="Calibri" w:hAnsi="Calibri"/>
          <w:sz w:val="22"/>
          <w:szCs w:val="22"/>
          <w:color w:val="FFFFFF"/>
        </w:rPr>
      </w:pPr>
      <w:r>
        <w:rPr>
          <w:rFonts w:ascii="Calibri" w:cs="Calibri" w:eastAsia="Calibri" w:hAnsi="Calibri"/>
          <w:sz w:val="22"/>
          <w:szCs w:val="22"/>
          <w:color w:val="FFFFFF"/>
        </w:rPr>
        <w:t xml:space="preserve">New South Wales Government: Health: Coronavirus cases confirmed in NSW </w:t>
      </w:r>
      <w:hyperlink r:id="rId41">
        <w:r>
          <w:rPr>
            <w:rFonts w:ascii="Calibri" w:cs="Calibri" w:eastAsia="Calibri" w:hAnsi="Calibri"/>
            <w:sz w:val="22"/>
            <w:szCs w:val="22"/>
            <w:color w:val="FFFFFF"/>
          </w:rPr>
          <w:t>https://www.health.nsw.gov.au/news/Pages/20200125_03.aspx</w:t>
        </w:r>
      </w:hyperlink>
    </w:p>
    <w:sectPr>
      <w:pgSz w:w="11920" w:h="16841" w:orient="portrait"/>
      <w:cols w:equalWidth="0" w:num="1">
        <w:col w:w="9860"/>
      </w:cols>
      <w:pgMar w:left="1400" w:top="1440" w:right="65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1"/>
      <w:numFmt w:val="decimal"/>
      <w:start w:val="170"/>
    </w:lvl>
  </w:abstractNum>
  <w:abstractNum w:abstractNumId="2">
    <w:nsid w:val="507ED7AB"/>
    <w:multiLevelType w:val="hybridMultilevel"/>
    <w:lvl w:ilvl="0">
      <w:lvlJc w:val="left"/>
      <w:lvlText w:val="%1"/>
      <w:numFmt w:val="decimal"/>
      <w:start w:val="82"/>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2" Type="http://schemas.openxmlformats.org/officeDocument/2006/relationships/image" Target="media/image2.jpeg"/><Relationship Id="rId14" Type="http://schemas.openxmlformats.org/officeDocument/2006/relationships/image" Target="media/image3.jpeg"/><Relationship Id="rId27" Type="http://schemas.openxmlformats.org/officeDocument/2006/relationships/image" Target="media/image4.png"/><Relationship Id="rId9" Type="http://schemas.openxmlformats.org/officeDocument/2006/relationships/hyperlink" Target="https://who.canto.global/s/O2BCI?viewIndex=0" TargetMode="External"/><Relationship Id="rId10" Type="http://schemas.openxmlformats.org/officeDocument/2006/relationships/hyperlink" Target="https://www.who.int/topics/infectious_diseases/naming-new-diseases/en/" TargetMode="External"/><Relationship Id="rId11" Type="http://schemas.openxmlformats.org/officeDocument/2006/relationships/hyperlink" Target="https://www.who.int/classifications/icd/en/" TargetMode="External"/><Relationship Id="rId13" Type="http://schemas.openxmlformats.org/officeDocument/2006/relationships/hyperlink" Target="https://www.who.int/publications-detail/laboratory-testing-for-2019-novel-coronavirus-in-suspected-human-cases-20200117" TargetMode="External"/><Relationship Id="rId15" Type="http://schemas.openxmlformats.org/officeDocument/2006/relationships/hyperlink" Target="https://www.who.int/publications-detail/the-first-few-x-(ffx)-cases-and-contact-investigation-protocol-for-2019-novel-coronavirus-(2019-ncov)-infection" TargetMode="External"/><Relationship Id="rId16" Type="http://schemas.openxmlformats.org/officeDocument/2006/relationships/hyperlink" Target="https://www.who.int/health-topics/coronavirus/laboratory-diagnostics-for-novel-coronavirus" TargetMode="External"/><Relationship Id="rId17" Type="http://schemas.openxmlformats.org/officeDocument/2006/relationships/hyperlink" Target="https://www.who.int/publications-detail/advice-on-the-use-of-masks-the-community-during-home-care-and-in-health-care-settings-in-the-context-of-the-novel-coronavirus-(2019-ncov)-outbreak"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19" Type="http://schemas.openxmlformats.org/officeDocument/2006/relationships/hyperlink" Target="https://www.who.int/publications-detail/infection-prevention-and-control-during-health-care-when-novel-coronavirus-(ncov)-infection-is-suspected" TargetMode="External"/><Relationship Id="rId20" Type="http://schemas.openxmlformats.org/officeDocument/2006/relationships/hyperlink" Target="https://www.who.int/publications-detail/home-care-for-patients-with-suspected-novel-coronavirus-(ncov)-infection-presenting-with-mild-symptoms-and-management-of-contacts" TargetMode="External"/><Relationship Id="rId21" Type="http://schemas.openxmlformats.org/officeDocument/2006/relationships/hyperlink" Target="https://www.who.int/publications-detail/risk-communication-and-community-engagement-readiness-and-initial-response-for-novel-coronaviruses-(-ncov)" TargetMode="External"/><Relationship Id="rId22" Type="http://schemas.openxmlformats.org/officeDocument/2006/relationships/hyperlink" Target="https://www.who.int/publications-detail/disease-commodity-package---novel-coronavirus-(ncov)" TargetMode="External"/><Relationship Id="rId23" Type="http://schemas.openxmlformats.org/officeDocument/2006/relationships/hyperlink" Target="https://www.who.int/health-topics/coronavirus/who-recommendations-to-reduce-risk-of-transmission-of-emerging-pathogens-from-animals-to-humans-in-live-animal-markets" TargetMode="External"/><Relationship Id="rId24" Type="http://schemas.openxmlformats.org/officeDocument/2006/relationships/hyperlink" Target="https://www.who.int/ith/2020-24-01-outbreak-of-Pneumonia-caused-by-new-coronavirus/en/" TargetMode="External"/><Relationship Id="rId25" Type="http://schemas.openxmlformats.org/officeDocument/2006/relationships/hyperlink" Target="https://openwho.org/courses/introduction-to-ncov" TargetMode="External"/><Relationship Id="rId26" Type="http://schemas.openxmlformats.org/officeDocument/2006/relationships/hyperlink" Target="https://www.who.int/publications-detail/household-transmission-investigation-protocol-for-2019-novel-coronavirus-(2019-ncov)-infection" TargetMode="External"/><Relationship Id="rId28" Type="http://schemas.openxmlformats.org/officeDocument/2006/relationships/hyperlink" Target="https://www.who.int/emergencies/diseases/novel-coronavirus-2019" TargetMode="External"/><Relationship Id="rId29" Type="http://schemas.openxmlformats.org/officeDocument/2006/relationships/hyperlink" Target="https://www.who.int/southeastasia/news/detail/27-01-2020-readiness-is-the-key-to-detect-combat-spread-of-the-new-coronavirus" TargetMode="External"/><Relationship Id="rId30" Type="http://schemas.openxmlformats.org/officeDocument/2006/relationships/hyperlink" Target="http://www.emro.who.int/media/news/whos-eastern-mediterranean-region-scales-up-preparedness-for-novel-coronavirus.html" TargetMode="External"/><Relationship Id="rId31" Type="http://schemas.openxmlformats.org/officeDocument/2006/relationships/hyperlink" Target="https://www.cdc.go.kr/board/board.es?mid=a20501000000&amp;bid=0015" TargetMode="External"/><Relationship Id="rId32" Type="http://schemas.openxmlformats.org/officeDocument/2006/relationships/hyperlink" Target="https://www.who.int/csr/don/en/" TargetMode="External"/><Relationship Id="rId33" Type="http://schemas.openxmlformats.org/officeDocument/2006/relationships/hyperlink" Target="https://ddc.moph.go.th/viralpneumonia/index.html" TargetMode="External"/><Relationship Id="rId34" Type="http://schemas.openxmlformats.org/officeDocument/2006/relationships/hyperlink" Target="https://www.mhlw.go.jp/stf/houdou/houdou_list_202001.html" TargetMode="External"/><Relationship Id="rId35" Type="http://schemas.openxmlformats.org/officeDocument/2006/relationships/hyperlink" Target="https://www.mhlw.go.jp/content/10900000/000582967.pdf" TargetMode="External"/><Relationship Id="rId36" Type="http://schemas.openxmlformats.org/officeDocument/2006/relationships/hyperlink" Target="https://www.cdc.gov/media/releases/2020/p0121-novel-coronavirus-travel-case.html" TargetMode="External"/><Relationship Id="rId37" Type="http://schemas.openxmlformats.org/officeDocument/2006/relationships/hyperlink" Target="https://www.info.gov.hk/gia/general/202001/23/P2020012300970.htm" TargetMode="External"/><Relationship Id="rId38" Type="http://schemas.openxmlformats.org/officeDocument/2006/relationships/hyperlink" Target="https://www.ssm.gov.mo/apps1/PreventWuhanInfection/ch.aspx#clg17048" TargetMode="External"/><Relationship Id="rId39" Type="http://schemas.openxmlformats.org/officeDocument/2006/relationships/hyperlink" Target="https://www.moh.gov.sg/news-highlights/details/confirmed-imported-case-of-novel-coronavirus-infection-in-singapore-multi-ministry-taskforce-ramps-up-precautionary-measures" TargetMode="External"/><Relationship Id="rId40" Type="http://schemas.openxmlformats.org/officeDocument/2006/relationships/hyperlink" Target="https://www.cdc.gov/media/releases/2020/p0124-second-travel-coronavirus.html" TargetMode="External"/><Relationship Id="rId41" Type="http://schemas.openxmlformats.org/officeDocument/2006/relationships/hyperlink" Target="https://www.health.nsw.gov.au/news/Pages/20200125_03.asp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2020-03-10T16:40:57Z</dcterms:created>
  <dcterms:modified xsi:type="dcterms:W3CDTF">2020-03-10T16:40:57Z</dcterms:modified>
</cp:coreProperties>
</file>