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4"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r>
    </w:p>
    <w:p>
      <w:pPr>
        <w:ind w:left="200"/>
        <w:spacing w:after="0"/>
        <w:rPr>
          <w:sz w:val="20"/>
          <w:szCs w:val="20"/>
          <w:color w:val="auto"/>
        </w:rPr>
      </w:pPr>
      <w:r>
        <w:rPr>
          <w:rFonts w:ascii="Arial" w:cs="Arial" w:eastAsia="Arial" w:hAnsi="Arial"/>
          <w:sz w:val="48"/>
          <w:szCs w:val="48"/>
          <w:b w:val="1"/>
          <w:bCs w:val="1"/>
          <w:color w:val="FFFFFF"/>
        </w:rPr>
        <w:t>Novel Coronavirus(2019-nCoV)</w:t>
      </w:r>
    </w:p>
    <w:p>
      <w:pPr>
        <w:ind w:left="200"/>
        <w:spacing w:after="0"/>
        <w:rPr>
          <w:sz w:val="20"/>
          <w:szCs w:val="20"/>
          <w:color w:val="auto"/>
        </w:rPr>
      </w:pPr>
      <w:r>
        <w:rPr>
          <w:rFonts w:ascii="Arial" w:cs="Arial" w:eastAsia="Arial" w:hAnsi="Arial"/>
          <w:sz w:val="34"/>
          <w:szCs w:val="34"/>
          <w:b w:val="1"/>
          <w:bCs w:val="1"/>
          <w:color w:val="FFFFFF"/>
        </w:rPr>
        <w:t>Situation Report - 13</w:t>
      </w:r>
    </w:p>
    <w:p>
      <w:pPr>
        <w:spacing w:after="0" w:line="22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2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4954270</wp:posOffset>
                </wp:positionH>
                <wp:positionV relativeFrom="paragraph">
                  <wp:posOffset>76200</wp:posOffset>
                </wp:positionV>
                <wp:extent cx="2305050" cy="415544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155440"/>
                        </a:xfrm>
                        <a:prstGeom prst="rect">
                          <a:avLst/>
                        </a:prstGeom>
                        <a:solidFill>
                          <a:srgbClr val="E9E6D7"/>
                        </a:solidFill>
                      </wps:spPr>
                      <wps:bodyPr/>
                    </wps:wsp>
                  </a:graphicData>
                </a:graphic>
              </wp:anchor>
            </w:drawing>
          </mc:Choice>
          <mc:Fallback>
            <w:pict>
              <v:rect id="Shape 2" o:spid="_x0000_s1027" style="position:absolute;margin-left:390.1pt;margin-top:6pt;width:181.5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-86360</wp:posOffset>
                </wp:positionH>
                <wp:positionV relativeFrom="paragraph">
                  <wp:posOffset>76200</wp:posOffset>
                </wp:positionV>
                <wp:extent cx="5072380" cy="415544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155440"/>
                        </a:xfrm>
                        <a:prstGeom prst="rect">
                          <a:avLst/>
                        </a:prstGeom>
                        <a:solidFill>
                          <a:srgbClr val="FFFFFF"/>
                        </a:solidFill>
                      </wps:spPr>
                      <wps:bodyPr/>
                    </wps:wsp>
                  </a:graphicData>
                </a:graphic>
              </wp:anchor>
            </w:drawing>
          </mc:Choice>
          <mc:Fallback>
            <w:pict>
              <v:rect id="Shape 3" o:spid="_x0000_s1028" style="position:absolute;margin-left:-6.7999pt;margin-top:6pt;width:399.4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73"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00" w:lineRule="exact"/>
        <w:rPr>
          <w:sz w:val="24"/>
          <w:szCs w:val="24"/>
          <w:color w:val="auto"/>
        </w:rPr>
      </w:pPr>
    </w:p>
    <w:p>
      <w:pPr>
        <w:spacing w:after="0" w:line="200" w:lineRule="exact"/>
        <w:rPr>
          <w:sz w:val="24"/>
          <w:szCs w:val="24"/>
          <w:color w:val="auto"/>
        </w:rPr>
      </w:pPr>
    </w:p>
    <w:p>
      <w:pPr>
        <w:spacing w:after="0" w:line="229" w:lineRule="exact"/>
        <w:rPr>
          <w:sz w:val="24"/>
          <w:szCs w:val="24"/>
          <w:color w:val="auto"/>
        </w:rPr>
      </w:pPr>
    </w:p>
    <w:p>
      <w:pPr>
        <w:ind w:left="360" w:hanging="352"/>
        <w:spacing w:after="0" w:line="235" w:lineRule="auto"/>
        <w:tabs>
          <w:tab w:leader="none" w:pos="360"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No new countries have reported cases of 2019-nCoV acute respiratory disease in the last 24 hours.</w:t>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ind w:left="360" w:hanging="352"/>
        <w:spacing w:after="0" w:line="261" w:lineRule="auto"/>
        <w:tabs>
          <w:tab w:leader="none" w:pos="360" w:val="left"/>
        </w:tabs>
        <w:numPr>
          <w:ilvl w:val="0"/>
          <w:numId w:val="1"/>
        </w:numPr>
        <w:rPr>
          <w:rFonts w:ascii="Calibri" w:cs="Calibri" w:eastAsia="Calibri" w:hAnsi="Calibri"/>
          <w:sz w:val="22"/>
          <w:szCs w:val="22"/>
          <w:color w:val="0000FF"/>
        </w:rPr>
      </w:pPr>
      <w:r>
        <w:rPr>
          <w:rFonts w:ascii="Calibri" w:cs="Calibri" w:eastAsia="Calibri" w:hAnsi="Calibri"/>
          <w:sz w:val="22"/>
          <w:szCs w:val="22"/>
          <w:color w:val="auto"/>
        </w:rPr>
        <w:t xml:space="preserve">WHO is receiving information about cases from a number of countries. As additional details become known, WHO requests countries to share information in a timely manner as specified in the guidance on </w:t>
      </w:r>
      <w:hyperlink r:id="rId9">
        <w:r>
          <w:rPr>
            <w:rFonts w:ascii="Calibri" w:cs="Calibri" w:eastAsia="Calibri" w:hAnsi="Calibri"/>
            <w:sz w:val="22"/>
            <w:szCs w:val="22"/>
            <w:u w:val="single" w:color="auto"/>
            <w:color w:val="0000FF"/>
          </w:rPr>
          <w:t>Global Surveillance for human</w:t>
        </w:r>
      </w:hyperlink>
      <w:r>
        <w:rPr>
          <w:rFonts w:ascii="Calibri" w:cs="Calibri" w:eastAsia="Calibri" w:hAnsi="Calibri"/>
          <w:sz w:val="22"/>
          <w:szCs w:val="22"/>
          <w:color w:val="auto"/>
        </w:rPr>
        <w:t xml:space="preserve"> </w:t>
      </w:r>
      <w:hyperlink r:id="rId9">
        <w:r>
          <w:rPr>
            <w:rFonts w:ascii="Calibri" w:cs="Calibri" w:eastAsia="Calibri" w:hAnsi="Calibri"/>
            <w:sz w:val="22"/>
            <w:szCs w:val="22"/>
            <w:u w:val="single" w:color="auto"/>
            <w:color w:val="0000FF"/>
          </w:rPr>
          <w:t>infection with novel coronavirus (2019-nCoV)</w:t>
        </w:r>
        <w:r>
          <w:rPr>
            <w:rFonts w:ascii="Calibri" w:cs="Calibri" w:eastAsia="Calibri" w:hAnsi="Calibri"/>
            <w:sz w:val="22"/>
            <w:szCs w:val="22"/>
            <w:color w:val="000000"/>
          </w:rPr>
          <w:t>.</w:t>
        </w:r>
      </w:hyperlink>
    </w:p>
    <w:p>
      <w:pPr>
        <w:spacing w:after="0" w:line="209" w:lineRule="exact"/>
        <w:rPr>
          <w:rFonts w:ascii="Calibri" w:cs="Calibri" w:eastAsia="Calibri" w:hAnsi="Calibri"/>
          <w:sz w:val="22"/>
          <w:szCs w:val="22"/>
          <w:color w:val="0000FF"/>
        </w:rPr>
      </w:pPr>
    </w:p>
    <w:p>
      <w:pPr>
        <w:ind w:left="360" w:right="500" w:hanging="352"/>
        <w:spacing w:after="0" w:line="236" w:lineRule="auto"/>
        <w:tabs>
          <w:tab w:leader="none" w:pos="360"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The first death has been reported outside of China, in the Philippines. The patient was a close contact of the first patient confirmed in the Philippines.</w:t>
      </w:r>
    </w:p>
    <w:p>
      <w:pPr>
        <w:spacing w:after="0" w:line="376" w:lineRule="exact"/>
        <w:rPr>
          <w:rFonts w:ascii="Arial" w:cs="Arial" w:eastAsia="Arial" w:hAnsi="Arial"/>
          <w:sz w:val="18"/>
          <w:szCs w:val="18"/>
          <w:color w:val="auto"/>
        </w:rPr>
      </w:pPr>
    </w:p>
    <w:p>
      <w:pPr>
        <w:jc w:val="both"/>
        <w:ind w:left="360" w:right="360" w:hanging="352"/>
        <w:spacing w:after="0" w:line="253" w:lineRule="auto"/>
        <w:tabs>
          <w:tab w:leader="none" w:pos="360"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Due to the high demand for timely and trustworthy information about 2019-nCoV WHO technical risk communication and social media teams have been working closely to track and respond to myths and rumours.</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59"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8" w:lineRule="exact"/>
        <w:rPr>
          <w:rFonts w:ascii="Arial" w:cs="Arial" w:eastAsia="Arial" w:hAnsi="Arial"/>
          <w:sz w:val="18"/>
          <w:szCs w:val="18"/>
          <w:color w:val="auto"/>
        </w:rPr>
      </w:pPr>
    </w:p>
    <w:p>
      <w:pPr>
        <w:ind w:right="16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rFonts w:ascii="Arial" w:cs="Arial" w:eastAsia="Arial" w:hAnsi="Arial"/>
          <w:sz w:val="18"/>
          <w:szCs w:val="18"/>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spacing w:after="0" w:line="12" w:lineRule="exact"/>
        <w:rPr>
          <w:rFonts w:ascii="Arial" w:cs="Arial" w:eastAsia="Arial" w:hAnsi="Arial"/>
          <w:sz w:val="18"/>
          <w:szCs w:val="18"/>
          <w:color w:val="auto"/>
        </w:rPr>
      </w:pPr>
    </w:p>
    <w:p>
      <w:pPr>
        <w:ind w:left="120"/>
        <w:spacing w:after="0"/>
        <w:rPr>
          <w:sz w:val="20"/>
          <w:szCs w:val="20"/>
          <w:color w:val="auto"/>
        </w:rPr>
      </w:pPr>
      <w:r>
        <w:rPr>
          <w:rFonts w:ascii="Calibri" w:cs="Calibri" w:eastAsia="Calibri" w:hAnsi="Calibri"/>
          <w:sz w:val="23"/>
          <w:szCs w:val="23"/>
          <w:color w:val="FF6600"/>
        </w:rPr>
        <w:t>14557 confirmed (2604 new)</w:t>
      </w:r>
    </w:p>
    <w:p>
      <w:pPr>
        <w:spacing w:after="0" w:line="293" w:lineRule="exact"/>
        <w:rPr>
          <w:rFonts w:ascii="Arial" w:cs="Arial" w:eastAsia="Arial" w:hAnsi="Arial"/>
          <w:sz w:val="18"/>
          <w:szCs w:val="18"/>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spacing w:after="0" w:line="12" w:lineRule="exact"/>
        <w:rPr>
          <w:rFonts w:ascii="Arial" w:cs="Arial" w:eastAsia="Arial" w:hAnsi="Arial"/>
          <w:sz w:val="18"/>
          <w:szCs w:val="18"/>
          <w:color w:val="auto"/>
        </w:rPr>
      </w:pPr>
    </w:p>
    <w:p>
      <w:pPr>
        <w:ind w:left="120"/>
        <w:spacing w:after="0"/>
        <w:rPr>
          <w:sz w:val="20"/>
          <w:szCs w:val="20"/>
          <w:color w:val="auto"/>
        </w:rPr>
      </w:pPr>
      <w:r>
        <w:rPr>
          <w:rFonts w:ascii="Calibri" w:cs="Calibri" w:eastAsia="Calibri" w:hAnsi="Calibri"/>
          <w:sz w:val="23"/>
          <w:szCs w:val="23"/>
          <w:color w:val="FF6600"/>
        </w:rPr>
        <w:t>14411 confirmed (2590 new)</w:t>
      </w:r>
    </w:p>
    <w:p>
      <w:pPr>
        <w:ind w:left="220"/>
        <w:spacing w:after="0"/>
        <w:rPr>
          <w:sz w:val="20"/>
          <w:szCs w:val="20"/>
          <w:color w:val="auto"/>
        </w:rPr>
      </w:pPr>
      <w:r>
        <w:rPr>
          <w:rFonts w:ascii="Calibri" w:cs="Calibri" w:eastAsia="Calibri" w:hAnsi="Calibri"/>
          <w:sz w:val="24"/>
          <w:szCs w:val="24"/>
          <w:color w:val="FF6600"/>
        </w:rPr>
        <w:t>2110 severe (315 new)</w:t>
      </w:r>
    </w:p>
    <w:p>
      <w:pPr>
        <w:ind w:left="340"/>
        <w:spacing w:after="0"/>
        <w:rPr>
          <w:sz w:val="20"/>
          <w:szCs w:val="20"/>
          <w:color w:val="auto"/>
        </w:rPr>
      </w:pPr>
      <w:r>
        <w:rPr>
          <w:rFonts w:ascii="Calibri" w:cs="Calibri" w:eastAsia="Calibri" w:hAnsi="Calibri"/>
          <w:sz w:val="24"/>
          <w:szCs w:val="24"/>
          <w:color w:val="FF6600"/>
        </w:rPr>
        <w:t>304 deaths (45 new)</w:t>
      </w:r>
    </w:p>
    <w:p>
      <w:pPr>
        <w:spacing w:after="0" w:line="295" w:lineRule="exact"/>
        <w:rPr>
          <w:rFonts w:ascii="Arial" w:cs="Arial" w:eastAsia="Arial" w:hAnsi="Arial"/>
          <w:sz w:val="18"/>
          <w:szCs w:val="18"/>
          <w:color w:val="auto"/>
        </w:rPr>
      </w:pPr>
    </w:p>
    <w:p>
      <w:pPr>
        <w:ind w:left="180"/>
        <w:spacing w:after="0"/>
        <w:rPr>
          <w:sz w:val="20"/>
          <w:szCs w:val="20"/>
          <w:color w:val="auto"/>
        </w:rPr>
      </w:pPr>
      <w:r>
        <w:rPr>
          <w:rFonts w:ascii="Calibri" w:cs="Calibri" w:eastAsia="Calibri" w:hAnsi="Calibri"/>
          <w:sz w:val="24"/>
          <w:szCs w:val="24"/>
          <w:b w:val="1"/>
          <w:bCs w:val="1"/>
          <w:color w:val="FF6600"/>
        </w:rPr>
        <w:t>Outside of China</w:t>
      </w:r>
    </w:p>
    <w:p>
      <w:pPr>
        <w:ind w:left="340"/>
        <w:spacing w:after="0"/>
        <w:rPr>
          <w:sz w:val="20"/>
          <w:szCs w:val="20"/>
          <w:color w:val="auto"/>
        </w:rPr>
      </w:pPr>
      <w:r>
        <w:rPr>
          <w:rFonts w:ascii="Calibri" w:cs="Calibri" w:eastAsia="Calibri" w:hAnsi="Calibri"/>
          <w:sz w:val="24"/>
          <w:szCs w:val="24"/>
          <w:color w:val="FF6600"/>
        </w:rPr>
        <w:t>146 confirmed (14 new)</w:t>
      </w:r>
    </w:p>
    <w:p>
      <w:pPr>
        <w:ind w:left="840" w:hanging="288"/>
        <w:spacing w:after="0"/>
        <w:tabs>
          <w:tab w:leader="none" w:pos="84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720"/>
        <w:spacing w:after="0"/>
        <w:rPr>
          <w:rFonts w:ascii="Calibri" w:cs="Calibri" w:eastAsia="Calibri" w:hAnsi="Calibri"/>
          <w:sz w:val="24"/>
          <w:szCs w:val="24"/>
          <w:color w:val="FF6600"/>
        </w:rPr>
      </w:pPr>
      <w:r>
        <w:rPr>
          <w:rFonts w:ascii="Calibri" w:cs="Calibri" w:eastAsia="Calibri" w:hAnsi="Calibri"/>
          <w:sz w:val="24"/>
          <w:szCs w:val="24"/>
          <w:color w:val="FF6600"/>
        </w:rPr>
        <w:t>1 death</w:t>
      </w:r>
    </w:p>
    <w:p>
      <w:pPr>
        <w:spacing w:after="0" w:line="292" w:lineRule="exact"/>
        <w:rPr>
          <w:rFonts w:ascii="Arial" w:cs="Arial" w:eastAsia="Arial" w:hAnsi="Arial"/>
          <w:sz w:val="18"/>
          <w:szCs w:val="18"/>
          <w:color w:val="auto"/>
        </w:rPr>
      </w:pPr>
    </w:p>
    <w:p>
      <w:pPr>
        <w:jc w:val="center"/>
        <w:ind w:right="34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Arial" w:cs="Arial" w:eastAsia="Arial" w:hAnsi="Arial"/>
          <w:sz w:val="18"/>
          <w:szCs w:val="18"/>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rFonts w:ascii="Arial" w:cs="Arial" w:eastAsia="Arial" w:hAnsi="Arial"/>
          <w:sz w:val="18"/>
          <w:szCs w:val="18"/>
          <w:color w:val="auto"/>
        </w:rPr>
      </w:pPr>
    </w:p>
    <w:p>
      <w:pPr>
        <w:sectPr>
          <w:pgSz w:w="11920" w:h="16985" w:orient="portrait"/>
          <w:cols w:equalWidth="0" w:num="2">
            <w:col w:w="7580" w:space="360"/>
            <w:col w:w="2960"/>
          </w:cols>
          <w:pgMar w:left="400" w:top="520" w:right="611" w:bottom="0" w:gutter="0" w:footer="0" w:header="0"/>
        </w:sectPr>
      </w:pPr>
    </w:p>
    <w:p>
      <w:pPr>
        <w:spacing w:after="0" w:line="70" w:lineRule="exact"/>
        <w:rPr>
          <w:rFonts w:ascii="Arial" w:cs="Arial" w:eastAsia="Arial" w:hAnsi="Arial"/>
          <w:sz w:val="18"/>
          <w:szCs w:val="18"/>
          <w:color w:val="auto"/>
        </w:rPr>
      </w:pPr>
    </w:p>
    <w:p>
      <w:pPr>
        <w:ind w:left="500"/>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2019-nCoV, 2 February 2020</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313055</wp:posOffset>
            </wp:positionH>
            <wp:positionV relativeFrom="paragraph">
              <wp:posOffset>28575</wp:posOffset>
            </wp:positionV>
            <wp:extent cx="6447790" cy="43980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6447790" cy="4398010"/>
                    </a:xfrm>
                    <a:prstGeom prst="rect">
                      <a:avLst/>
                    </a:prstGeom>
                    <a:noFill/>
                  </pic:spPr>
                </pic:pic>
              </a:graphicData>
            </a:graphic>
          </wp:anchor>
        </w:drawing>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93" w:lineRule="exact"/>
        <w:rPr>
          <w:rFonts w:ascii="Arial" w:cs="Arial" w:eastAsia="Arial" w:hAnsi="Arial"/>
          <w:sz w:val="18"/>
          <w:szCs w:val="18"/>
          <w:color w:val="auto"/>
        </w:rPr>
      </w:pPr>
    </w:p>
    <w:p>
      <w:pPr>
        <w:jc w:val="right"/>
        <w:spacing w:after="0"/>
        <w:rPr>
          <w:sz w:val="20"/>
          <w:szCs w:val="20"/>
          <w:color w:val="auto"/>
        </w:rPr>
      </w:pPr>
      <w:r>
        <w:rPr>
          <w:rFonts w:ascii="Calibri" w:cs="Calibri" w:eastAsia="Calibri" w:hAnsi="Calibri"/>
          <w:sz w:val="16"/>
          <w:szCs w:val="16"/>
          <w:color w:val="auto"/>
        </w:rPr>
        <w:t>*The situation report includes information reported to WHO Geneva by 10 AM</w:t>
      </w:r>
    </w:p>
    <w:p>
      <w:pPr>
        <w:sectPr>
          <w:pgSz w:w="11920" w:h="16985" w:orient="portrait"/>
          <w:cols w:equalWidth="0" w:num="1">
            <w:col w:w="10900"/>
          </w:cols>
          <w:pgMar w:left="400" w:top="520" w:right="611" w:bottom="0" w:gutter="0" w:footer="0" w:header="0"/>
          <w:type w:val="continuous"/>
        </w:sectPr>
      </w:pPr>
    </w:p>
    <w:bookmarkStart w:id="1" w:name="page2"/>
    <w:bookmarkEnd w:id="1"/>
    <w:p>
      <w:pPr>
        <w:spacing w:after="0" w:line="84"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TECHNICAL FOCUS: Risk communication and community engagement</w:t>
      </w:r>
    </w:p>
    <w:p>
      <w:pPr>
        <w:spacing w:after="0" w:line="338"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Managing the 2019-nCoV ‘infodemic’</w:t>
      </w:r>
    </w:p>
    <w:p>
      <w:pPr>
        <w:spacing w:after="0" w:line="400" w:lineRule="exact"/>
        <w:rPr>
          <w:sz w:val="20"/>
          <w:szCs w:val="20"/>
          <w:color w:val="auto"/>
        </w:rPr>
      </w:pPr>
    </w:p>
    <w:p>
      <w:pPr>
        <w:ind w:right="160"/>
        <w:spacing w:after="0" w:line="253" w:lineRule="auto"/>
        <w:rPr>
          <w:sz w:val="20"/>
          <w:szCs w:val="20"/>
          <w:color w:val="auto"/>
        </w:rPr>
      </w:pPr>
      <w:r>
        <w:rPr>
          <w:rFonts w:ascii="Calibri" w:cs="Calibri" w:eastAsia="Calibri" w:hAnsi="Calibri"/>
          <w:sz w:val="22"/>
          <w:szCs w:val="22"/>
          <w:color w:val="auto"/>
        </w:rPr>
        <w:t>The 2019-nCoV outbreak and response has been accompanied by a massive ‘infodemic’ - an over-abundance of information – some accurate and some not – that makes it hard for people to find trustworthy sources and reliable guidance when they need it.</w:t>
      </w:r>
    </w:p>
    <w:p>
      <w:pPr>
        <w:spacing w:after="0" w:line="384" w:lineRule="exact"/>
        <w:rPr>
          <w:sz w:val="20"/>
          <w:szCs w:val="20"/>
          <w:color w:val="auto"/>
        </w:rPr>
      </w:pPr>
    </w:p>
    <w:p>
      <w:pPr>
        <w:ind w:right="180"/>
        <w:spacing w:after="0" w:line="268" w:lineRule="auto"/>
        <w:rPr>
          <w:rFonts w:ascii="Calibri" w:cs="Calibri" w:eastAsia="Calibri" w:hAnsi="Calibri"/>
          <w:sz w:val="22"/>
          <w:szCs w:val="22"/>
          <w:color w:val="0000FF"/>
        </w:rPr>
      </w:pPr>
      <w:r>
        <w:rPr>
          <w:rFonts w:ascii="Calibri" w:cs="Calibri" w:eastAsia="Calibri" w:hAnsi="Calibri"/>
          <w:sz w:val="22"/>
          <w:szCs w:val="22"/>
          <w:color w:val="auto"/>
        </w:rPr>
        <w:t xml:space="preserve">Due to the high demand for timely and trustworthy information about 2019-nCoV, WHO technical risk communication and social media teams have been working closely to track and respond to myths and rumours. Through its headquarters in Geneva, its six regional offices and its partners, the Organization is working 24 hours a day to identify the most prevalent rumours that can potentially harm the public’s health, such as false prevention measures or cures. These myths are then refuted with evidence-based information. WHO is making public health information and advice on the 2019-nCoV, including myth busters, available on its social media channels (including </w:t>
      </w:r>
      <w:hyperlink r:id="rId11">
        <w:r>
          <w:rPr>
            <w:rFonts w:ascii="Calibri" w:cs="Calibri" w:eastAsia="Calibri" w:hAnsi="Calibri"/>
            <w:sz w:val="22"/>
            <w:szCs w:val="22"/>
            <w:u w:val="single" w:color="auto"/>
            <w:color w:val="0000FF"/>
          </w:rPr>
          <w:t>Weibo</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2">
        <w:r>
          <w:rPr>
            <w:rFonts w:ascii="Calibri" w:cs="Calibri" w:eastAsia="Calibri" w:hAnsi="Calibri"/>
            <w:sz w:val="22"/>
            <w:szCs w:val="22"/>
            <w:u w:val="single" w:color="auto"/>
            <w:color w:val="0000FF"/>
          </w:rPr>
          <w:t>Twitter</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13">
        <w:r>
          <w:rPr>
            <w:rFonts w:ascii="Calibri" w:cs="Calibri" w:eastAsia="Calibri" w:hAnsi="Calibri"/>
            <w:sz w:val="22"/>
            <w:szCs w:val="22"/>
            <w:u w:val="single" w:color="auto"/>
            <w:color w:val="0000FF"/>
          </w:rPr>
          <w:t>Facebook</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14">
        <w:r>
          <w:rPr>
            <w:rFonts w:ascii="Calibri" w:cs="Calibri" w:eastAsia="Calibri" w:hAnsi="Calibri"/>
            <w:sz w:val="22"/>
            <w:szCs w:val="22"/>
            <w:u w:val="single" w:color="auto"/>
            <w:color w:val="0000FF"/>
          </w:rPr>
          <w:t xml:space="preserve">Instagram, </w:t>
        </w:r>
      </w:hyperlink>
      <w:hyperlink r:id="rId15">
        <w:r>
          <w:rPr>
            <w:rFonts w:ascii="Calibri" w:cs="Calibri" w:eastAsia="Calibri" w:hAnsi="Calibri"/>
            <w:sz w:val="22"/>
            <w:szCs w:val="22"/>
            <w:u w:val="single" w:color="auto"/>
            <w:color w:val="0000FF"/>
          </w:rPr>
          <w:t xml:space="preserve">LinkedIn, </w:t>
        </w:r>
      </w:hyperlink>
      <w:hyperlink r:id="rId16">
        <w:r>
          <w:rPr>
            <w:rFonts w:ascii="Calibri" w:cs="Calibri" w:eastAsia="Calibri" w:hAnsi="Calibri"/>
            <w:sz w:val="22"/>
            <w:szCs w:val="22"/>
            <w:u w:val="single" w:color="auto"/>
            <w:color w:val="0000FF"/>
          </w:rPr>
          <w:t>Pinterest</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FF"/>
        </w:rPr>
        <w:t xml:space="preserve">and </w:t>
      </w:r>
      <w:hyperlink r:id="rId17">
        <w:r>
          <w:rPr>
            <w:rFonts w:ascii="Calibri" w:cs="Calibri" w:eastAsia="Calibri" w:hAnsi="Calibri"/>
            <w:sz w:val="22"/>
            <w:szCs w:val="22"/>
            <w:u w:val="single" w:color="auto"/>
            <w:color w:val="0000FF"/>
          </w:rPr>
          <w:t>website</w:t>
        </w:r>
        <w:r>
          <w:rPr>
            <w:rFonts w:ascii="Calibri" w:cs="Calibri" w:eastAsia="Calibri" w:hAnsi="Calibri"/>
            <w:sz w:val="22"/>
            <w:szCs w:val="22"/>
            <w:u w:val="single" w:color="auto"/>
            <w:color w:val="000000"/>
          </w:rPr>
          <w:t>.</w:t>
        </w:r>
      </w:hyperlink>
    </w:p>
    <w:p>
      <w:pPr>
        <w:spacing w:after="0" w:line="324" w:lineRule="exact"/>
        <w:rPr>
          <w:rFonts w:ascii="Calibri" w:cs="Calibri" w:eastAsia="Calibri" w:hAnsi="Calibri"/>
          <w:sz w:val="22"/>
          <w:szCs w:val="22"/>
          <w:color w:val="0000FF"/>
        </w:rPr>
      </w:pPr>
    </w:p>
    <w:p>
      <w:pPr>
        <w:spacing w:after="0"/>
        <w:rPr>
          <w:sz w:val="20"/>
          <w:szCs w:val="20"/>
          <w:color w:val="auto"/>
        </w:rPr>
      </w:pPr>
      <w:r>
        <w:rPr>
          <w:rFonts w:ascii="Calibri" w:cs="Calibri" w:eastAsia="Calibri" w:hAnsi="Calibri"/>
          <w:sz w:val="22"/>
          <w:szCs w:val="22"/>
          <w:b w:val="1"/>
          <w:bCs w:val="1"/>
          <w:color w:val="auto"/>
        </w:rPr>
        <w:t>Country risk communication and community engagement (RCCE) preparedness and response</w:t>
      </w:r>
    </w:p>
    <w:p>
      <w:pPr>
        <w:spacing w:after="0" w:line="397" w:lineRule="exact"/>
        <w:rPr>
          <w:rFonts w:ascii="Calibri" w:cs="Calibri" w:eastAsia="Calibri" w:hAnsi="Calibri"/>
          <w:sz w:val="22"/>
          <w:szCs w:val="22"/>
          <w:color w:val="0000FF"/>
        </w:rPr>
      </w:pPr>
    </w:p>
    <w:p>
      <w:pPr>
        <w:ind w:right="20"/>
        <w:spacing w:after="0" w:line="268" w:lineRule="auto"/>
        <w:rPr>
          <w:sz w:val="20"/>
          <w:szCs w:val="20"/>
          <w:color w:val="auto"/>
        </w:rPr>
      </w:pPr>
      <w:r>
        <w:rPr>
          <w:rFonts w:ascii="Calibri" w:cs="Calibri" w:eastAsia="Calibri" w:hAnsi="Calibri"/>
          <w:sz w:val="22"/>
          <w:szCs w:val="22"/>
          <w:color w:val="auto"/>
        </w:rPr>
        <w:t>Country risk communication and community engagement (RCCE) is a critical public health intervention in all countries. Countries should prepare to communicate rapidly, regularly and transparently with the population. All countries should prepare existing public health communication networks, media and community engagement staff to be ready for a possible case, and for the appropriate response if this happens. Countries should coordinate communications with other response organizations and include the community in response operations. WHO stands ready to coordinate with partners to support countries in their communication and community engagement response.</w:t>
      </w:r>
    </w:p>
    <w:p>
      <w:pPr>
        <w:spacing w:after="0" w:line="324" w:lineRule="exact"/>
        <w:rPr>
          <w:rFonts w:ascii="Calibri" w:cs="Calibri" w:eastAsia="Calibri" w:hAnsi="Calibri"/>
          <w:sz w:val="22"/>
          <w:szCs w:val="22"/>
          <w:color w:val="0000FF"/>
        </w:rPr>
      </w:pPr>
    </w:p>
    <w:p>
      <w:pPr>
        <w:spacing w:after="0"/>
        <w:rPr>
          <w:sz w:val="20"/>
          <w:szCs w:val="20"/>
          <w:color w:val="auto"/>
        </w:rPr>
      </w:pPr>
      <w:r>
        <w:rPr>
          <w:rFonts w:ascii="Calibri" w:cs="Calibri" w:eastAsia="Calibri" w:hAnsi="Calibri"/>
          <w:sz w:val="22"/>
          <w:szCs w:val="22"/>
          <w:b w:val="1"/>
          <w:bCs w:val="1"/>
          <w:color w:val="auto"/>
        </w:rPr>
        <w:t>Ensuring a people-centered response to 2019-nCoV</w:t>
      </w:r>
    </w:p>
    <w:p>
      <w:pPr>
        <w:spacing w:after="0" w:line="397" w:lineRule="exact"/>
        <w:rPr>
          <w:rFonts w:ascii="Calibri" w:cs="Calibri" w:eastAsia="Calibri" w:hAnsi="Calibri"/>
          <w:sz w:val="22"/>
          <w:szCs w:val="22"/>
          <w:color w:val="0000FF"/>
        </w:rPr>
      </w:pPr>
    </w:p>
    <w:p>
      <w:pPr>
        <w:spacing w:after="0" w:line="267" w:lineRule="auto"/>
        <w:rPr>
          <w:sz w:val="20"/>
          <w:szCs w:val="20"/>
          <w:color w:val="auto"/>
        </w:rPr>
      </w:pPr>
      <w:r>
        <w:rPr>
          <w:rFonts w:ascii="Calibri" w:cs="Calibri" w:eastAsia="Calibri" w:hAnsi="Calibri"/>
          <w:sz w:val="22"/>
          <w:szCs w:val="22"/>
          <w:color w:val="auto"/>
        </w:rPr>
        <w:t>An expanding group of global response organization such as the United Nations Children’s Fund (UNICEF) and the International Federation of Red Cross and Red Crescent Societies (IFRC) are coordinating efforts with WHO to ensure that biomedical recommendations can be applied at the community level. These organizations are active at the global, regional and country level to ensure that affected populations have a voice and are part of the response. Ensuring that global recommendations and communication are tested, adapted and localized will help countries better control the 2019-nCoV outbreak.</w:t>
      </w:r>
    </w:p>
    <w:p>
      <w:pPr>
        <w:sectPr>
          <w:pgSz w:w="11920" w:h="16841" w:orient="portrait"/>
          <w:cols w:equalWidth="0" w:num="1">
            <w:col w:w="10420"/>
          </w:cols>
          <w:pgMar w:left="720" w:top="1440" w:right="771" w:bottom="1440"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spacing w:after="0" w:line="218" w:lineRule="auto"/>
        <w:rPr>
          <w:sz w:val="20"/>
          <w:szCs w:val="20"/>
          <w:color w:val="auto"/>
        </w:rPr>
      </w:pPr>
      <w:r>
        <w:rPr>
          <w:rFonts w:ascii="Calibri" w:cs="Calibri" w:eastAsia="Calibri" w:hAnsi="Calibri"/>
          <w:sz w:val="22"/>
          <w:szCs w:val="22"/>
          <w:b w:val="1"/>
          <w:bCs w:val="1"/>
          <w:color w:val="007AB0"/>
        </w:rPr>
        <w:t>Table 1. Confirmed cases of 2019-nCoV acute respiratory disease reported by provinces, regions and cities in China, 2 February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185420</wp:posOffset>
                </wp:positionV>
                <wp:extent cx="12700" cy="1333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FFFFFF"/>
                        </a:solidFill>
                      </wps:spPr>
                      <wps:bodyPr/>
                    </wps:wsp>
                  </a:graphicData>
                </a:graphic>
              </wp:anchor>
            </w:drawing>
          </mc:Choice>
          <mc:Fallback>
            <w:pict>
              <v:rect id="Shape 5" o:spid="_x0000_s1030" style="position:absolute;margin-left:230.65pt;margin-top:14.6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386080</wp:posOffset>
                </wp:positionV>
                <wp:extent cx="61093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4pt" to="481.05pt,30.4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1400175</wp:posOffset>
                </wp:positionV>
                <wp:extent cx="61093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0.25pt" to="481.05pt,110.2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2209800</wp:posOffset>
                </wp:positionV>
                <wp:extent cx="61093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4pt" to="481.05pt,174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3828415</wp:posOffset>
                </wp:positionV>
                <wp:extent cx="61093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1.45pt" to="481.05pt,301.4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4232275</wp:posOffset>
                </wp:positionV>
                <wp:extent cx="61093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3.25pt" to="481.05pt,333.2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5041265</wp:posOffset>
                </wp:positionV>
                <wp:extent cx="61093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6.95pt" to="481.05pt,396.9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5648325</wp:posOffset>
                </wp:positionV>
                <wp:extent cx="61093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4.75pt" to="481.05pt,444.7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6053455</wp:posOffset>
                </wp:positionV>
                <wp:extent cx="61093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6.65pt" to="481.05pt,476.6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6660515</wp:posOffset>
                </wp:positionV>
                <wp:extent cx="61093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4.45pt" to="481.05pt,524.4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7266940</wp:posOffset>
                </wp:positionV>
                <wp:extent cx="61093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2.2pt" to="481.05pt,572.2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174625</wp:posOffset>
                </wp:positionV>
                <wp:extent cx="0" cy="728916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8916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3.75pt" to="0.45pt,587.7pt" o:allowincell="f" strokecolor="#FFFFFF" strokeweight="0.9599pt"/>
            </w:pict>
          </mc:Fallback>
        </mc:AlternateContent>
      </w:r>
    </w:p>
    <w:p>
      <w:pPr>
        <w:spacing w:after="0" w:line="275" w:lineRule="exact"/>
        <w:rPr>
          <w:sz w:val="20"/>
          <w:szCs w:val="20"/>
          <w:color w:val="auto"/>
        </w:rPr>
      </w:pPr>
    </w:p>
    <w:tbl>
      <w:tblPr>
        <w:tblLayout w:type="fixed"/>
        <w:tblInd w:w="0" w:type="dxa"/>
        <w:tblCellMar>
          <w:top w:w="0" w:type="dxa"/>
          <w:left w:w="0" w:type="dxa"/>
          <w:bottom w:w="0" w:type="dxa"/>
          <w:right w:w="0" w:type="dxa"/>
        </w:tblCellMar>
      </w:tblPr>
      <w:tr>
        <w:trPr>
          <w:trHeight w:val="268"/>
        </w:trPr>
        <w:tc>
          <w:tcPr>
            <w:tcW w:w="20" w:type="dxa"/>
            <w:vAlign w:val="bottom"/>
            <w:tcBorders>
              <w:bottom w:val="single" w:sz="8" w:color="4F81BD"/>
            </w:tcBorders>
          </w:tcPr>
          <w:p>
            <w:pPr>
              <w:spacing w:after="0"/>
              <w:rPr>
                <w:sz w:val="23"/>
                <w:szCs w:val="23"/>
                <w:color w:val="auto"/>
              </w:rPr>
            </w:pPr>
          </w:p>
        </w:tc>
        <w:tc>
          <w:tcPr>
            <w:tcW w:w="4600" w:type="dxa"/>
            <w:vAlign w:val="bottom"/>
            <w:tcBorders>
              <w:bottom w:val="single" w:sz="8" w:color="4F81BD"/>
            </w:tcBorders>
            <w:shd w:val="clear" w:color="auto" w:fill="4F81BD"/>
          </w:tcPr>
          <w:p>
            <w:pPr>
              <w:spacing w:after="0"/>
              <w:rPr>
                <w:sz w:val="20"/>
                <w:szCs w:val="20"/>
                <w:color w:val="auto"/>
              </w:rPr>
            </w:pPr>
            <w:r>
              <w:rPr>
                <w:rFonts w:ascii="Arial" w:cs="Arial" w:eastAsia="Arial" w:hAnsi="Arial"/>
                <w:sz w:val="22"/>
                <w:szCs w:val="22"/>
                <w:b w:val="1"/>
                <w:bCs w:val="1"/>
                <w:color w:val="FFFFFF"/>
              </w:rPr>
              <w:t>Province/Region/City</w:t>
            </w:r>
          </w:p>
        </w:tc>
        <w:tc>
          <w:tcPr>
            <w:tcW w:w="20" w:type="dxa"/>
            <w:vAlign w:val="bottom"/>
            <w:tcBorders>
              <w:bottom w:val="single" w:sz="8" w:color="4F81BD"/>
            </w:tcBorders>
          </w:tcPr>
          <w:p>
            <w:pPr>
              <w:spacing w:after="0"/>
              <w:rPr>
                <w:sz w:val="23"/>
                <w:szCs w:val="23"/>
                <w:color w:val="auto"/>
              </w:rPr>
            </w:pPr>
          </w:p>
        </w:tc>
        <w:tc>
          <w:tcPr>
            <w:tcW w:w="4960" w:type="dxa"/>
            <w:vAlign w:val="bottom"/>
            <w:tcBorders>
              <w:bottom w:val="single" w:sz="8" w:color="4F81BD"/>
            </w:tcBorders>
            <w:shd w:val="clear" w:color="auto" w:fill="4F81BD"/>
          </w:tcPr>
          <w:p>
            <w:pPr>
              <w:ind w:left="1580"/>
              <w:spacing w:after="0"/>
              <w:rPr>
                <w:sz w:val="20"/>
                <w:szCs w:val="20"/>
                <w:color w:val="auto"/>
              </w:rPr>
            </w:pPr>
            <w:r>
              <w:rPr>
                <w:rFonts w:ascii="Arial" w:cs="Arial" w:eastAsia="Arial" w:hAnsi="Arial"/>
                <w:sz w:val="22"/>
                <w:szCs w:val="22"/>
                <w:b w:val="1"/>
                <w:bCs w:val="1"/>
                <w:color w:val="FFFFFF"/>
              </w:rPr>
              <w:t>Confirmed Cases</w:t>
            </w:r>
          </w:p>
        </w:tc>
        <w:tc>
          <w:tcPr>
            <w:tcW w:w="20" w:type="dxa"/>
            <w:vAlign w:val="bottom"/>
            <w:tcBorders>
              <w:bottom w:val="single" w:sz="8" w:color="4F81BD"/>
            </w:tcBorders>
          </w:tcPr>
          <w:p>
            <w:pPr>
              <w:spacing w:after="0"/>
              <w:rPr>
                <w:sz w:val="23"/>
                <w:szCs w:val="23"/>
                <w:color w:val="auto"/>
              </w:rPr>
            </w:pPr>
          </w:p>
        </w:tc>
      </w:tr>
      <w:tr>
        <w:trPr>
          <w:trHeight w:val="41"/>
        </w:trPr>
        <w:tc>
          <w:tcPr>
            <w:tcW w:w="20" w:type="dxa"/>
            <w:vAlign w:val="bottom"/>
          </w:tcPr>
          <w:p>
            <w:pPr>
              <w:spacing w:after="0"/>
              <w:rPr>
                <w:sz w:val="3"/>
                <w:szCs w:val="3"/>
                <w:color w:val="auto"/>
              </w:rPr>
            </w:pPr>
          </w:p>
        </w:tc>
        <w:tc>
          <w:tcPr>
            <w:tcW w:w="4600" w:type="dxa"/>
            <w:vAlign w:val="bottom"/>
          </w:tcPr>
          <w:p>
            <w:pPr>
              <w:spacing w:after="0"/>
              <w:rPr>
                <w:sz w:val="3"/>
                <w:szCs w:val="3"/>
                <w:color w:val="auto"/>
              </w:rPr>
            </w:pPr>
          </w:p>
        </w:tc>
        <w:tc>
          <w:tcPr>
            <w:tcW w:w="4980" w:type="dxa"/>
            <w:vAlign w:val="bottom"/>
            <w:gridSpan w:val="2"/>
          </w:tcPr>
          <w:p>
            <w:pPr>
              <w:spacing w:after="0"/>
              <w:rPr>
                <w:sz w:val="3"/>
                <w:szCs w:val="3"/>
                <w:color w:val="auto"/>
              </w:rPr>
            </w:pPr>
          </w:p>
        </w:tc>
        <w:tc>
          <w:tcPr>
            <w:tcW w:w="20" w:type="dxa"/>
            <w:vAlign w:val="bottom"/>
          </w:tcPr>
          <w:p>
            <w:pPr>
              <w:spacing w:after="0"/>
              <w:rPr>
                <w:sz w:val="3"/>
                <w:szCs w:val="3"/>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Hubei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9074</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Zhejiang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661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Guangdong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604</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Henan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493</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463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Anhui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340</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Jiangxi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333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80"/>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Chongqing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262</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Sichuan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236</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Jiangsu</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231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Shandong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225</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Beijing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183</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Shanghai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177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Fujian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159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Shaanxi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116</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Guangxi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111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Hebei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104</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7"/>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Yunnan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99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80"/>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Heilongjiang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95</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Liaoning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64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Hainan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63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Shanxi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56</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Gansu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45</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Tianjin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40</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Guizhou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38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Ningxia</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28</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Inner Mongolia</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26</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Xinjiang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23</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Jilin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21</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Hong Kong SAR</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14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Taipei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Qinghai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Macau SAR</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Xizang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b w:val="1"/>
                <w:bCs w:val="1"/>
                <w:color w:val="auto"/>
              </w:rPr>
              <w:t>14411</w:t>
            </w:r>
          </w:p>
        </w:tc>
        <w:tc>
          <w:tcPr>
            <w:tcW w:w="20" w:type="dxa"/>
            <w:vAlign w:val="bottom"/>
            <w:tcBorders>
              <w:bottom w:val="single" w:sz="8" w:color="E9EDF4"/>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-6872605</wp:posOffset>
                </wp:positionV>
                <wp:extent cx="318008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41.1499pt" to="481.05pt,-541.1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-6670040</wp:posOffset>
                </wp:positionV>
                <wp:extent cx="31800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25.1999pt" to="481.05pt,-525.1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-6466840</wp:posOffset>
                </wp:positionV>
                <wp:extent cx="318008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09.1999pt" to="481.05pt,-509.1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-6265545</wp:posOffset>
                </wp:positionV>
                <wp:extent cx="318008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93.3499pt" to="481.05pt,-493.3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-5860415</wp:posOffset>
                </wp:positionV>
                <wp:extent cx="31800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61.4499pt" to="481.05pt,-461.4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-5659120</wp:posOffset>
                </wp:positionV>
                <wp:extent cx="318008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45.5999pt" to="481.05pt,-445.5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-5455920</wp:posOffset>
                </wp:positionV>
                <wp:extent cx="318008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29.5999pt" to="481.05pt,-429.5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-5050790</wp:posOffset>
                </wp:positionV>
                <wp:extent cx="318008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97.6999pt" to="481.05pt,-397.6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-4849495</wp:posOffset>
                </wp:positionV>
                <wp:extent cx="318008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81.8499pt" to="481.05pt,-381.8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-4646930</wp:posOffset>
                </wp:positionV>
                <wp:extent cx="318008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65.8999pt" to="481.05pt,-365.8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-4444365</wp:posOffset>
                </wp:positionV>
                <wp:extent cx="318008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49.9499pt" to="481.05pt,-349.9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-4241800</wp:posOffset>
                </wp:positionV>
                <wp:extent cx="318008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34pt" to="481.05pt,-334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-4040505</wp:posOffset>
                </wp:positionV>
                <wp:extent cx="318008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18.1499pt" to="481.05pt,-318.1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-3837940</wp:posOffset>
                </wp:positionV>
                <wp:extent cx="318008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02.1999pt" to="481.05pt,-302.1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-3434080</wp:posOffset>
                </wp:positionV>
                <wp:extent cx="318008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70.3999pt" to="481.05pt,-270.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-3028315</wp:posOffset>
                </wp:positionV>
                <wp:extent cx="318008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38.4499pt" to="481.05pt,-238.4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-2825750</wp:posOffset>
                </wp:positionV>
                <wp:extent cx="318008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22.4999pt" to="481.05pt,-222.4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-2624455</wp:posOffset>
                </wp:positionV>
                <wp:extent cx="318008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06.6499pt" to="481.05pt,-206.6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-2219325</wp:posOffset>
                </wp:positionV>
                <wp:extent cx="318008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74.7499pt" to="481.05pt,-174.7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-2016125</wp:posOffset>
                </wp:positionV>
                <wp:extent cx="318008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58.7499pt" to="481.05pt,-158.7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-1612265</wp:posOffset>
                </wp:positionV>
                <wp:extent cx="318008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26.9499pt" to="481.05pt,-126.9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-1206500</wp:posOffset>
                </wp:positionV>
                <wp:extent cx="318008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95pt" to="481.05pt,-9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-1005205</wp:posOffset>
                </wp:positionV>
                <wp:extent cx="318008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79.1499pt" to="481.05pt,-79.1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-600075</wp:posOffset>
                </wp:positionV>
                <wp:extent cx="318008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7.2499pt" to="481.05pt,-47.2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-398780</wp:posOffset>
                </wp:positionV>
                <wp:extent cx="318008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1.3999pt" to="481.05pt,-31.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2935605</wp:posOffset>
                </wp:positionH>
                <wp:positionV relativeFrom="paragraph">
                  <wp:posOffset>-7265670</wp:posOffset>
                </wp:positionV>
                <wp:extent cx="0" cy="726567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5pt,-572.0999pt" to="231.15pt,0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6103620</wp:posOffset>
                </wp:positionH>
                <wp:positionV relativeFrom="paragraph">
                  <wp:posOffset>-7265670</wp:posOffset>
                </wp:positionV>
                <wp:extent cx="0" cy="726567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6pt,-572.0999pt" to="480.6pt,0pt" o:allowincell="f" strokecolor="#FFFFFF" strokeweight="0.96pt"/>
            </w:pict>
          </mc:Fallback>
        </mc:AlternateContent>
      </w:r>
    </w:p>
    <w:p>
      <w:pPr>
        <w:sectPr>
          <w:pgSz w:w="11920" w:h="16841" w:orient="portrait"/>
          <w:cols w:equalWidth="0" w:num="1">
            <w:col w:w="9880"/>
          </w:cols>
          <w:pgMar w:left="720" w:top="899" w:right="1311" w:bottom="1440" w:gutter="0" w:footer="0" w:header="0"/>
        </w:sectPr>
      </w:pPr>
    </w:p>
    <w:bookmarkStart w:id="3" w:name="page4"/>
    <w:bookmarkEnd w:id="3"/>
    <w:p>
      <w:pPr>
        <w:spacing w:after="0"/>
        <w:rPr>
          <w:sz w:val="20"/>
          <w:szCs w:val="20"/>
          <w:color w:val="auto"/>
        </w:rPr>
      </w:pPr>
      <w:r>
        <w:rPr>
          <w:rFonts w:ascii="Calibri" w:cs="Calibri" w:eastAsia="Calibri" w:hAnsi="Calibri"/>
          <w:sz w:val="21"/>
          <w:szCs w:val="21"/>
          <w:b w:val="1"/>
          <w:bCs w:val="1"/>
          <w:color w:val="007AB0"/>
        </w:rPr>
        <w:t>Table 2. Countries, territories or areas with reported confirmed cases of 2019-nCoV. Data as of 2 February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207645</wp:posOffset>
                </wp:positionV>
                <wp:extent cx="606552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35pt" to="477.6pt,16.3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422275</wp:posOffset>
                </wp:positionV>
                <wp:extent cx="201358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358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33.25pt" to="320.1pt,33.25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4405630</wp:posOffset>
                </wp:positionV>
                <wp:extent cx="606552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6.9pt" to="477.6pt,346.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5629275</wp:posOffset>
                </wp:positionV>
                <wp:extent cx="401383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138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443.25pt" to="477.6pt,443.2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6853555</wp:posOffset>
                </wp:positionV>
                <wp:extent cx="401383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138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539.65pt" to="477.6pt,539.6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7159625</wp:posOffset>
                </wp:positionV>
                <wp:extent cx="401383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138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563.75pt" to="477.6pt,563.7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7466330</wp:posOffset>
                </wp:positionV>
                <wp:extent cx="606552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7.9pt" to="477.6pt,587.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7772400</wp:posOffset>
                </wp:positionV>
                <wp:extent cx="606552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2pt" to="477.6pt,612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201295</wp:posOffset>
                </wp:positionV>
                <wp:extent cx="0" cy="788352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8352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5.85pt" to="0.45pt,636.6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2057400</wp:posOffset>
                </wp:positionH>
                <wp:positionV relativeFrom="paragraph">
                  <wp:posOffset>201295</wp:posOffset>
                </wp:positionV>
                <wp:extent cx="0" cy="788352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8352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pt,15.85pt" to="162pt,636.6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4058920</wp:posOffset>
                </wp:positionH>
                <wp:positionV relativeFrom="paragraph">
                  <wp:posOffset>201295</wp:posOffset>
                </wp:positionV>
                <wp:extent cx="0" cy="788352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8352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6pt,15.85pt" to="319.6pt,636.6pt" o:allowincell="f" strokecolor="#FFFFFF" strokeweight="0.9599pt"/>
            </w:pict>
          </mc:Fallback>
        </mc:AlternateContent>
      </w:r>
    </w:p>
    <w:p>
      <w:pPr>
        <w:spacing w:after="0" w:line="297"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20" w:type="dxa"/>
            <w:vAlign w:val="bottom"/>
            <w:tcBorders>
              <w:bottom w:val="single" w:sz="8" w:color="4F81BD"/>
            </w:tcBorders>
          </w:tcPr>
          <w:p>
            <w:pPr>
              <w:spacing w:after="0"/>
              <w:rPr>
                <w:sz w:val="24"/>
                <w:szCs w:val="24"/>
                <w:color w:val="auto"/>
              </w:rPr>
            </w:pPr>
          </w:p>
        </w:tc>
        <w:tc>
          <w:tcPr>
            <w:tcW w:w="32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WHO Regional Office</w:t>
            </w:r>
          </w:p>
        </w:tc>
        <w:tc>
          <w:tcPr>
            <w:tcW w:w="20" w:type="dxa"/>
            <w:vAlign w:val="bottom"/>
            <w:tcBorders>
              <w:bottom w:val="single" w:sz="8" w:color="4F81BD"/>
            </w:tcBorders>
          </w:tcPr>
          <w:p>
            <w:pPr>
              <w:spacing w:after="0"/>
              <w:rPr>
                <w:sz w:val="24"/>
                <w:szCs w:val="24"/>
                <w:color w:val="auto"/>
              </w:rPr>
            </w:pPr>
          </w:p>
        </w:tc>
        <w:tc>
          <w:tcPr>
            <w:tcW w:w="31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Country/Territory/Area</w:t>
            </w:r>
          </w:p>
        </w:tc>
        <w:tc>
          <w:tcPr>
            <w:tcW w:w="20" w:type="dxa"/>
            <w:vAlign w:val="bottom"/>
            <w:tcBorders>
              <w:top w:val="single" w:sz="8" w:color="4F81BD"/>
              <w:bottom w:val="single" w:sz="8" w:color="4F81BD"/>
            </w:tcBorders>
          </w:tcPr>
          <w:p>
            <w:pPr>
              <w:spacing w:after="0"/>
              <w:rPr>
                <w:sz w:val="24"/>
                <w:szCs w:val="24"/>
                <w:color w:val="auto"/>
              </w:rPr>
            </w:pPr>
          </w:p>
        </w:tc>
        <w:tc>
          <w:tcPr>
            <w:tcW w:w="3140" w:type="dxa"/>
            <w:vAlign w:val="bottom"/>
            <w:tcBorders>
              <w:top w:val="single" w:sz="8" w:color="4F81BD"/>
              <w:bottom w:val="single" w:sz="8" w:color="4F81BD"/>
            </w:tcBorders>
            <w:shd w:val="clear" w:color="auto" w:fill="4F81BD"/>
          </w:tcPr>
          <w:p>
            <w:pPr>
              <w:ind w:left="800"/>
              <w:spacing w:after="0"/>
              <w:rPr>
                <w:sz w:val="20"/>
                <w:szCs w:val="20"/>
                <w:color w:val="auto"/>
              </w:rPr>
            </w:pPr>
            <w:r>
              <w:rPr>
                <w:rFonts w:ascii="Calibri" w:cs="Calibri" w:eastAsia="Calibri" w:hAnsi="Calibri"/>
                <w:sz w:val="22"/>
                <w:szCs w:val="22"/>
                <w:b w:val="1"/>
                <w:bCs w:val="1"/>
                <w:color w:val="FFFFFF"/>
              </w:rPr>
              <w:t>Confirmed Cases</w:t>
            </w:r>
          </w:p>
        </w:tc>
        <w:tc>
          <w:tcPr>
            <w:tcW w:w="0" w:type="dxa"/>
            <w:vAlign w:val="bottom"/>
          </w:tcPr>
          <w:p>
            <w:pPr>
              <w:spacing w:after="0"/>
              <w:rPr>
                <w:sz w:val="1"/>
                <w:szCs w:val="1"/>
                <w:color w:val="auto"/>
              </w:rPr>
            </w:pPr>
          </w:p>
        </w:tc>
      </w:tr>
      <w:tr>
        <w:trPr>
          <w:trHeight w:val="23"/>
        </w:trPr>
        <w:tc>
          <w:tcPr>
            <w:tcW w:w="20" w:type="dxa"/>
            <w:vAlign w:val="bottom"/>
          </w:tcPr>
          <w:p>
            <w:pPr>
              <w:spacing w:after="0"/>
              <w:rPr>
                <w:sz w:val="2"/>
                <w:szCs w:val="2"/>
                <w:color w:val="auto"/>
              </w:rPr>
            </w:pPr>
          </w:p>
        </w:tc>
        <w:tc>
          <w:tcPr>
            <w:tcW w:w="3220" w:type="dxa"/>
            <w:vAlign w:val="bottom"/>
            <w:tcBorders>
              <w:bottom w:val="single" w:sz="8" w:color="4F81BD"/>
            </w:tcBorders>
            <w:shd w:val="clear" w:color="auto" w:fill="4F81BD"/>
          </w:tcPr>
          <w:p>
            <w:pPr>
              <w:spacing w:after="0"/>
              <w:rPr>
                <w:sz w:val="2"/>
                <w:szCs w:val="2"/>
                <w:color w:val="auto"/>
              </w:rPr>
            </w:pPr>
          </w:p>
        </w:tc>
        <w:tc>
          <w:tcPr>
            <w:tcW w:w="20" w:type="dxa"/>
            <w:vAlign w:val="bottom"/>
          </w:tcPr>
          <w:p>
            <w:pPr>
              <w:spacing w:after="0"/>
              <w:rPr>
                <w:sz w:val="2"/>
                <w:szCs w:val="2"/>
                <w:color w:val="auto"/>
              </w:rPr>
            </w:pPr>
          </w:p>
        </w:tc>
        <w:tc>
          <w:tcPr>
            <w:tcW w:w="3120" w:type="dxa"/>
            <w:vAlign w:val="bottom"/>
          </w:tcPr>
          <w:p>
            <w:pPr>
              <w:spacing w:after="0"/>
              <w:rPr>
                <w:sz w:val="2"/>
                <w:szCs w:val="2"/>
                <w:color w:val="auto"/>
              </w:rPr>
            </w:pPr>
          </w:p>
        </w:tc>
        <w:tc>
          <w:tcPr>
            <w:tcW w:w="20" w:type="dxa"/>
            <w:vAlign w:val="bottom"/>
          </w:tcPr>
          <w:p>
            <w:pPr>
              <w:spacing w:after="0"/>
              <w:rPr>
                <w:sz w:val="2"/>
                <w:szCs w:val="2"/>
                <w:color w:val="auto"/>
              </w:rPr>
            </w:pPr>
          </w:p>
        </w:tc>
        <w:tc>
          <w:tcPr>
            <w:tcW w:w="3140" w:type="dxa"/>
            <w:vAlign w:val="bottom"/>
            <w:tcBorders>
              <w:bottom w:val="single" w:sz="8" w:color="E9EDF4"/>
            </w:tcBorders>
          </w:tcPr>
          <w:p>
            <w:pPr>
              <w:spacing w:after="0"/>
              <w:rPr>
                <w:sz w:val="2"/>
                <w:szCs w:val="2"/>
                <w:color w:val="auto"/>
              </w:rPr>
            </w:pPr>
          </w:p>
        </w:tc>
        <w:tc>
          <w:tcPr>
            <w:tcW w:w="0" w:type="dxa"/>
            <w:vAlign w:val="bottom"/>
          </w:tcPr>
          <w:p>
            <w:pPr>
              <w:spacing w:after="0"/>
              <w:rPr>
                <w:sz w:val="1"/>
                <w:szCs w:val="1"/>
                <w:color w:val="auto"/>
              </w:rPr>
            </w:pPr>
          </w:p>
        </w:tc>
      </w:tr>
      <w:tr>
        <w:trPr>
          <w:trHeight w:val="359"/>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b w:val="1"/>
                <w:bCs w:val="1"/>
                <w:color w:val="auto"/>
              </w:rPr>
              <w:t>China</w:t>
            </w:r>
            <w:r>
              <w:rPr>
                <w:rFonts w:ascii="Calibri" w:cs="Calibri" w:eastAsia="Calibri" w:hAnsi="Calibri"/>
                <w:sz w:val="22"/>
                <w:szCs w:val="22"/>
                <w:color w:val="auto"/>
              </w:rPr>
              <w:t>*</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b w:val="1"/>
                <w:bCs w:val="1"/>
                <w:color w:val="auto"/>
              </w:rPr>
              <w:t>14411</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Japan</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20</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Western Pacific</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Republic of Korea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15</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vMerge w:val="continue"/>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8"/>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Viet Nam</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7</w:t>
            </w:r>
          </w:p>
        </w:tc>
        <w:tc>
          <w:tcPr>
            <w:tcW w:w="0" w:type="dxa"/>
            <w:vAlign w:val="bottom"/>
          </w:tcPr>
          <w:p>
            <w:pPr>
              <w:spacing w:after="0"/>
              <w:rPr>
                <w:sz w:val="1"/>
                <w:szCs w:val="1"/>
                <w:color w:val="auto"/>
              </w:rPr>
            </w:pPr>
          </w:p>
        </w:tc>
      </w:tr>
      <w:tr>
        <w:trPr>
          <w:trHeight w:val="134"/>
        </w:trPr>
        <w:tc>
          <w:tcPr>
            <w:tcW w:w="20" w:type="dxa"/>
            <w:vAlign w:val="bottom"/>
          </w:tcPr>
          <w:p>
            <w:pPr>
              <w:spacing w:after="0"/>
              <w:rPr>
                <w:sz w:val="11"/>
                <w:szCs w:val="11"/>
                <w:color w:val="auto"/>
              </w:rPr>
            </w:pPr>
          </w:p>
        </w:tc>
        <w:tc>
          <w:tcPr>
            <w:tcW w:w="3220" w:type="dxa"/>
            <w:vAlign w:val="bottom"/>
            <w:tcBorders>
              <w:bottom w:val="single" w:sz="8" w:color="4F81BD"/>
            </w:tcBorders>
            <w:shd w:val="clear" w:color="auto" w:fill="4F81BD"/>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3120" w:type="dxa"/>
            <w:vAlign w:val="bottom"/>
            <w:tcBorders>
              <w:bottom w:val="single" w:sz="8" w:color="E9EDF4"/>
            </w:tcBorders>
            <w:shd w:val="clear" w:color="auto" w:fill="E9EDF4"/>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3140" w:type="dxa"/>
            <w:vAlign w:val="bottom"/>
            <w:tcBorders>
              <w:bottom w:val="single" w:sz="8" w:color="E9EDF4"/>
            </w:tcBorders>
            <w:shd w:val="clear" w:color="auto" w:fill="E9EDF4"/>
          </w:tcPr>
          <w:p>
            <w:pPr>
              <w:spacing w:after="0"/>
              <w:rPr>
                <w:sz w:val="11"/>
                <w:szCs w:val="11"/>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Singapore</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18</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Australia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12</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Malaysia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8</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Cambodia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Philippines</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Thailand</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19</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Nepal</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108"/>
        </w:trPr>
        <w:tc>
          <w:tcPr>
            <w:tcW w:w="20" w:type="dxa"/>
            <w:vAlign w:val="bottom"/>
          </w:tcPr>
          <w:p>
            <w:pPr>
              <w:spacing w:after="0"/>
              <w:rPr>
                <w:sz w:val="9"/>
                <w:szCs w:val="9"/>
                <w:color w:val="auto"/>
              </w:rPr>
            </w:pPr>
          </w:p>
        </w:tc>
        <w:tc>
          <w:tcPr>
            <w:tcW w:w="3220" w:type="dxa"/>
            <w:vAlign w:val="bottom"/>
            <w:tcBorders>
              <w:bottom w:val="single" w:sz="8" w:color="4F81BD"/>
            </w:tcBorders>
            <w:vMerge w:val="restart"/>
            <w:shd w:val="clear" w:color="auto" w:fill="4F81BD"/>
          </w:tcPr>
          <w:p>
            <w:pPr>
              <w:spacing w:after="0" w:line="242" w:lineRule="exact"/>
              <w:rPr>
                <w:sz w:val="20"/>
                <w:szCs w:val="20"/>
                <w:color w:val="auto"/>
              </w:rPr>
            </w:pPr>
            <w:r>
              <w:rPr>
                <w:rFonts w:ascii="Calibri" w:cs="Calibri" w:eastAsia="Calibri" w:hAnsi="Calibri"/>
                <w:sz w:val="22"/>
                <w:szCs w:val="22"/>
                <w:b w:val="1"/>
                <w:bCs w:val="1"/>
                <w:color w:val="FFFFFF"/>
              </w:rPr>
              <w:t>South-East Asia</w:t>
            </w: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4"/>
        </w:trPr>
        <w:tc>
          <w:tcPr>
            <w:tcW w:w="20" w:type="dxa"/>
            <w:vAlign w:val="bottom"/>
          </w:tcPr>
          <w:p>
            <w:pPr>
              <w:spacing w:after="0"/>
              <w:rPr>
                <w:sz w:val="6"/>
                <w:szCs w:val="6"/>
                <w:color w:val="auto"/>
              </w:rPr>
            </w:pPr>
          </w:p>
        </w:tc>
        <w:tc>
          <w:tcPr>
            <w:tcW w:w="3220" w:type="dxa"/>
            <w:vAlign w:val="bottom"/>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120" w:type="dxa"/>
            <w:vAlign w:val="bottom"/>
            <w:shd w:val="clear" w:color="auto" w:fill="E9EDF4"/>
          </w:tcPr>
          <w:p>
            <w:pPr>
              <w:spacing w:after="0"/>
              <w:rPr>
                <w:sz w:val="6"/>
                <w:szCs w:val="6"/>
                <w:color w:val="auto"/>
              </w:rPr>
            </w:pPr>
          </w:p>
        </w:tc>
        <w:tc>
          <w:tcPr>
            <w:tcW w:w="20" w:type="dxa"/>
            <w:vAlign w:val="bottom"/>
          </w:tcPr>
          <w:p>
            <w:pPr>
              <w:spacing w:after="0"/>
              <w:rPr>
                <w:sz w:val="6"/>
                <w:szCs w:val="6"/>
                <w:color w:val="auto"/>
              </w:rPr>
            </w:pPr>
          </w:p>
        </w:tc>
        <w:tc>
          <w:tcPr>
            <w:tcW w:w="3140" w:type="dxa"/>
            <w:vAlign w:val="bottom"/>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322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shd w:val="clear" w:color="auto" w:fill="E9EDF4"/>
          </w:tcPr>
          <w:p>
            <w:pPr>
              <w:spacing w:after="0" w:line="262" w:lineRule="exact"/>
              <w:rPr>
                <w:sz w:val="20"/>
                <w:szCs w:val="20"/>
                <w:color w:val="auto"/>
              </w:rPr>
            </w:pPr>
            <w:r>
              <w:rPr>
                <w:rFonts w:ascii="Calibri" w:cs="Calibri" w:eastAsia="Calibri" w:hAnsi="Calibri"/>
                <w:sz w:val="22"/>
                <w:szCs w:val="22"/>
                <w:color w:val="auto"/>
              </w:rPr>
              <w:t>Sri Lanka</w:t>
            </w:r>
          </w:p>
        </w:tc>
        <w:tc>
          <w:tcPr>
            <w:tcW w:w="20" w:type="dxa"/>
            <w:vAlign w:val="bottom"/>
          </w:tcPr>
          <w:p>
            <w:pPr>
              <w:spacing w:after="0"/>
              <w:rPr>
                <w:sz w:val="22"/>
                <w:szCs w:val="22"/>
                <w:color w:val="auto"/>
              </w:rPr>
            </w:pPr>
          </w:p>
        </w:tc>
        <w:tc>
          <w:tcPr>
            <w:tcW w:w="3140" w:type="dxa"/>
            <w:vAlign w:val="bottom"/>
            <w:shd w:val="clear" w:color="auto" w:fill="E9EDF4"/>
          </w:tcPr>
          <w:p>
            <w:pPr>
              <w:jc w:val="center"/>
              <w:spacing w:after="0" w:line="262" w:lineRule="exact"/>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India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0" w:type="dxa"/>
            <w:vAlign w:val="bottom"/>
          </w:tcPr>
          <w:p>
            <w:pPr>
              <w:spacing w:after="0"/>
              <w:rPr>
                <w:sz w:val="1"/>
                <w:szCs w:val="1"/>
                <w:color w:val="auto"/>
              </w:rPr>
            </w:pPr>
          </w:p>
        </w:tc>
      </w:tr>
      <w:tr>
        <w:trPr>
          <w:trHeight w:val="88"/>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States of America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8</w:t>
            </w:r>
          </w:p>
        </w:tc>
        <w:tc>
          <w:tcPr>
            <w:tcW w:w="0" w:type="dxa"/>
            <w:vAlign w:val="bottom"/>
          </w:tcPr>
          <w:p>
            <w:pPr>
              <w:spacing w:after="0"/>
              <w:rPr>
                <w:sz w:val="1"/>
                <w:szCs w:val="1"/>
                <w:color w:val="auto"/>
              </w:rPr>
            </w:pPr>
          </w:p>
        </w:tc>
      </w:tr>
      <w:tr>
        <w:trPr>
          <w:trHeight w:val="108"/>
        </w:trPr>
        <w:tc>
          <w:tcPr>
            <w:tcW w:w="20" w:type="dxa"/>
            <w:vAlign w:val="bottom"/>
          </w:tcPr>
          <w:p>
            <w:pPr>
              <w:spacing w:after="0"/>
              <w:rPr>
                <w:sz w:val="9"/>
                <w:szCs w:val="9"/>
                <w:color w:val="auto"/>
              </w:rPr>
            </w:pPr>
          </w:p>
        </w:tc>
        <w:tc>
          <w:tcPr>
            <w:tcW w:w="3220" w:type="dxa"/>
            <w:vAlign w:val="bottom"/>
            <w:tcBorders>
              <w:bottom w:val="single" w:sz="8" w:color="4F81BD"/>
            </w:tcBorders>
            <w:vMerge w:val="restart"/>
            <w:shd w:val="clear" w:color="auto" w:fill="4F81BD"/>
          </w:tcPr>
          <w:p>
            <w:pPr>
              <w:spacing w:after="0" w:line="240" w:lineRule="exact"/>
              <w:rPr>
                <w:sz w:val="20"/>
                <w:szCs w:val="20"/>
                <w:color w:val="auto"/>
              </w:rPr>
            </w:pPr>
            <w:r>
              <w:rPr>
                <w:rFonts w:ascii="Calibri" w:cs="Calibri" w:eastAsia="Calibri" w:hAnsi="Calibri"/>
                <w:sz w:val="22"/>
                <w:szCs w:val="22"/>
                <w:b w:val="1"/>
                <w:bCs w:val="1"/>
                <w:color w:val="FFFFFF"/>
              </w:rPr>
              <w:t>Region of the Americas</w:t>
            </w: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2"/>
        </w:trPr>
        <w:tc>
          <w:tcPr>
            <w:tcW w:w="20" w:type="dxa"/>
            <w:vAlign w:val="bottom"/>
          </w:tcPr>
          <w:p>
            <w:pPr>
              <w:spacing w:after="0"/>
              <w:rPr>
                <w:sz w:val="6"/>
                <w:szCs w:val="6"/>
                <w:color w:val="auto"/>
              </w:rPr>
            </w:pPr>
          </w:p>
        </w:tc>
        <w:tc>
          <w:tcPr>
            <w:tcW w:w="3220" w:type="dxa"/>
            <w:vAlign w:val="bottom"/>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120" w:type="dxa"/>
            <w:vAlign w:val="bottom"/>
            <w:shd w:val="clear" w:color="auto" w:fill="E9EDF4"/>
          </w:tcPr>
          <w:p>
            <w:pPr>
              <w:spacing w:after="0"/>
              <w:rPr>
                <w:sz w:val="6"/>
                <w:szCs w:val="6"/>
                <w:color w:val="auto"/>
              </w:rPr>
            </w:pPr>
          </w:p>
        </w:tc>
        <w:tc>
          <w:tcPr>
            <w:tcW w:w="20" w:type="dxa"/>
            <w:vAlign w:val="bottom"/>
          </w:tcPr>
          <w:p>
            <w:pPr>
              <w:spacing w:after="0"/>
              <w:rPr>
                <w:sz w:val="6"/>
                <w:szCs w:val="6"/>
                <w:color w:val="auto"/>
              </w:rPr>
            </w:pPr>
          </w:p>
        </w:tc>
        <w:tc>
          <w:tcPr>
            <w:tcW w:w="3140" w:type="dxa"/>
            <w:vAlign w:val="bottom"/>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322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shd w:val="clear" w:color="auto" w:fill="E9EDF4"/>
          </w:tcPr>
          <w:p>
            <w:pPr>
              <w:spacing w:after="0" w:line="262" w:lineRule="exact"/>
              <w:rPr>
                <w:sz w:val="20"/>
                <w:szCs w:val="20"/>
                <w:color w:val="auto"/>
              </w:rPr>
            </w:pPr>
            <w:r>
              <w:rPr>
                <w:rFonts w:ascii="Calibri" w:cs="Calibri" w:eastAsia="Calibri" w:hAnsi="Calibri"/>
                <w:sz w:val="22"/>
                <w:szCs w:val="22"/>
                <w:color w:val="auto"/>
              </w:rPr>
              <w:t>Canada</w:t>
            </w:r>
          </w:p>
        </w:tc>
        <w:tc>
          <w:tcPr>
            <w:tcW w:w="20" w:type="dxa"/>
            <w:vAlign w:val="bottom"/>
          </w:tcPr>
          <w:p>
            <w:pPr>
              <w:spacing w:after="0"/>
              <w:rPr>
                <w:sz w:val="22"/>
                <w:szCs w:val="22"/>
                <w:color w:val="auto"/>
              </w:rPr>
            </w:pPr>
          </w:p>
        </w:tc>
        <w:tc>
          <w:tcPr>
            <w:tcW w:w="3140" w:type="dxa"/>
            <w:vAlign w:val="bottom"/>
            <w:shd w:val="clear" w:color="auto" w:fill="E9EDF4"/>
          </w:tcPr>
          <w:p>
            <w:pPr>
              <w:jc w:val="center"/>
              <w:spacing w:after="0" w:line="262" w:lineRule="exact"/>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France</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6</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Finland</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Germany</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8</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Italy</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0" w:type="dxa"/>
            <w:vAlign w:val="bottom"/>
          </w:tcPr>
          <w:p>
            <w:pPr>
              <w:spacing w:after="0"/>
              <w:rPr>
                <w:sz w:val="1"/>
                <w:szCs w:val="1"/>
                <w:color w:val="auto"/>
              </w:rPr>
            </w:pPr>
          </w:p>
        </w:tc>
      </w:tr>
      <w:tr>
        <w:trPr>
          <w:trHeight w:val="108"/>
        </w:trPr>
        <w:tc>
          <w:tcPr>
            <w:tcW w:w="20" w:type="dxa"/>
            <w:vAlign w:val="bottom"/>
          </w:tcPr>
          <w:p>
            <w:pPr>
              <w:spacing w:after="0"/>
              <w:rPr>
                <w:sz w:val="9"/>
                <w:szCs w:val="9"/>
                <w:color w:val="auto"/>
              </w:rPr>
            </w:pPr>
          </w:p>
        </w:tc>
        <w:tc>
          <w:tcPr>
            <w:tcW w:w="3220" w:type="dxa"/>
            <w:vAlign w:val="bottom"/>
            <w:tcBorders>
              <w:bottom w:val="single" w:sz="8" w:color="4F81BD"/>
            </w:tcBorders>
            <w:vMerge w:val="restart"/>
            <w:shd w:val="clear" w:color="auto" w:fill="4F81BD"/>
          </w:tcPr>
          <w:p>
            <w:pPr>
              <w:spacing w:after="0" w:line="240" w:lineRule="exact"/>
              <w:rPr>
                <w:sz w:val="20"/>
                <w:szCs w:val="20"/>
                <w:color w:val="auto"/>
              </w:rPr>
            </w:pPr>
            <w:r>
              <w:rPr>
                <w:rFonts w:ascii="Calibri" w:cs="Calibri" w:eastAsia="Calibri" w:hAnsi="Calibri"/>
                <w:sz w:val="22"/>
                <w:szCs w:val="22"/>
                <w:b w:val="1"/>
                <w:bCs w:val="1"/>
                <w:color w:val="FFFFFF"/>
              </w:rPr>
              <w:t>European Region</w:t>
            </w: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2"/>
        </w:trPr>
        <w:tc>
          <w:tcPr>
            <w:tcW w:w="20" w:type="dxa"/>
            <w:vAlign w:val="bottom"/>
          </w:tcPr>
          <w:p>
            <w:pPr>
              <w:spacing w:after="0"/>
              <w:rPr>
                <w:sz w:val="6"/>
                <w:szCs w:val="6"/>
                <w:color w:val="auto"/>
              </w:rPr>
            </w:pPr>
          </w:p>
        </w:tc>
        <w:tc>
          <w:tcPr>
            <w:tcW w:w="3220" w:type="dxa"/>
            <w:vAlign w:val="bottom"/>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120" w:type="dxa"/>
            <w:vAlign w:val="bottom"/>
            <w:shd w:val="clear" w:color="auto" w:fill="E9EDF4"/>
          </w:tcPr>
          <w:p>
            <w:pPr>
              <w:spacing w:after="0"/>
              <w:rPr>
                <w:sz w:val="6"/>
                <w:szCs w:val="6"/>
                <w:color w:val="auto"/>
              </w:rPr>
            </w:pPr>
          </w:p>
        </w:tc>
        <w:tc>
          <w:tcPr>
            <w:tcW w:w="20" w:type="dxa"/>
            <w:vAlign w:val="bottom"/>
          </w:tcPr>
          <w:p>
            <w:pPr>
              <w:spacing w:after="0"/>
              <w:rPr>
                <w:sz w:val="6"/>
                <w:szCs w:val="6"/>
                <w:color w:val="auto"/>
              </w:rPr>
            </w:pPr>
          </w:p>
        </w:tc>
        <w:tc>
          <w:tcPr>
            <w:tcW w:w="3140" w:type="dxa"/>
            <w:vAlign w:val="bottom"/>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322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shd w:val="clear" w:color="auto" w:fill="E9EDF4"/>
          </w:tcPr>
          <w:p>
            <w:pPr>
              <w:spacing w:after="0" w:line="262" w:lineRule="exact"/>
              <w:rPr>
                <w:sz w:val="20"/>
                <w:szCs w:val="20"/>
                <w:color w:val="auto"/>
              </w:rPr>
            </w:pPr>
            <w:r>
              <w:rPr>
                <w:rFonts w:ascii="Calibri" w:cs="Calibri" w:eastAsia="Calibri" w:hAnsi="Calibri"/>
                <w:sz w:val="22"/>
                <w:szCs w:val="22"/>
                <w:color w:val="auto"/>
              </w:rPr>
              <w:t>Russian Federation</w:t>
            </w:r>
          </w:p>
        </w:tc>
        <w:tc>
          <w:tcPr>
            <w:tcW w:w="20" w:type="dxa"/>
            <w:vAlign w:val="bottom"/>
          </w:tcPr>
          <w:p>
            <w:pPr>
              <w:spacing w:after="0"/>
              <w:rPr>
                <w:sz w:val="22"/>
                <w:szCs w:val="22"/>
                <w:color w:val="auto"/>
              </w:rPr>
            </w:pPr>
          </w:p>
        </w:tc>
        <w:tc>
          <w:tcPr>
            <w:tcW w:w="3140" w:type="dxa"/>
            <w:vAlign w:val="bottom"/>
            <w:shd w:val="clear" w:color="auto" w:fill="E9EDF4"/>
          </w:tcPr>
          <w:p>
            <w:pPr>
              <w:jc w:val="center"/>
              <w:spacing w:after="0" w:line="262" w:lineRule="exact"/>
              <w:rPr>
                <w:sz w:val="20"/>
                <w:szCs w:val="20"/>
                <w:color w:val="auto"/>
              </w:rPr>
            </w:pPr>
            <w:r>
              <w:rPr>
                <w:rFonts w:ascii="Calibri" w:cs="Calibri" w:eastAsia="Calibri" w:hAnsi="Calibri"/>
                <w:sz w:val="22"/>
                <w:szCs w:val="22"/>
                <w:color w:val="auto"/>
                <w:w w:val="89"/>
              </w:rPr>
              <w:t>2</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Spain</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Sweden</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Kingdom</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Eastern Mediterranean</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Arab Emirates</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Total Confirmed cases</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14557</w:t>
            </w:r>
          </w:p>
        </w:tc>
        <w:tc>
          <w:tcPr>
            <w:tcW w:w="0" w:type="dxa"/>
            <w:vAlign w:val="bottom"/>
          </w:tcPr>
          <w:p>
            <w:pPr>
              <w:spacing w:after="0"/>
              <w:rPr>
                <w:sz w:val="1"/>
                <w:szCs w:val="1"/>
                <w:color w:val="auto"/>
              </w:rPr>
            </w:pPr>
          </w:p>
        </w:tc>
      </w:tr>
      <w:tr>
        <w:trPr>
          <w:trHeight w:val="88"/>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6059170</wp:posOffset>
                </wp:positionH>
                <wp:positionV relativeFrom="paragraph">
                  <wp:posOffset>-7846695</wp:posOffset>
                </wp:positionV>
                <wp:extent cx="0" cy="786003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6003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7.1pt,-617.8499pt" to="477.1pt,1.0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6985</wp:posOffset>
                </wp:positionV>
                <wp:extent cx="606552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55pt" to="477.6pt,0.55pt" o:allowincell="f" strokecolor="#FFFFFF" strokeweight="0.96pt"/>
            </w:pict>
          </mc:Fallback>
        </mc:AlternateContent>
      </w:r>
    </w:p>
    <w:p>
      <w:pPr>
        <w:spacing w:after="0" w:line="39" w:lineRule="exact"/>
        <w:rPr>
          <w:sz w:val="20"/>
          <w:szCs w:val="20"/>
          <w:color w:val="auto"/>
        </w:rPr>
      </w:pPr>
    </w:p>
    <w:p>
      <w:pPr>
        <w:ind w:right="60"/>
        <w:spacing w:after="0" w:line="217" w:lineRule="auto"/>
        <w:rPr>
          <w:sz w:val="20"/>
          <w:szCs w:val="20"/>
          <w:color w:val="auto"/>
        </w:rPr>
      </w:pPr>
      <w:r>
        <w:rPr>
          <w:rFonts w:ascii="Calibri" w:cs="Calibri" w:eastAsia="Calibri" w:hAnsi="Calibri"/>
          <w:sz w:val="18"/>
          <w:szCs w:val="18"/>
          <w:color w:val="auto"/>
        </w:rPr>
        <w:t>*Confirmed cases in China include cases confirmed in Hong Kong SAR (14 confirmed cases), Macau SAR (7 confirmed cases) and Taipei (10 confirmed cases).</w:t>
      </w:r>
    </w:p>
    <w:p>
      <w:pPr>
        <w:spacing w:after="0" w:line="1" w:lineRule="exact"/>
        <w:rPr>
          <w:sz w:val="20"/>
          <w:szCs w:val="20"/>
          <w:color w:val="auto"/>
        </w:rPr>
      </w:pPr>
    </w:p>
    <w:p>
      <w:pPr>
        <w:spacing w:after="0"/>
        <w:rPr>
          <w:rFonts w:ascii="Calibri" w:cs="Calibri" w:eastAsia="Calibri" w:hAnsi="Calibri"/>
          <w:sz w:val="18"/>
          <w:szCs w:val="18"/>
          <w:color w:val="auto"/>
        </w:rPr>
      </w:pPr>
      <w:r>
        <w:rPr>
          <w:rFonts w:ascii="Calibri" w:cs="Calibri" w:eastAsia="Calibri" w:hAnsi="Calibri"/>
          <w:sz w:val="18"/>
          <w:szCs w:val="18"/>
          <w:color w:val="auto"/>
        </w:rPr>
        <w:t xml:space="preserve">Note: Case classifications are based on </w:t>
      </w:r>
      <w:hyperlink r:id="rId9">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2019-nCoV.</w:t>
      </w:r>
    </w:p>
    <w:p>
      <w:pPr>
        <w:sectPr>
          <w:pgSz w:w="11920" w:h="16841" w:orient="portrait"/>
          <w:cols w:equalWidth="0" w:num="1">
            <w:col w:w="10140"/>
          </w:cols>
          <w:pgMar w:left="720" w:top="906" w:right="1051" w:bottom="1440" w:gutter="0" w:footer="0" w:header="0"/>
        </w:sectPr>
      </w:pPr>
    </w:p>
    <w:bookmarkStart w:id="4" w:name="page5"/>
    <w:bookmarkEnd w:id="4"/>
    <w:p>
      <w:pPr>
        <w:ind w:right="40"/>
        <w:spacing w:after="0" w:line="218" w:lineRule="auto"/>
        <w:rPr>
          <w:sz w:val="20"/>
          <w:szCs w:val="20"/>
          <w:color w:val="auto"/>
        </w:rPr>
      </w:pPr>
      <w:r>
        <w:rPr>
          <w:rFonts w:ascii="Calibri" w:cs="Calibri" w:eastAsia="Calibri" w:hAnsi="Calibri"/>
          <w:sz w:val="22"/>
          <w:szCs w:val="22"/>
          <w:b w:val="1"/>
          <w:bCs w:val="1"/>
          <w:color w:val="007AB0"/>
        </w:rPr>
        <w:t>Figure 2: Epidemic curve of 2019-nCoV cases (n=76) identified outside of China, by date of onset of symptoms and travel history, 2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6648450" cy="322580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extLst>
                    </a:blip>
                    <a:srcRect/>
                    <a:stretch>
                      <a:fillRect/>
                    </a:stretch>
                  </pic:blipFill>
                  <pic:spPr bwMode="auto">
                    <a:xfrm>
                      <a:off x="0" y="0"/>
                      <a:ext cx="6648450" cy="3225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line="235" w:lineRule="auto"/>
        <w:rPr>
          <w:sz w:val="20"/>
          <w:szCs w:val="20"/>
          <w:color w:val="auto"/>
        </w:rPr>
      </w:pPr>
      <w:r>
        <w:rPr>
          <w:rFonts w:ascii="Calibri" w:cs="Calibri" w:eastAsia="Calibri" w:hAnsi="Calibri"/>
          <w:sz w:val="22"/>
          <w:szCs w:val="22"/>
          <w:color w:val="auto"/>
        </w:rPr>
        <w:t>Note for figure 2: Of the 146 cases reported outside China, 11 were detected while asymptomatic. For the remaining 135 cases, information on date of onset is available only for the 76 cases presented in the epidemiologic curve.</w:t>
      </w:r>
    </w:p>
    <w:p>
      <w:pPr>
        <w:spacing w:after="0" w:line="200" w:lineRule="exact"/>
        <w:rPr>
          <w:sz w:val="20"/>
          <w:szCs w:val="20"/>
          <w:color w:val="auto"/>
        </w:rPr>
      </w:pPr>
    </w:p>
    <w:p>
      <w:pPr>
        <w:spacing w:after="0" w:line="398" w:lineRule="exact"/>
        <w:rPr>
          <w:sz w:val="20"/>
          <w:szCs w:val="20"/>
          <w:color w:val="auto"/>
        </w:rPr>
      </w:pPr>
    </w:p>
    <w:p>
      <w:pPr>
        <w:ind w:right="240"/>
        <w:spacing w:after="0" w:line="218" w:lineRule="auto"/>
        <w:rPr>
          <w:sz w:val="20"/>
          <w:szCs w:val="20"/>
          <w:color w:val="auto"/>
        </w:rPr>
      </w:pPr>
      <w:r>
        <w:rPr>
          <w:rFonts w:ascii="Calibri" w:cs="Calibri" w:eastAsia="Calibri" w:hAnsi="Calibri"/>
          <w:sz w:val="22"/>
          <w:szCs w:val="22"/>
          <w:b w:val="1"/>
          <w:bCs w:val="1"/>
          <w:color w:val="007AB0"/>
        </w:rPr>
        <w:t>Figure 3: Epidemic curve of 2019-nCoV cases (n=146) identified outside of China, by date of reporting and travel history, 2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154305</wp:posOffset>
            </wp:positionV>
            <wp:extent cx="6648450" cy="358394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extLst>
                    </a:blip>
                    <a:srcRect/>
                    <a:stretch>
                      <a:fillRect/>
                    </a:stretch>
                  </pic:blipFill>
                  <pic:spPr bwMode="auto">
                    <a:xfrm>
                      <a:off x="0" y="0"/>
                      <a:ext cx="6648450" cy="3583940"/>
                    </a:xfrm>
                    <a:prstGeom prst="rect">
                      <a:avLst/>
                    </a:prstGeom>
                    <a:noFill/>
                  </pic:spPr>
                </pic:pic>
              </a:graphicData>
            </a:graphic>
          </wp:anchor>
        </w:drawing>
      </w:r>
    </w:p>
    <w:p>
      <w:pPr>
        <w:sectPr>
          <w:pgSz w:w="11920" w:h="16841" w:orient="portrait"/>
          <w:cols w:equalWidth="0" w:num="1">
            <w:col w:w="10420"/>
          </w:cols>
          <w:pgMar w:left="720" w:top="1255" w:right="771" w:bottom="1440" w:gutter="0" w:footer="0" w:header="0"/>
        </w:sectPr>
      </w:pPr>
    </w:p>
    <w:bookmarkStart w:id="5" w:name="page6"/>
    <w:bookmarkEnd w:id="5"/>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300" w:hanging="351"/>
        <w:spacing w:after="0" w:line="225" w:lineRule="auto"/>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60" w:hanging="351"/>
        <w:spacing w:after="0" w:line="218" w:lineRule="auto"/>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2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91" w:lineRule="exact"/>
        <w:rPr>
          <w:sz w:val="20"/>
          <w:szCs w:val="20"/>
          <w:color w:val="auto"/>
        </w:rPr>
      </w:pPr>
    </w:p>
    <w:p>
      <w:pPr>
        <w:ind w:left="360" w:right="220" w:hanging="360"/>
        <w:spacing w:after="0" w:line="265"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20">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20">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2019-nCoV infection detected in any individual country, to inform the development and updating of public health guidance to manage cases and reduce potential spread and impact of infection.</w:t>
      </w:r>
    </w:p>
    <w:p>
      <w:pPr>
        <w:spacing w:after="0" w:line="63" w:lineRule="exact"/>
        <w:rPr>
          <w:rFonts w:ascii="Calibri" w:cs="Calibri" w:eastAsia="Calibri" w:hAnsi="Calibri"/>
          <w:sz w:val="22"/>
          <w:szCs w:val="22"/>
          <w:color w:val="0000FF"/>
        </w:rPr>
      </w:pPr>
    </w:p>
    <w:p>
      <w:pPr>
        <w:ind w:left="360" w:right="180" w:hanging="360"/>
        <w:spacing w:after="0" w:line="235"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0" w:lineRule="exact"/>
        <w:rPr>
          <w:rFonts w:ascii="Arial" w:cs="Arial" w:eastAsia="Arial" w:hAnsi="Arial"/>
          <w:sz w:val="22"/>
          <w:szCs w:val="22"/>
          <w:color w:val="auto"/>
        </w:rPr>
      </w:pPr>
    </w:p>
    <w:p>
      <w:pPr>
        <w:ind w:left="360" w:right="40" w:hanging="360"/>
        <w:spacing w:after="0" w:line="265" w:lineRule="auto"/>
        <w:tabs>
          <w:tab w:leader="none" w:pos="360" w:val="left"/>
        </w:tabs>
        <w:numPr>
          <w:ilvl w:val="0"/>
          <w:numId w:val="4"/>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21">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2">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2">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3">
        <w:r>
          <w:rPr>
            <w:rFonts w:ascii="Calibri" w:cs="Calibri" w:eastAsia="Calibri" w:hAnsi="Calibri"/>
            <w:sz w:val="22"/>
            <w:szCs w:val="22"/>
            <w:u w:val="single" w:color="auto"/>
            <w:color w:val="0000FF"/>
          </w:rPr>
          <w:t>clinical management</w:t>
        </w:r>
      </w:hyperlink>
      <w:hyperlink r:id="rId24">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4">
        <w:r>
          <w:rPr>
            <w:rFonts w:ascii="Calibri" w:cs="Calibri" w:eastAsia="Calibri" w:hAnsi="Calibri"/>
            <w:sz w:val="22"/>
            <w:szCs w:val="22"/>
            <w:u w:val="single" w:color="auto"/>
            <w:color w:val="0000FF"/>
          </w:rPr>
          <w:t>infection prevention and 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5">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color w:val="0000FF"/>
        </w:rPr>
        <w:t xml:space="preserve"> </w:t>
      </w:r>
      <w:hyperlink r:id="rId25">
        <w:r>
          <w:rPr>
            <w:rFonts w:ascii="Calibri" w:cs="Calibri" w:eastAsia="Calibri" w:hAnsi="Calibri"/>
            <w:sz w:val="22"/>
            <w:szCs w:val="22"/>
            <w:u w:val="single" w:color="auto"/>
            <w:color w:val="0000FF"/>
          </w:rPr>
          <w:t xml:space="preserve">coronavirus, </w:t>
        </w:r>
      </w:hyperlink>
      <w:hyperlink r:id="rId26">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u w:val="single" w:color="auto"/>
          <w:color w:val="0000FF"/>
        </w:rPr>
        <w:t xml:space="preserve">and </w:t>
      </w:r>
      <w:hyperlink r:id="rId9">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u w:val="single" w:color="auto"/>
          <w:color w:val="0000FF"/>
        </w:rPr>
        <w:t xml:space="preserve"> </w:t>
      </w:r>
      <w:hyperlink r:id="rId9">
        <w:r>
          <w:rPr>
            <w:rFonts w:ascii="Calibri" w:cs="Calibri" w:eastAsia="Calibri" w:hAnsi="Calibri"/>
            <w:sz w:val="22"/>
            <w:szCs w:val="22"/>
            <w:u w:val="single" w:color="auto"/>
            <w:color w:val="0000FF"/>
          </w:rPr>
          <w:t>novel coronavirus (2019-nCoV).</w:t>
        </w:r>
      </w:hyperlink>
    </w:p>
    <w:p>
      <w:pPr>
        <w:spacing w:after="0" w:line="63" w:lineRule="exact"/>
        <w:rPr>
          <w:rFonts w:ascii="Calibri" w:cs="Calibri" w:eastAsia="Calibri" w:hAnsi="Calibri"/>
          <w:sz w:val="22"/>
          <w:szCs w:val="22"/>
          <w:u w:val="single" w:color="auto"/>
          <w:color w:val="0000FF"/>
        </w:rPr>
      </w:pPr>
    </w:p>
    <w:p>
      <w:pPr>
        <w:ind w:left="360" w:right="880" w:hanging="360"/>
        <w:spacing w:after="0" w:line="235"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7">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8">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ind w:left="360" w:right="1020" w:hanging="360"/>
        <w:spacing w:after="0" w:line="235"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9">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9">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1" w:lineRule="exact"/>
        <w:rPr>
          <w:rFonts w:ascii="Calibri" w:cs="Calibri" w:eastAsia="Calibri" w:hAnsi="Calibri"/>
          <w:sz w:val="22"/>
          <w:szCs w:val="22"/>
          <w:color w:val="0000FF"/>
        </w:rPr>
      </w:pPr>
    </w:p>
    <w:p>
      <w:pPr>
        <w:ind w:left="360" w:hanging="360"/>
        <w:spacing w:after="0"/>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60" w:hanging="360"/>
        <w:spacing w:after="0" w:line="235"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30">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0" w:lineRule="exact"/>
        <w:rPr>
          <w:rFonts w:ascii="Calibri" w:cs="Calibri" w:eastAsia="Calibri" w:hAnsi="Calibri"/>
          <w:sz w:val="22"/>
          <w:szCs w:val="22"/>
          <w:color w:val="auto"/>
        </w:rPr>
      </w:pPr>
    </w:p>
    <w:p>
      <w:pPr>
        <w:ind w:left="360" w:hanging="360"/>
        <w:spacing w:after="0" w:line="267" w:lineRule="auto"/>
        <w:tabs>
          <w:tab w:leader="none" w:pos="360" w:val="left"/>
        </w:tabs>
        <w:numPr>
          <w:ilvl w:val="0"/>
          <w:numId w:val="4"/>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2019-nCoV, help understand spread, severity, spectrum of disease, impact on the community and to inform operational models for implementation of countermeasures such as case isolation, contact tracing and isolation. Several protocols are available here: </w:t>
      </w:r>
      <w:hyperlink r:id="rId31">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20" w:lineRule="exact"/>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-3569335</wp:posOffset>
                </wp:positionV>
                <wp:extent cx="31750" cy="1270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63" o:spid="_x0000_s1088" style="position:absolute;margin-left:202.95pt;margin-top:-281.04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20" w:h="16841" w:orient="portrait"/>
          <w:cols w:equalWidth="0" w:num="1">
            <w:col w:w="10480"/>
          </w:cols>
          <w:pgMar w:left="720" w:top="1440" w:right="711" w:bottom="243" w:gutter="0" w:footer="0" w:header="0"/>
        </w:sectPr>
      </w:pPr>
    </w:p>
    <w:bookmarkStart w:id="6" w:name="page7"/>
    <w:bookmarkEnd w:id="6"/>
    <w:p>
      <w:pPr>
        <w:ind w:left="720" w:right="300" w:hanging="360"/>
        <w:spacing w:after="0" w:line="261" w:lineRule="auto"/>
        <w:tabs>
          <w:tab w:leader="none" w:pos="7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8" w:lineRule="exact"/>
        <w:rPr>
          <w:rFonts w:ascii="Arial" w:cs="Arial" w:eastAsia="Arial" w:hAnsi="Arial"/>
          <w:sz w:val="22"/>
          <w:szCs w:val="22"/>
          <w:color w:val="auto"/>
        </w:rPr>
      </w:pPr>
    </w:p>
    <w:p>
      <w:pPr>
        <w:ind w:left="720" w:right="200" w:hanging="360"/>
        <w:spacing w:after="0" w:line="235" w:lineRule="auto"/>
        <w:tabs>
          <w:tab w:leader="none" w:pos="720" w:val="left"/>
        </w:tabs>
        <w:numPr>
          <w:ilvl w:val="0"/>
          <w:numId w:val="5"/>
        </w:numPr>
        <w:rPr>
          <w:rFonts w:ascii="Arial" w:cs="Arial" w:eastAsia="Arial" w:hAnsi="Arial"/>
          <w:sz w:val="18"/>
          <w:szCs w:val="18"/>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left="360" w:right="54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7" w:lineRule="exact"/>
        <w:rPr>
          <w:sz w:val="20"/>
          <w:szCs w:val="20"/>
          <w:color w:val="auto"/>
        </w:rPr>
      </w:pPr>
    </w:p>
    <w:p>
      <w:pPr>
        <w:ind w:left="360" w:hanging="360"/>
        <w:spacing w:after="0"/>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Avoiding unprotected contact with farm or wild animals.</w:t>
      </w:r>
    </w:p>
    <w:p>
      <w:pPr>
        <w:spacing w:after="0" w:line="87" w:lineRule="exact"/>
        <w:rPr>
          <w:rFonts w:ascii="Arial" w:cs="Arial" w:eastAsia="Arial" w:hAnsi="Arial"/>
          <w:sz w:val="20"/>
          <w:szCs w:val="20"/>
          <w:color w:val="auto"/>
        </w:rPr>
      </w:pPr>
    </w:p>
    <w:p>
      <w:pPr>
        <w:ind w:left="360" w:right="560" w:hanging="360"/>
        <w:spacing w:after="0" w:line="236" w:lineRule="auto"/>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1" w:lineRule="exact"/>
        <w:rPr>
          <w:rFonts w:ascii="Arial" w:cs="Arial" w:eastAsia="Arial" w:hAnsi="Arial"/>
          <w:sz w:val="20"/>
          <w:szCs w:val="20"/>
          <w:color w:val="auto"/>
        </w:rPr>
      </w:pPr>
    </w:p>
    <w:p>
      <w:pPr>
        <w:ind w:left="360" w:right="300" w:hanging="360"/>
        <w:spacing w:after="0" w:line="235" w:lineRule="auto"/>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Within healthcare facilities, enhance standard infection prevention and control practices in hospitals, especially in emergency departments.</w:t>
      </w:r>
    </w:p>
    <w:p>
      <w:pPr>
        <w:spacing w:after="0" w:line="290" w:lineRule="exact"/>
        <w:rPr>
          <w:rFonts w:ascii="Arial" w:cs="Arial" w:eastAsia="Arial" w:hAnsi="Arial"/>
          <w:sz w:val="20"/>
          <w:szCs w:val="20"/>
          <w:color w:val="auto"/>
        </w:rPr>
      </w:pPr>
    </w:p>
    <w:p>
      <w:pPr>
        <w:jc w:val="both"/>
        <w:ind w:left="360"/>
        <w:spacing w:after="0" w:line="254" w:lineRule="auto"/>
        <w:rPr>
          <w:rFonts w:ascii="Arial" w:cs="Arial" w:eastAsia="Arial" w:hAnsi="Arial"/>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healthcare provider.</w:t>
      </w:r>
    </w:p>
    <w:sectPr>
      <w:pgSz w:w="11920" w:h="16841" w:orient="portrait"/>
      <w:cols w:equalWidth="0" w:num="1">
        <w:col w:w="10820"/>
      </w:cols>
      <w:pgMar w:left="360" w:top="943"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1"/>
      <w:numFmt w:val="decimal"/>
      <w:start w:val="23"/>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 Id="rId9" Type="http://schemas.openxmlformats.org/officeDocument/2006/relationships/hyperlink" Target="https://www.who.int/publications-detail/global-surveillance-for-human-infection-with-novel-coronavirus-(2019-ncov)" TargetMode="External"/><Relationship Id="rId11" Type="http://schemas.openxmlformats.org/officeDocument/2006/relationships/hyperlink" Target="https://www.weibo.com/whoinchina" TargetMode="External"/><Relationship Id="rId12" Type="http://schemas.openxmlformats.org/officeDocument/2006/relationships/hyperlink" Target="https://twitter.com/WHO" TargetMode="External"/><Relationship Id="rId13" Type="http://schemas.openxmlformats.org/officeDocument/2006/relationships/hyperlink" Target="https://www.facebook.com/WHO/" TargetMode="External"/><Relationship Id="rId14" Type="http://schemas.openxmlformats.org/officeDocument/2006/relationships/hyperlink" Target="https://instagram.com/WHO" TargetMode="External"/><Relationship Id="rId15" Type="http://schemas.openxmlformats.org/officeDocument/2006/relationships/hyperlink" Target="https://www.linkedin.com/company/world-health-organization/" TargetMode="External"/><Relationship Id="rId16" Type="http://schemas.openxmlformats.org/officeDocument/2006/relationships/hyperlink" Target="https://www.pinterest.ch/worldhealthorganization/" TargetMode="External"/><Relationship Id="rId17" Type="http://schemas.openxmlformats.org/officeDocument/2006/relationships/hyperlink" Target="https://www.who.int/emergencies/diseases/novel-coronavirus-2019/advice-for-public" TargetMode="External"/><Relationship Id="rId20" Type="http://schemas.openxmlformats.org/officeDocument/2006/relationships/hyperlink" Target="https://www.who.int/publications-detail/the-first-few-x-(ffx)-cases-and-contact-investigation-protocol-for-2019-novel-coronavirus-(2019-ncov)-infection" TargetMode="External"/><Relationship Id="rId21" Type="http://schemas.openxmlformats.org/officeDocument/2006/relationships/hyperlink" Target="https://www.who.int/health-topics/coronavirus/laboratory-diagnostics-for-novel-coronavirus" TargetMode="External"/><Relationship Id="rId22" Type="http://schemas.openxmlformats.org/officeDocument/2006/relationships/hyperlink" Target="https://www.who.int/publications-detail/advice-on-the-use-of-masks-the-community-during-home-care-and-in-health-care-settings-in-the-context-of-the-novel-coronavirus-(2019-ncov)-outbreak" TargetMode="External"/><Relationship Id="rId23" Type="http://schemas.openxmlformats.org/officeDocument/2006/relationships/hyperlink" Target="https://www.who.int/publications-detail/clinical-management-of-severe-acute-respiratory-infection-when-novel-coronavirus-(ncov)-infection-is-suspected" TargetMode="External"/><Relationship Id="rId24" Type="http://schemas.openxmlformats.org/officeDocument/2006/relationships/hyperlink" Target="https://www.who.int/publications-detail/infection-prevention-and-control-during-health-care-when-novel-coronavirus-(ncov)-infection-is-suspected" TargetMode="External"/><Relationship Id="rId25" Type="http://schemas.openxmlformats.org/officeDocument/2006/relationships/hyperlink" Target="https://www.who.int/publications-detail/home-care-for-patients-with-suspected-novel-coronavirus-(ncov)-infection-presenting-with-mild-symptoms-and-management-of-contacts" TargetMode="External"/><Relationship Id="rId26" Type="http://schemas.openxmlformats.org/officeDocument/2006/relationships/hyperlink" Target="https://www.who.int/publications-detail/risk-communication-and-community-engagement-readiness-and-initial-response-for-novel-coronaviruses-(-ncov)" TargetMode="External"/><Relationship Id="rId27" Type="http://schemas.openxmlformats.org/officeDocument/2006/relationships/hyperlink" Target="https://www.who.int/publications-detail/disease-commodity-package---novel-coronavirus-(ncov)" TargetMode="External"/><Relationship Id="rId28" Type="http://schemas.openxmlformats.org/officeDocument/2006/relationships/hyperlink" Target="https://www.who.int/health-topics/coronavirus/who-recommendations-to-reduce-risk-of-transmission-of-emerging-pathogens-from-animals-to-humans-in-live-animal-markets" TargetMode="External"/><Relationship Id="rId29" Type="http://schemas.openxmlformats.org/officeDocument/2006/relationships/hyperlink" Target="https://www.who.int/ith/2019-nCoV_advice_for_international_traffic/en/" TargetMode="External"/><Relationship Id="rId30" Type="http://schemas.openxmlformats.org/officeDocument/2006/relationships/hyperlink" Target="https://openwho.org/courses/introduction-to-ncov" TargetMode="External"/><Relationship Id="rId31"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2020-03-10T16:41:08Z</dcterms:created>
  <dcterms:modified xsi:type="dcterms:W3CDTF">2020-03-10T16:41:08Z</dcterms:modified>
</cp:coreProperties>
</file>