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87"/>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187"/>
        <w:spacing w:after="0"/>
        <w:rPr>
          <w:sz w:val="20"/>
          <w:szCs w:val="20"/>
          <w:color w:val="auto"/>
        </w:rPr>
      </w:pPr>
      <w:r>
        <w:rPr>
          <w:rFonts w:ascii="Arial" w:cs="Arial" w:eastAsia="Arial" w:hAnsi="Arial"/>
          <w:sz w:val="34"/>
          <w:szCs w:val="34"/>
          <w:b w:val="1"/>
          <w:bCs w:val="1"/>
          <w:color w:val="FFFFFF"/>
        </w:rPr>
        <w:t xml:space="preserve">Situation Report – 17 - </w:t>
      </w:r>
      <w:r>
        <w:rPr>
          <w:rFonts w:ascii="Arial" w:cs="Arial" w:eastAsia="Arial" w:hAnsi="Arial"/>
          <w:sz w:val="34"/>
          <w:szCs w:val="34"/>
          <w:b w:val="1"/>
          <w:bCs w:val="1"/>
          <w:color w:val="FF0000"/>
        </w:rPr>
        <w:t>ERRATUM</w:t>
      </w:r>
    </w:p>
    <w:p>
      <w:pPr>
        <w:spacing w:after="0" w:line="224" w:lineRule="exact"/>
        <w:rPr>
          <w:sz w:val="24"/>
          <w:szCs w:val="24"/>
          <w:color w:val="auto"/>
        </w:rPr>
      </w:pPr>
    </w:p>
    <w:p>
      <w:pPr>
        <w:ind w:left="167"/>
        <w:spacing w:after="0"/>
        <w:rPr>
          <w:sz w:val="20"/>
          <w:szCs w:val="20"/>
          <w:color w:val="auto"/>
        </w:rPr>
      </w:pPr>
      <w:r>
        <w:rPr>
          <w:rFonts w:ascii="Arial" w:cs="Arial" w:eastAsia="Arial" w:hAnsi="Arial"/>
          <w:sz w:val="16"/>
          <w:szCs w:val="16"/>
          <w:b w:val="1"/>
          <w:bCs w:val="1"/>
          <w:color w:val="FFFFFF"/>
        </w:rPr>
        <w:t>Data as reported by 6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4946015</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89.45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-91440</wp:posOffset>
                </wp:positionH>
                <wp:positionV relativeFrom="paragraph">
                  <wp:posOffset>73660</wp:posOffset>
                </wp:positionV>
                <wp:extent cx="5071745" cy="416941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1745" cy="4169410"/>
                        </a:xfrm>
                        <a:prstGeom prst="rect">
                          <a:avLst/>
                        </a:prstGeom>
                        <a:solidFill>
                          <a:srgbClr val="FFFFFF"/>
                        </a:solidFill>
                      </wps:spPr>
                      <wps:bodyPr/>
                    </wps:wsp>
                  </a:graphicData>
                </a:graphic>
              </wp:anchor>
            </w:drawing>
          </mc:Choice>
          <mc:Fallback>
            <w:pict>
              <v:rect id="Shape 3" o:spid="_x0000_s1028" style="position:absolute;margin-left:-7.1999pt;margin-top:5.8pt;width:399.35pt;height:328.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68" w:lineRule="exact"/>
        <w:rPr>
          <w:sz w:val="24"/>
          <w:szCs w:val="24"/>
          <w:color w:val="auto"/>
        </w:rPr>
      </w:pPr>
    </w:p>
    <w:p>
      <w:pPr>
        <w:ind w:left="7"/>
        <w:spacing w:after="0"/>
        <w:rPr>
          <w:sz w:val="20"/>
          <w:szCs w:val="20"/>
          <w:color w:val="auto"/>
        </w:rPr>
      </w:pPr>
      <w:r>
        <w:rPr>
          <w:rFonts w:ascii="Arial" w:cs="Arial" w:eastAsia="Arial" w:hAnsi="Arial"/>
          <w:sz w:val="24"/>
          <w:szCs w:val="24"/>
          <w:b w:val="1"/>
          <w:bCs w:val="1"/>
          <w:color w:val="0093D5"/>
        </w:rPr>
        <w:t>HIGHLIGHTS</w:t>
      </w:r>
    </w:p>
    <w:p>
      <w:pPr>
        <w:spacing w:after="0" w:line="200" w:lineRule="exact"/>
        <w:rPr>
          <w:sz w:val="24"/>
          <w:szCs w:val="24"/>
          <w:color w:val="auto"/>
        </w:rPr>
      </w:pPr>
    </w:p>
    <w:p>
      <w:pPr>
        <w:spacing w:after="0" w:line="380" w:lineRule="exact"/>
        <w:rPr>
          <w:sz w:val="24"/>
          <w:szCs w:val="24"/>
          <w:color w:val="auto"/>
        </w:rPr>
      </w:pPr>
    </w:p>
    <w:p>
      <w:pPr>
        <w:ind w:left="367" w:hanging="367"/>
        <w:spacing w:after="0"/>
        <w:tabs>
          <w:tab w:leader="none" w:pos="367"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2019-nCoV in the past 24 hours.</w:t>
      </w:r>
    </w:p>
    <w:p>
      <w:pPr>
        <w:spacing w:after="0" w:line="231" w:lineRule="exact"/>
        <w:rPr>
          <w:rFonts w:ascii="Arial" w:cs="Arial" w:eastAsia="Arial" w:hAnsi="Arial"/>
          <w:sz w:val="22"/>
          <w:szCs w:val="22"/>
          <w:color w:val="auto"/>
        </w:rPr>
      </w:pPr>
    </w:p>
    <w:p>
      <w:pPr>
        <w:jc w:val="both"/>
        <w:ind w:left="367" w:hanging="367"/>
        <w:spacing w:after="0" w:line="267" w:lineRule="auto"/>
        <w:tabs>
          <w:tab w:leader="none" w:pos="367"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WHO is working with partners to strengthen global diagnostic capacity for 2019-nCoV detection to improve surveillance and track the spread of disease. WHO and partners have activated a network of specialized referral laboratories with demonstrated expertise in the molecular detection of coronaviruses. These international labs can support national labs to confirm new cases and troubleshoot their molecular assays.</w:t>
      </w:r>
    </w:p>
    <w:p>
      <w:pPr>
        <w:spacing w:after="0" w:line="204" w:lineRule="exact"/>
        <w:rPr>
          <w:rFonts w:ascii="Arial" w:cs="Arial" w:eastAsia="Arial" w:hAnsi="Arial"/>
          <w:sz w:val="22"/>
          <w:szCs w:val="22"/>
          <w:color w:val="auto"/>
        </w:rPr>
      </w:pPr>
    </w:p>
    <w:p>
      <w:pPr>
        <w:ind w:left="367" w:right="100" w:hanging="367"/>
        <w:spacing w:after="0" w:line="265" w:lineRule="auto"/>
        <w:tabs>
          <w:tab w:leader="none" w:pos="367"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is convening a global research and innovation forum to mobilize international action in response to the new coronavirus, covering a broad spectrum of research areas including epidemiology, clinical care, vaccines, therapeutics, diagnostics, animal health, social sciences, and other topics. More details can be found </w:t>
      </w:r>
      <w:hyperlink r:id="rId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sz w:val="24"/>
          <w:szCs w:val="24"/>
          <w:color w:val="auto"/>
        </w:rPr>
      </w:pP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28 276 confirmed (3722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28 060 confirmed (3697 new)</w:t>
      </w:r>
    </w:p>
    <w:p>
      <w:pPr>
        <w:ind w:left="220"/>
        <w:spacing w:after="0"/>
        <w:rPr>
          <w:sz w:val="20"/>
          <w:szCs w:val="20"/>
          <w:color w:val="auto"/>
        </w:rPr>
      </w:pPr>
      <w:r>
        <w:rPr>
          <w:rFonts w:ascii="Calibri" w:cs="Calibri" w:eastAsia="Calibri" w:hAnsi="Calibri"/>
          <w:sz w:val="24"/>
          <w:szCs w:val="24"/>
          <w:color w:val="FF6600"/>
        </w:rPr>
        <w:t>3859 severe (640 new)</w:t>
      </w:r>
    </w:p>
    <w:p>
      <w:pPr>
        <w:ind w:left="340"/>
        <w:spacing w:after="0"/>
        <w:rPr>
          <w:sz w:val="20"/>
          <w:szCs w:val="20"/>
          <w:color w:val="auto"/>
        </w:rPr>
      </w:pPr>
      <w:r>
        <w:rPr>
          <w:rFonts w:ascii="Calibri" w:cs="Calibri" w:eastAsia="Calibri" w:hAnsi="Calibri"/>
          <w:sz w:val="24"/>
          <w:szCs w:val="24"/>
          <w:color w:val="FF6600"/>
        </w:rPr>
        <w:t>564 deaths (73 new)</w:t>
      </w:r>
    </w:p>
    <w:p>
      <w:pPr>
        <w:spacing w:after="0" w:line="295" w:lineRule="exact"/>
        <w:rPr>
          <w:sz w:val="24"/>
          <w:szCs w:val="24"/>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340"/>
        <w:spacing w:after="0"/>
        <w:rPr>
          <w:sz w:val="20"/>
          <w:szCs w:val="20"/>
          <w:color w:val="auto"/>
        </w:rPr>
      </w:pPr>
      <w:r>
        <w:rPr>
          <w:rFonts w:ascii="Calibri" w:cs="Calibri" w:eastAsia="Calibri" w:hAnsi="Calibri"/>
          <w:sz w:val="24"/>
          <w:szCs w:val="24"/>
          <w:color w:val="FF6600"/>
        </w:rPr>
        <w:t>216 confirmed (25 new)</w:t>
      </w:r>
    </w:p>
    <w:p>
      <w:pPr>
        <w:ind w:left="840" w:hanging="288"/>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2" w:lineRule="exact"/>
        <w:rPr>
          <w:sz w:val="24"/>
          <w:szCs w:val="24"/>
          <w:color w:val="auto"/>
        </w:rPr>
      </w:pPr>
    </w:p>
    <w:p>
      <w:pPr>
        <w:jc w:val="center"/>
        <w:ind w:right="38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587" w:space="340"/>
            <w:col w:w="3000"/>
          </w:cols>
          <w:pgMar w:left="413" w:top="520" w:right="571" w:bottom="0" w:gutter="0" w:footer="0" w:header="0"/>
        </w:sectPr>
      </w:pPr>
    </w:p>
    <w:p>
      <w:pPr>
        <w:spacing w:after="0" w:line="66" w:lineRule="exact"/>
        <w:rPr>
          <w:sz w:val="24"/>
          <w:szCs w:val="24"/>
          <w:color w:val="auto"/>
        </w:rPr>
      </w:pPr>
    </w:p>
    <w:p>
      <w:pPr>
        <w:ind w:left="547"/>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2019-nCoV, 6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347980</wp:posOffset>
            </wp:positionH>
            <wp:positionV relativeFrom="paragraph">
              <wp:posOffset>224155</wp:posOffset>
            </wp:positionV>
            <wp:extent cx="6448425" cy="3627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6448425" cy="3627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ind w:left="267"/>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0927"/>
          </w:cols>
          <w:pgMar w:left="413" w:top="520" w:right="57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Establishing global/regional coordination and technical guidance</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right="140"/>
        <w:spacing w:after="0" w:line="267" w:lineRule="auto"/>
        <w:rPr>
          <w:sz w:val="20"/>
          <w:szCs w:val="20"/>
          <w:color w:val="auto"/>
        </w:rPr>
      </w:pPr>
      <w:r>
        <w:rPr>
          <w:rFonts w:ascii="Calibri" w:cs="Calibri" w:eastAsia="Calibri" w:hAnsi="Calibri"/>
          <w:sz w:val="22"/>
          <w:szCs w:val="22"/>
          <w:color w:val="auto"/>
        </w:rPr>
        <w:t>WHO is working with partners to strengthen global diagnostic capacity for 2019-nCoV detection to improve surveillance and track the spread of disease. Public health efforts to control the spread of disease in countries with imported cases depend critically on the ability to detect the pathogen quickly. WHO and partners have activated a network of specialized referral laboratories with demonstrated expertise in the molecular detection of coronaviruses. These international labs can support national labs to confirm new cases and troubleshoot their molecular assays.</w:t>
      </w:r>
    </w:p>
    <w:p>
      <w:pPr>
        <w:spacing w:after="0" w:line="370"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color w:val="auto"/>
        </w:rPr>
        <w:t>Currently, there are 15 laboratories have been identified to provide reference testing support for 2019-nCoV. These laboratories include:</w:t>
      </w:r>
    </w:p>
    <w:p>
      <w:pPr>
        <w:spacing w:after="0" w:line="42" w:lineRule="exact"/>
        <w:rPr>
          <w:sz w:val="20"/>
          <w:szCs w:val="20"/>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Armed Forces Research Institute of Medical Sciences, Thailand</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Erasmus Medical Center, The Netherlands</w:t>
      </w:r>
    </w:p>
    <w:p>
      <w:pPr>
        <w:spacing w:after="0" w:line="38"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Hong Kong University, Hong Kong SAR, China</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Institute of Tropical Medicine, Nagasaki University, Japan</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Institute of Virology, Charité, Robert Koch Institute, Germany</w:t>
      </w:r>
    </w:p>
    <w:p>
      <w:pPr>
        <w:spacing w:after="0" w:line="38"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National Institute for Communicable Diseases, South Africa</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National Institute of Health, Thailand</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National Institute of Virology, India</w:t>
      </w:r>
    </w:p>
    <w:p>
      <w:pPr>
        <w:spacing w:after="0" w:line="38"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National Public Health Laboratory, Singapore</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Institut Pasteur Dakar, Senegal</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Institut Pasteur, Paris</w:t>
      </w:r>
    </w:p>
    <w:p>
      <w:pPr>
        <w:spacing w:after="0" w:line="38"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Public Health England, UK</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State Research Center for Virology and Biotechnology, Vector Institute, Russia</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United States Center for Disease Control and Prevention, USA</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Victorian Infectious Diseases Reference Laboratory, Australia</w:t>
      </w:r>
    </w:p>
    <w:p>
      <w:pPr>
        <w:spacing w:after="0" w:line="397" w:lineRule="exact"/>
        <w:rPr>
          <w:sz w:val="20"/>
          <w:szCs w:val="20"/>
          <w:color w:val="auto"/>
        </w:rPr>
      </w:pPr>
    </w:p>
    <w:p>
      <w:pPr>
        <w:spacing w:after="0" w:line="268" w:lineRule="auto"/>
        <w:rPr>
          <w:sz w:val="20"/>
          <w:szCs w:val="20"/>
          <w:color w:val="auto"/>
        </w:rPr>
      </w:pPr>
      <w:r>
        <w:rPr>
          <w:rFonts w:ascii="Calibri" w:cs="Calibri" w:eastAsia="Calibri" w:hAnsi="Calibri"/>
          <w:sz w:val="22"/>
          <w:szCs w:val="22"/>
          <w:color w:val="auto"/>
        </w:rPr>
        <w:t>WHO is working to ensure 2019-nCoV test availability, including: a) screening of 2019-nCoV PCR protocols from academic laboratories for validation data, b) evaluation of the potential to use existing commercial coronavirus assays (e.g. SARS-CoV) to detect 2019-nCoV with high sensitivity, and c) working with commercial and non-commercial agencies with capacity to manufacture and distribute newly-developed 2019-nCoV PCR assays. To increase regional testing capacity, efforts to increase national capacity and provide regional reference laboratory support is ongoing. WHO has made 250,000 tests available to WHO Regional Offices and national laboratories. These tests are being shipped to 159 laboratories across all WHO regions.</w:t>
      </w:r>
    </w:p>
    <w:p>
      <w:pPr>
        <w:spacing w:after="0" w:line="371" w:lineRule="exact"/>
        <w:rPr>
          <w:sz w:val="20"/>
          <w:szCs w:val="20"/>
          <w:color w:val="auto"/>
        </w:rPr>
      </w:pPr>
    </w:p>
    <w:p>
      <w:pPr>
        <w:jc w:val="both"/>
        <w:ind w:right="180"/>
        <w:spacing w:after="0" w:line="254" w:lineRule="auto"/>
        <w:rPr>
          <w:sz w:val="20"/>
          <w:szCs w:val="20"/>
          <w:color w:val="auto"/>
        </w:rPr>
      </w:pPr>
      <w:r>
        <w:rPr>
          <w:rFonts w:ascii="Calibri" w:cs="Calibri" w:eastAsia="Calibri" w:hAnsi="Calibri"/>
          <w:sz w:val="22"/>
          <w:szCs w:val="22"/>
          <w:color w:val="auto"/>
        </w:rPr>
        <w:t>WHO will also utilize the Shipping Fund Programme established by the Global Influenza Surveillance and Response System as a mechanism to send clinical samples from patients meeting the case definition of suspected 2019-nCoV infection to international referral laboratories.</w:t>
      </w:r>
    </w:p>
    <w:p>
      <w:pPr>
        <w:spacing w:after="0" w:line="383" w:lineRule="exact"/>
        <w:rPr>
          <w:sz w:val="20"/>
          <w:szCs w:val="20"/>
          <w:color w:val="auto"/>
        </w:rPr>
      </w:pPr>
    </w:p>
    <w:p>
      <w:pPr>
        <w:jc w:val="both"/>
        <w:ind w:right="440"/>
        <w:spacing w:after="0" w:line="253" w:lineRule="auto"/>
        <w:rPr>
          <w:sz w:val="20"/>
          <w:szCs w:val="20"/>
          <w:color w:val="auto"/>
        </w:rPr>
      </w:pPr>
      <w:r>
        <w:rPr>
          <w:rFonts w:ascii="Calibri" w:cs="Calibri" w:eastAsia="Calibri" w:hAnsi="Calibri"/>
          <w:sz w:val="22"/>
          <w:szCs w:val="22"/>
          <w:color w:val="auto"/>
        </w:rPr>
        <w:t>National capacity for detection of 2019-nCoV must be strengthened so that diagnostic testing can be performed rapidly without the need for overseas shipping. One way this will be achieved is by working with existing global networks for detection of respiratory pathogens, such as National Influenza Centres.</w:t>
      </w:r>
    </w:p>
    <w:p>
      <w:pPr>
        <w:sectPr>
          <w:pgSz w:w="11920" w:h="16841" w:orient="portrait"/>
          <w:cols w:equalWidth="0" w:num="1">
            <w:col w:w="10440"/>
          </w:cols>
          <w:pgMar w:left="720" w:top="899" w:right="75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6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185420</wp:posOffset>
                </wp:positionV>
                <wp:extent cx="12700" cy="133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FFFFFF"/>
                        </a:solidFill>
                      </wps:spPr>
                      <wps:bodyPr/>
                    </wps:wsp>
                  </a:graphicData>
                </a:graphic>
              </wp:anchor>
            </w:drawing>
          </mc:Choice>
          <mc:Fallback>
            <w:pict>
              <v:rect id="Shape 5" o:spid="_x0000_s1030" style="position:absolute;margin-left:230.65pt;margin-top:14.6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386080</wp:posOffset>
                </wp:positionV>
                <wp:extent cx="61093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pt" to="481.05pt,30.4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1400175</wp:posOffset>
                </wp:positionV>
                <wp:extent cx="61093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25pt" to="481.05pt,110.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2209800</wp:posOffset>
                </wp:positionV>
                <wp:extent cx="61093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4pt" to="481.05pt,174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3828415</wp:posOffset>
                </wp:positionV>
                <wp:extent cx="61093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1.45pt" to="481.05pt,301.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4232275</wp:posOffset>
                </wp:positionV>
                <wp:extent cx="61093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25pt" to="481.05pt,333.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5041265</wp:posOffset>
                </wp:positionV>
                <wp:extent cx="61093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6.95pt" to="481.05pt,396.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5648325</wp:posOffset>
                </wp:positionV>
                <wp:extent cx="61093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4.75pt" to="481.05pt,444.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6053455</wp:posOffset>
                </wp:positionV>
                <wp:extent cx="61093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6.65pt" to="481.05pt,476.6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6660515</wp:posOffset>
                </wp:positionV>
                <wp:extent cx="61093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4.45pt" to="481.05pt,524.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7266940</wp:posOffset>
                </wp:positionV>
                <wp:extent cx="61093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2.2pt" to="481.05pt,572.2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174625</wp:posOffset>
                </wp:positionV>
                <wp:extent cx="0" cy="72891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8916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3.75pt" to="0.45pt,587.7pt" o:allowincell="f" strokecolor="#FFFFFF" strokeweight="0.9599pt"/>
            </w:pict>
          </mc:Fallback>
        </mc:AlternateContent>
      </w: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20" w:type="dxa"/>
            <w:vAlign w:val="bottom"/>
            <w:tcBorders>
              <w:bottom w:val="single" w:sz="8" w:color="4F81BD"/>
            </w:tcBorders>
          </w:tcPr>
          <w:p>
            <w:pPr>
              <w:spacing w:after="0"/>
              <w:rPr>
                <w:sz w:val="23"/>
                <w:szCs w:val="23"/>
                <w:color w:val="auto"/>
              </w:rPr>
            </w:pPr>
          </w:p>
        </w:tc>
        <w:tc>
          <w:tcPr>
            <w:tcW w:w="4600" w:type="dxa"/>
            <w:vAlign w:val="bottom"/>
            <w:tcBorders>
              <w:bottom w:val="single" w:sz="8" w:color="4F81BD"/>
            </w:tcBorders>
            <w:shd w:val="clear" w:color="auto" w:fill="4F81BD"/>
          </w:tcPr>
          <w:p>
            <w:pPr>
              <w:spacing w:after="0"/>
              <w:rPr>
                <w:sz w:val="20"/>
                <w:szCs w:val="20"/>
                <w:color w:val="auto"/>
              </w:rPr>
            </w:pPr>
            <w:r>
              <w:rPr>
                <w:rFonts w:ascii="Arial" w:cs="Arial" w:eastAsia="Arial" w:hAnsi="Arial"/>
                <w:sz w:val="22"/>
                <w:szCs w:val="22"/>
                <w:b w:val="1"/>
                <w:bCs w:val="1"/>
                <w:color w:val="FFFFFF"/>
              </w:rPr>
              <w:t>Province/Region/City</w:t>
            </w:r>
          </w:p>
        </w:tc>
        <w:tc>
          <w:tcPr>
            <w:tcW w:w="20" w:type="dxa"/>
            <w:vAlign w:val="bottom"/>
            <w:tcBorders>
              <w:bottom w:val="single" w:sz="8" w:color="4F81BD"/>
            </w:tcBorders>
          </w:tcPr>
          <w:p>
            <w:pPr>
              <w:spacing w:after="0"/>
              <w:rPr>
                <w:sz w:val="23"/>
                <w:szCs w:val="23"/>
                <w:color w:val="auto"/>
              </w:rPr>
            </w:pPr>
          </w:p>
        </w:tc>
        <w:tc>
          <w:tcPr>
            <w:tcW w:w="4960" w:type="dxa"/>
            <w:vAlign w:val="bottom"/>
            <w:tcBorders>
              <w:bottom w:val="single" w:sz="8" w:color="4F81BD"/>
            </w:tcBorders>
            <w:shd w:val="clear" w:color="auto" w:fill="4F81BD"/>
          </w:tcPr>
          <w:p>
            <w:pPr>
              <w:ind w:left="1580"/>
              <w:spacing w:after="0"/>
              <w:rPr>
                <w:sz w:val="20"/>
                <w:szCs w:val="20"/>
                <w:color w:val="auto"/>
              </w:rPr>
            </w:pPr>
            <w:r>
              <w:rPr>
                <w:rFonts w:ascii="Arial" w:cs="Arial" w:eastAsia="Arial" w:hAnsi="Arial"/>
                <w:sz w:val="22"/>
                <w:szCs w:val="22"/>
                <w:b w:val="1"/>
                <w:bCs w:val="1"/>
                <w:color w:val="FFFFFF"/>
              </w:rPr>
              <w:t>Confirmed Cases</w:t>
            </w:r>
          </w:p>
        </w:tc>
        <w:tc>
          <w:tcPr>
            <w:tcW w:w="20" w:type="dxa"/>
            <w:vAlign w:val="bottom"/>
            <w:tcBorders>
              <w:bottom w:val="single" w:sz="8" w:color="4F81BD"/>
            </w:tcBorders>
          </w:tcPr>
          <w:p>
            <w:pPr>
              <w:spacing w:after="0"/>
              <w:rPr>
                <w:sz w:val="23"/>
                <w:szCs w:val="23"/>
                <w:color w:val="auto"/>
              </w:rPr>
            </w:pPr>
          </w:p>
        </w:tc>
      </w:tr>
      <w:tr>
        <w:trPr>
          <w:trHeight w:val="41"/>
        </w:trPr>
        <w:tc>
          <w:tcPr>
            <w:tcW w:w="20" w:type="dxa"/>
            <w:vAlign w:val="bottom"/>
          </w:tcPr>
          <w:p>
            <w:pPr>
              <w:spacing w:after="0"/>
              <w:rPr>
                <w:sz w:val="3"/>
                <w:szCs w:val="3"/>
                <w:color w:val="auto"/>
              </w:rPr>
            </w:pPr>
          </w:p>
        </w:tc>
        <w:tc>
          <w:tcPr>
            <w:tcW w:w="4600" w:type="dxa"/>
            <w:vAlign w:val="bottom"/>
          </w:tcPr>
          <w:p>
            <w:pPr>
              <w:spacing w:after="0"/>
              <w:rPr>
                <w:sz w:val="3"/>
                <w:szCs w:val="3"/>
                <w:color w:val="auto"/>
              </w:rPr>
            </w:pPr>
          </w:p>
        </w:tc>
        <w:tc>
          <w:tcPr>
            <w:tcW w:w="4980" w:type="dxa"/>
            <w:vAlign w:val="bottom"/>
            <w:gridSpan w:val="2"/>
          </w:tcPr>
          <w:p>
            <w:pPr>
              <w:spacing w:after="0"/>
              <w:rPr>
                <w:sz w:val="3"/>
                <w:szCs w:val="3"/>
                <w:color w:val="auto"/>
              </w:rPr>
            </w:pPr>
          </w:p>
        </w:tc>
        <w:tc>
          <w:tcPr>
            <w:tcW w:w="20" w:type="dxa"/>
            <w:vAlign w:val="bottom"/>
          </w:tcPr>
          <w:p>
            <w:pPr>
              <w:spacing w:after="0"/>
              <w:rPr>
                <w:sz w:val="3"/>
                <w:szCs w:val="3"/>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19 665</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Zhejiang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954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944</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851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711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Anhui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591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600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Chongqing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389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Jiangsu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373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Sichuan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321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343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Beijing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274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254</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Fujian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215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Heilongjiang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227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173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168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7"/>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Hebei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157</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Yunnan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128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Hainan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100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Liaoning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89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90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Tianjin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70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Gansu</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62</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Guizhou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69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Jilin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59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Inner Mongolia</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46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Ningxia</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40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Xinjiang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36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Hong Kong SAR</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21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Qinghai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Taipei and environs</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Macao SAR</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Xizang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b w:val="1"/>
                <w:bCs w:val="1"/>
                <w:color w:val="auto"/>
                <w:w w:val="98"/>
              </w:rPr>
              <w:t>28 060</w:t>
            </w:r>
          </w:p>
        </w:tc>
        <w:tc>
          <w:tcPr>
            <w:tcW w:w="20" w:type="dxa"/>
            <w:vAlign w:val="bottom"/>
            <w:tcBorders>
              <w:bottom w:val="single" w:sz="8" w:color="E9EDF4"/>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-6872605</wp:posOffset>
                </wp:positionV>
                <wp:extent cx="31800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41.1499pt" to="481.05pt,-541.1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-6670040</wp:posOffset>
                </wp:positionV>
                <wp:extent cx="31800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25.1999pt" to="481.05pt,-525.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-6466840</wp:posOffset>
                </wp:positionV>
                <wp:extent cx="31800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09.1999pt" to="481.05pt,-509.1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-6265545</wp:posOffset>
                </wp:positionV>
                <wp:extent cx="31800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93.3499pt" to="481.05pt,-493.3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-5860415</wp:posOffset>
                </wp:positionV>
                <wp:extent cx="31800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61.4499pt" to="481.05pt,-461.4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-5659120</wp:posOffset>
                </wp:positionV>
                <wp:extent cx="31800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5.5999pt" to="481.05pt,-445.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-5455920</wp:posOffset>
                </wp:positionV>
                <wp:extent cx="31800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29.5999pt" to="481.05pt,-429.5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-5050790</wp:posOffset>
                </wp:positionV>
                <wp:extent cx="31800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97.6999pt" to="481.05pt,-397.6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-4849495</wp:posOffset>
                </wp:positionV>
                <wp:extent cx="31800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81.8499pt" to="481.05pt,-381.8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-4646930</wp:posOffset>
                </wp:positionV>
                <wp:extent cx="31800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65.8999pt" to="481.05pt,-365.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-4444365</wp:posOffset>
                </wp:positionV>
                <wp:extent cx="31800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49.9499pt" to="481.05pt,-349.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-4241800</wp:posOffset>
                </wp:positionV>
                <wp:extent cx="31800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34pt" to="481.05pt,-334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-4040505</wp:posOffset>
                </wp:positionV>
                <wp:extent cx="31800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8.1499pt" to="481.05pt,-318.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-3837940</wp:posOffset>
                </wp:positionV>
                <wp:extent cx="31800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02.1999pt" to="481.05pt,-302.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-3434080</wp:posOffset>
                </wp:positionV>
                <wp:extent cx="3180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70.3999pt" to="481.05pt,-270.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-3028315</wp:posOffset>
                </wp:positionV>
                <wp:extent cx="31800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38.4499pt" to="481.05pt,-238.4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-2825750</wp:posOffset>
                </wp:positionV>
                <wp:extent cx="31800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22.4999pt" to="481.05pt,-222.4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-2624455</wp:posOffset>
                </wp:positionV>
                <wp:extent cx="318008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06.6499pt" to="481.05pt,-206.6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-2219325</wp:posOffset>
                </wp:positionV>
                <wp:extent cx="3180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74.7499pt" to="481.05pt,-174.7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-2016125</wp:posOffset>
                </wp:positionV>
                <wp:extent cx="3180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58.7499pt" to="481.05pt,-158.7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-1612265</wp:posOffset>
                </wp:positionV>
                <wp:extent cx="31800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26.9499pt" to="481.05pt,-126.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-1206500</wp:posOffset>
                </wp:positionV>
                <wp:extent cx="31800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95pt" to="481.05pt,-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-1005205</wp:posOffset>
                </wp:positionV>
                <wp:extent cx="318008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79.1499pt" to="481.05pt,-79.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-600075</wp:posOffset>
                </wp:positionV>
                <wp:extent cx="31800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7.2499pt" to="481.05pt,-47.2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-398780</wp:posOffset>
                </wp:positionV>
                <wp:extent cx="31800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3999pt" to="481.05pt,-31.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2935605</wp:posOffset>
                </wp:positionH>
                <wp:positionV relativeFrom="paragraph">
                  <wp:posOffset>-7265670</wp:posOffset>
                </wp:positionV>
                <wp:extent cx="0" cy="726567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572.0999pt" to="231.15pt,0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6103620</wp:posOffset>
                </wp:positionH>
                <wp:positionV relativeFrom="paragraph">
                  <wp:posOffset>-7265670</wp:posOffset>
                </wp:positionV>
                <wp:extent cx="0" cy="726567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6pt,-572.0999pt" to="480.6pt,0pt" o:allowincell="f" strokecolor="#FFFFFF" strokeweight="0.96pt"/>
            </w:pict>
          </mc:Fallback>
        </mc:AlternateContent>
      </w:r>
    </w:p>
    <w:p>
      <w:pPr>
        <w:sectPr>
          <w:pgSz w:w="11920" w:h="16841" w:orient="portrait"/>
          <w:cols w:equalWidth="0" w:num="1">
            <w:col w:w="9880"/>
          </w:cols>
          <w:pgMar w:left="720" w:top="899" w:right="1311" w:bottom="1440" w:gutter="0" w:footer="0" w:header="0"/>
        </w:sectPr>
      </w:pPr>
    </w:p>
    <w:bookmarkStart w:id="3" w:name="page4"/>
    <w:bookmarkEnd w:id="3"/>
    <w:p>
      <w:pPr>
        <w:ind w:left="360" w:right="1200"/>
        <w:spacing w:after="0" w:line="218" w:lineRule="auto"/>
        <w:rPr>
          <w:sz w:val="20"/>
          <w:szCs w:val="20"/>
          <w:color w:val="auto"/>
        </w:rPr>
      </w:pPr>
      <w:r>
        <w:rPr>
          <w:rFonts w:ascii="Calibri" w:cs="Calibri" w:eastAsia="Calibri" w:hAnsi="Calibri"/>
          <w:sz w:val="22"/>
          <w:szCs w:val="22"/>
          <w:b w:val="1"/>
          <w:bCs w:val="1"/>
          <w:color w:val="007AB0"/>
        </w:rPr>
        <w:t>Table 2. Countries, territories or areas with reported confirmed 2019-nCoV cases and deaths. Data as of 6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287"/>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(new) cases</w:t>
            </w:r>
          </w:p>
        </w:tc>
        <w:tc>
          <w:tcPr>
            <w:tcW w:w="1540" w:type="dxa"/>
            <w:vAlign w:val="bottom"/>
            <w:tcBorders>
              <w:top w:val="single" w:sz="8" w:color="auto"/>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(new)</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gridSpan w:val="2"/>
            <w:vMerge w:val="continue"/>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100"/>
              <w:spacing w:after="0"/>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with  possible</w:t>
            </w:r>
          </w:p>
        </w:tc>
        <w:tc>
          <w:tcPr>
            <w:tcW w:w="1540" w:type="dxa"/>
            <w:vAlign w:val="bottom"/>
            <w:tcBorders>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cases with site</w:t>
            </w: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gridSpan w:val="2"/>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Total (new)</w:t>
            </w:r>
          </w:p>
        </w:tc>
        <w:tc>
          <w:tcPr>
            <w:tcW w:w="0" w:type="dxa"/>
            <w:vAlign w:val="bottom"/>
          </w:tcPr>
          <w:p>
            <w:pPr>
              <w:spacing w:after="0"/>
              <w:rPr>
                <w:sz w:val="1"/>
                <w:szCs w:val="1"/>
                <w:color w:val="auto"/>
              </w:rPr>
            </w:pPr>
          </w:p>
        </w:tc>
      </w:tr>
      <w:tr>
        <w:trPr>
          <w:trHeight w:val="140"/>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vMerge w:val="continue"/>
            <w:shd w:val="clear" w:color="auto" w:fill="4F81BD"/>
          </w:tcPr>
          <w:p>
            <w:pPr>
              <w:spacing w:after="0"/>
              <w:rPr>
                <w:sz w:val="12"/>
                <w:szCs w:val="12"/>
                <w:color w:val="auto"/>
              </w:rPr>
            </w:pPr>
          </w:p>
        </w:tc>
        <w:tc>
          <w:tcPr>
            <w:tcW w:w="1000" w:type="dxa"/>
            <w:vAlign w:val="bottom"/>
            <w:tcBorders>
              <w:right w:val="single" w:sz="8" w:color="auto"/>
            </w:tcBorders>
            <w:vMerge w:val="continue"/>
            <w:shd w:val="clear" w:color="auto" w:fill="4F81BD"/>
          </w:tcPr>
          <w:p>
            <w:pPr>
              <w:spacing w:after="0"/>
              <w:rPr>
                <w:sz w:val="12"/>
                <w:szCs w:val="12"/>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or confirmed</w:t>
            </w:r>
          </w:p>
        </w:tc>
        <w:tc>
          <w:tcPr>
            <w:tcW w:w="1540" w:type="dxa"/>
            <w:vAlign w:val="bottom"/>
            <w:tcBorders>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of transmission</w:t>
            </w:r>
          </w:p>
        </w:tc>
        <w:tc>
          <w:tcPr>
            <w:tcW w:w="1260" w:type="dxa"/>
            <w:vAlign w:val="bottom"/>
            <w:tcBorders>
              <w:right w:val="single" w:sz="8" w:color="auto"/>
            </w:tcBorders>
            <w:vMerge w:val="continue"/>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(new) cases</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gridSpan w:val="2"/>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deaths</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gridSpan w:val="2"/>
            <w:vMerge w:val="continue"/>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outside of China</w:t>
            </w:r>
            <w:r>
              <w:rPr>
                <w:rFonts w:ascii="Calibri" w:cs="Calibri" w:eastAsia="Calibri" w:hAnsi="Calibri"/>
                <w:sz w:val="27"/>
                <w:szCs w:val="27"/>
                <w:b w:val="1"/>
                <w:bCs w:val="1"/>
                <w:color w:val="FFFFFF"/>
                <w:w w:val="98"/>
                <w:vertAlign w:val="superscript"/>
              </w:rPr>
              <w:t>†</w:t>
            </w:r>
          </w:p>
        </w:tc>
        <w:tc>
          <w:tcPr>
            <w:tcW w:w="1540" w:type="dxa"/>
            <w:vAlign w:val="bottom"/>
            <w:tcBorders>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2280" w:type="dxa"/>
            <w:vAlign w:val="bottom"/>
            <w:tcBorders>
              <w:left w:val="single" w:sz="8" w:color="auto"/>
              <w:right w:val="single" w:sz="8" w:color="auto"/>
            </w:tcBorders>
            <w:shd w:val="clear" w:color="auto" w:fill="4F81BD"/>
          </w:tcPr>
          <w:p>
            <w:pPr>
              <w:spacing w:after="0"/>
              <w:rPr>
                <w:sz w:val="12"/>
                <w:szCs w:val="12"/>
                <w:color w:val="auto"/>
              </w:rPr>
            </w:pPr>
          </w:p>
        </w:tc>
        <w:tc>
          <w:tcPr>
            <w:tcW w:w="2240" w:type="dxa"/>
            <w:vAlign w:val="bottom"/>
            <w:tcBorders>
              <w:right w:val="single" w:sz="8" w:color="auto"/>
            </w:tcBorders>
            <w:shd w:val="clear" w:color="auto" w:fill="4F81BD"/>
          </w:tcPr>
          <w:p>
            <w:pPr>
              <w:spacing w:after="0"/>
              <w:rPr>
                <w:sz w:val="12"/>
                <w:szCs w:val="12"/>
                <w:color w:val="auto"/>
              </w:rPr>
            </w:pPr>
          </w:p>
        </w:tc>
        <w:tc>
          <w:tcPr>
            <w:tcW w:w="1260" w:type="dxa"/>
            <w:vAlign w:val="bottom"/>
            <w:tcBorders>
              <w:right w:val="single" w:sz="8" w:color="auto"/>
            </w:tcBorders>
            <w:shd w:val="clear" w:color="auto" w:fill="4F81BD"/>
          </w:tcPr>
          <w:p>
            <w:pPr>
              <w:spacing w:after="0"/>
              <w:rPr>
                <w:sz w:val="12"/>
                <w:szCs w:val="12"/>
                <w:color w:val="auto"/>
              </w:rPr>
            </w:pPr>
          </w:p>
        </w:tc>
        <w:tc>
          <w:tcPr>
            <w:tcW w:w="1000" w:type="dxa"/>
            <w:vAlign w:val="bottom"/>
            <w:tcBorders>
              <w:right w:val="single" w:sz="8" w:color="auto"/>
            </w:tcBorders>
            <w:vMerge w:val="restart"/>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vMerge w:val="continue"/>
            <w:shd w:val="clear" w:color="auto" w:fill="4F81BD"/>
          </w:tcPr>
          <w:p>
            <w:pPr>
              <w:spacing w:after="0"/>
              <w:rPr>
                <w:sz w:val="12"/>
                <w:szCs w:val="12"/>
                <w:color w:val="auto"/>
              </w:rPr>
            </w:pPr>
          </w:p>
        </w:tc>
        <w:tc>
          <w:tcPr>
            <w:tcW w:w="1540" w:type="dxa"/>
            <w:vAlign w:val="bottom"/>
            <w:tcBorders>
              <w:right w:val="single" w:sz="8" w:color="auto"/>
            </w:tcBorders>
            <w:gridSpan w:val="2"/>
            <w:vMerge w:val="continue"/>
            <w:shd w:val="clear" w:color="auto" w:fill="4F81BD"/>
          </w:tcPr>
          <w:p>
            <w:pPr>
              <w:spacing w:after="0"/>
              <w:rPr>
                <w:sz w:val="12"/>
                <w:szCs w:val="12"/>
                <w:color w:val="auto"/>
              </w:rPr>
            </w:pPr>
          </w:p>
        </w:tc>
        <w:tc>
          <w:tcPr>
            <w:tcW w:w="126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2280" w:type="dxa"/>
            <w:vAlign w:val="bottom"/>
            <w:tcBorders>
              <w:left w:val="single" w:sz="8" w:color="auto"/>
              <w:bottom w:val="single" w:sz="8" w:color="auto"/>
              <w:right w:val="single" w:sz="8" w:color="auto"/>
            </w:tcBorders>
            <w:shd w:val="clear" w:color="auto" w:fill="4F81BD"/>
          </w:tcPr>
          <w:p>
            <w:pPr>
              <w:spacing w:after="0"/>
              <w:rPr>
                <w:sz w:val="13"/>
                <w:szCs w:val="13"/>
                <w:color w:val="auto"/>
              </w:rPr>
            </w:pPr>
          </w:p>
        </w:tc>
        <w:tc>
          <w:tcPr>
            <w:tcW w:w="2240" w:type="dxa"/>
            <w:vAlign w:val="bottom"/>
            <w:tcBorders>
              <w:bottom w:val="single" w:sz="8" w:color="auto"/>
              <w:right w:val="single" w:sz="8" w:color="auto"/>
            </w:tcBorders>
            <w:shd w:val="clear" w:color="auto" w:fill="4F81BD"/>
          </w:tcPr>
          <w:p>
            <w:pPr>
              <w:spacing w:after="0"/>
              <w:rPr>
                <w:sz w:val="13"/>
                <w:szCs w:val="13"/>
                <w:color w:val="auto"/>
              </w:rPr>
            </w:pPr>
          </w:p>
        </w:tc>
        <w:tc>
          <w:tcPr>
            <w:tcW w:w="1260" w:type="dxa"/>
            <w:vAlign w:val="bottom"/>
            <w:tcBorders>
              <w:bottom w:val="single" w:sz="8" w:color="auto"/>
              <w:right w:val="single" w:sz="8" w:color="auto"/>
            </w:tcBorders>
            <w:shd w:val="clear" w:color="auto" w:fill="4F81BD"/>
          </w:tcPr>
          <w:p>
            <w:pPr>
              <w:spacing w:after="0"/>
              <w:rPr>
                <w:sz w:val="13"/>
                <w:szCs w:val="13"/>
                <w:color w:val="auto"/>
              </w:rPr>
            </w:pPr>
          </w:p>
        </w:tc>
        <w:tc>
          <w:tcPr>
            <w:tcW w:w="1000" w:type="dxa"/>
            <w:vAlign w:val="bottom"/>
            <w:tcBorders>
              <w:bottom w:val="single" w:sz="8" w:color="auto"/>
              <w:right w:val="single" w:sz="8" w:color="auto"/>
            </w:tcBorders>
            <w:vMerge w:val="continue"/>
            <w:shd w:val="clear" w:color="auto" w:fill="4F81BD"/>
          </w:tcPr>
          <w:p>
            <w:pPr>
              <w:spacing w:after="0"/>
              <w:rPr>
                <w:sz w:val="13"/>
                <w:szCs w:val="13"/>
                <w:color w:val="auto"/>
              </w:rPr>
            </w:pPr>
          </w:p>
        </w:tc>
        <w:tc>
          <w:tcPr>
            <w:tcW w:w="1620" w:type="dxa"/>
            <w:vAlign w:val="bottom"/>
            <w:tcBorders>
              <w:bottom w:val="single" w:sz="8" w:color="auto"/>
              <w:right w:val="single" w:sz="8" w:color="auto"/>
            </w:tcBorders>
            <w:shd w:val="clear" w:color="auto" w:fill="4F81BD"/>
          </w:tcPr>
          <w:p>
            <w:pPr>
              <w:spacing w:after="0"/>
              <w:rPr>
                <w:sz w:val="13"/>
                <w:szCs w:val="13"/>
                <w:color w:val="auto"/>
              </w:rPr>
            </w:pPr>
          </w:p>
        </w:tc>
        <w:tc>
          <w:tcPr>
            <w:tcW w:w="680" w:type="dxa"/>
            <w:vAlign w:val="bottom"/>
            <w:tcBorders>
              <w:bottom w:val="single" w:sz="8" w:color="auto"/>
            </w:tcBorders>
            <w:shd w:val="clear" w:color="auto" w:fill="4F81BD"/>
          </w:tcPr>
          <w:p>
            <w:pPr>
              <w:spacing w:after="0"/>
              <w:rPr>
                <w:sz w:val="13"/>
                <w:szCs w:val="13"/>
                <w:color w:val="auto"/>
              </w:rPr>
            </w:pPr>
          </w:p>
        </w:tc>
        <w:tc>
          <w:tcPr>
            <w:tcW w:w="860" w:type="dxa"/>
            <w:vAlign w:val="bottom"/>
            <w:tcBorders>
              <w:bottom w:val="single" w:sz="8" w:color="auto"/>
              <w:right w:val="single" w:sz="8" w:color="auto"/>
            </w:tcBorders>
            <w:shd w:val="clear" w:color="auto" w:fill="4F81BD"/>
          </w:tcPr>
          <w:p>
            <w:pPr>
              <w:spacing w:after="0"/>
              <w:rPr>
                <w:sz w:val="13"/>
                <w:szCs w:val="13"/>
                <w:color w:val="auto"/>
              </w:rPr>
            </w:pPr>
          </w:p>
        </w:tc>
        <w:tc>
          <w:tcPr>
            <w:tcW w:w="1260" w:type="dxa"/>
            <w:vAlign w:val="bottom"/>
            <w:tcBorders>
              <w:bottom w:val="single" w:sz="8" w:color="auto"/>
              <w:right w:val="single" w:sz="8" w:color="auto"/>
            </w:tcBorders>
            <w:shd w:val="clear" w:color="auto" w:fill="4F81BD"/>
          </w:tcPr>
          <w:p>
            <w:pPr>
              <w:spacing w:after="0"/>
              <w:rPr>
                <w:sz w:val="13"/>
                <w:szCs w:val="13"/>
                <w:color w:val="auto"/>
              </w:rPr>
            </w:pPr>
          </w:p>
        </w:tc>
        <w:tc>
          <w:tcPr>
            <w:tcW w:w="0" w:type="dxa"/>
            <w:vAlign w:val="bottom"/>
          </w:tcPr>
          <w:p>
            <w:pPr>
              <w:spacing w:after="0"/>
              <w:rPr>
                <w:sz w:val="1"/>
                <w:szCs w:val="1"/>
                <w:color w:val="auto"/>
              </w:rPr>
            </w:pPr>
          </w:p>
        </w:tc>
      </w:tr>
      <w:tr>
        <w:trPr>
          <w:trHeight w:val="294"/>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shd w:val="clear" w:color="auto" w:fill="E9EDF4"/>
          </w:tcPr>
          <w:p>
            <w:pPr>
              <w:spacing w:after="0" w:line="279" w:lineRule="exact"/>
              <w:rPr>
                <w:sz w:val="20"/>
                <w:szCs w:val="20"/>
                <w:color w:val="auto"/>
              </w:rPr>
            </w:pPr>
            <w:r>
              <w:rPr>
                <w:rFonts w:ascii="Calibri" w:cs="Calibri" w:eastAsia="Calibri" w:hAnsi="Calibri"/>
                <w:sz w:val="22"/>
                <w:szCs w:val="22"/>
                <w:color w:val="auto"/>
              </w:rPr>
              <w:t>China</w:t>
            </w:r>
            <w:r>
              <w:rPr>
                <w:rFonts w:ascii="Calibri" w:cs="Calibri" w:eastAsia="Calibri" w:hAnsi="Calibri"/>
                <w:sz w:val="27"/>
                <w:szCs w:val="27"/>
                <w:color w:val="auto"/>
                <w:vertAlign w:val="superscript"/>
              </w:rPr>
              <w:t>‡</w:t>
            </w:r>
          </w:p>
        </w:tc>
        <w:tc>
          <w:tcPr>
            <w:tcW w:w="1260" w:type="dxa"/>
            <w:vAlign w:val="bottom"/>
            <w:tcBorders>
              <w:bottom w:val="single" w:sz="8" w:color="auto"/>
              <w:right w:val="single" w:sz="8" w:color="auto"/>
            </w:tcBorders>
            <w:shd w:val="clear" w:color="auto" w:fill="E9EDF4"/>
          </w:tcPr>
          <w:p>
            <w:pPr>
              <w:jc w:val="right"/>
              <w:spacing w:after="0"/>
              <w:rPr>
                <w:sz w:val="20"/>
                <w:szCs w:val="20"/>
                <w:color w:val="auto"/>
              </w:rPr>
            </w:pPr>
            <w:r>
              <w:rPr>
                <w:rFonts w:ascii="Calibri" w:cs="Calibri" w:eastAsia="Calibri" w:hAnsi="Calibri"/>
                <w:sz w:val="22"/>
                <w:szCs w:val="22"/>
                <w:color w:val="auto"/>
                <w:w w:val="97"/>
                <w:shd w:val="clear" w:color="auto" w:fill="E9EDF4"/>
              </w:rPr>
              <w:t>28 060(3697)</w:t>
            </w:r>
          </w:p>
        </w:tc>
        <w:tc>
          <w:tcPr>
            <w:tcW w:w="1000" w:type="dxa"/>
            <w:vAlign w:val="bottom"/>
            <w:tcBorders>
              <w:bottom w:val="single" w:sz="8" w:color="auto"/>
              <w:right w:val="single" w:sz="8" w:color="auto"/>
            </w:tcBorders>
            <w:shd w:val="clear" w:color="auto" w:fill="E9EDF4"/>
          </w:tcPr>
          <w:p>
            <w:pPr>
              <w:spacing w:after="0"/>
              <w:rPr>
                <w:sz w:val="24"/>
                <w:szCs w:val="24"/>
                <w:color w:val="auto"/>
              </w:rPr>
            </w:pPr>
          </w:p>
        </w:tc>
        <w:tc>
          <w:tcPr>
            <w:tcW w:w="1620" w:type="dxa"/>
            <w:vAlign w:val="bottom"/>
            <w:tcBorders>
              <w:bottom w:val="single" w:sz="8" w:color="auto"/>
              <w:right w:val="single" w:sz="8" w:color="auto"/>
            </w:tcBorders>
            <w:shd w:val="clear" w:color="auto" w:fill="E9EDF4"/>
          </w:tcPr>
          <w:p>
            <w:pPr>
              <w:spacing w:after="0"/>
              <w:rPr>
                <w:sz w:val="24"/>
                <w:szCs w:val="24"/>
                <w:color w:val="auto"/>
              </w:rPr>
            </w:pPr>
          </w:p>
        </w:tc>
        <w:tc>
          <w:tcPr>
            <w:tcW w:w="680" w:type="dxa"/>
            <w:vAlign w:val="bottom"/>
            <w:tcBorders>
              <w:bottom w:val="single" w:sz="8" w:color="auto"/>
            </w:tcBorders>
            <w:shd w:val="clear" w:color="auto" w:fill="E9EDF4"/>
          </w:tcPr>
          <w:p>
            <w:pPr>
              <w:spacing w:after="0"/>
              <w:rPr>
                <w:sz w:val="24"/>
                <w:szCs w:val="24"/>
                <w:color w:val="auto"/>
              </w:rPr>
            </w:pPr>
          </w:p>
        </w:tc>
        <w:tc>
          <w:tcPr>
            <w:tcW w:w="860" w:type="dxa"/>
            <w:vAlign w:val="bottom"/>
            <w:tcBorders>
              <w:bottom w:val="single" w:sz="8" w:color="auto"/>
              <w:right w:val="single" w:sz="8" w:color="auto"/>
            </w:tcBorders>
            <w:shd w:val="clear" w:color="auto" w:fill="E9EDF4"/>
          </w:tcPr>
          <w:p>
            <w:pPr>
              <w:spacing w:after="0"/>
              <w:rPr>
                <w:sz w:val="24"/>
                <w:szCs w:val="24"/>
                <w:color w:val="auto"/>
              </w:rPr>
            </w:pP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99"/>
              </w:rPr>
              <w:t>564 (73)</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86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9"/>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28 (4)</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21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(3)</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28"/>
        </w:trPr>
        <w:tc>
          <w:tcPr>
            <w:tcW w:w="2280" w:type="dxa"/>
            <w:vAlign w:val="bottom"/>
            <w:tcBorders>
              <w:top w:val="single" w:sz="8" w:color="4F81BD"/>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25 (2)</w:t>
            </w:r>
          </w:p>
        </w:tc>
        <w:tc>
          <w:tcPr>
            <w:tcW w:w="100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21 (1)</w:t>
            </w:r>
          </w:p>
        </w:tc>
        <w:tc>
          <w:tcPr>
            <w:tcW w:w="162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4 (1)</w:t>
            </w:r>
          </w:p>
        </w:tc>
        <w:tc>
          <w:tcPr>
            <w:tcW w:w="680" w:type="dxa"/>
            <w:vAlign w:val="bottom"/>
            <w:tcBorders>
              <w:top w:val="single" w:sz="8" w:color="auto"/>
            </w:tcBorders>
          </w:tcPr>
          <w:p>
            <w:pPr>
              <w:spacing w:after="0"/>
              <w:rPr>
                <w:sz w:val="11"/>
                <w:szCs w:val="11"/>
                <w:color w:val="auto"/>
              </w:rPr>
            </w:pPr>
          </w:p>
        </w:tc>
        <w:tc>
          <w:tcPr>
            <w:tcW w:w="860" w:type="dxa"/>
            <w:vAlign w:val="bottom"/>
            <w:tcBorders>
              <w:top w:val="single" w:sz="8" w:color="auto"/>
              <w:right w:val="single" w:sz="8" w:color="auto"/>
            </w:tcBorders>
            <w:vMerge w:val="restart"/>
          </w:tcPr>
          <w:p>
            <w:pPr>
              <w:jc w:val="center"/>
              <w:ind w:right="610"/>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72"/>
        </w:trPr>
        <w:tc>
          <w:tcPr>
            <w:tcW w:w="2280" w:type="dxa"/>
            <w:vAlign w:val="bottom"/>
            <w:tcBorders>
              <w:left w:val="single" w:sz="8" w:color="auto"/>
              <w:bottom w:val="single" w:sz="8" w:color="4F81BD"/>
              <w:right w:val="single" w:sz="8" w:color="auto"/>
            </w:tcBorders>
            <w:shd w:val="clear" w:color="auto" w:fill="4F81BD"/>
          </w:tcPr>
          <w:p>
            <w:pPr>
              <w:spacing w:after="0"/>
              <w:rPr>
                <w:sz w:val="14"/>
                <w:szCs w:val="14"/>
                <w:color w:val="auto"/>
              </w:rPr>
            </w:pPr>
          </w:p>
        </w:tc>
        <w:tc>
          <w:tcPr>
            <w:tcW w:w="2240" w:type="dxa"/>
            <w:vAlign w:val="bottom"/>
            <w:tcBorders>
              <w:bottom w:val="single" w:sz="8" w:color="auto"/>
              <w:right w:val="single" w:sz="8" w:color="auto"/>
            </w:tcBorders>
            <w:vMerge w:val="continue"/>
          </w:tcPr>
          <w:p>
            <w:pPr>
              <w:spacing w:after="0"/>
              <w:rPr>
                <w:sz w:val="14"/>
                <w:szCs w:val="14"/>
                <w:color w:val="auto"/>
              </w:rPr>
            </w:pPr>
          </w:p>
        </w:tc>
        <w:tc>
          <w:tcPr>
            <w:tcW w:w="1260" w:type="dxa"/>
            <w:vAlign w:val="bottom"/>
            <w:tcBorders>
              <w:bottom w:val="single" w:sz="8" w:color="auto"/>
              <w:right w:val="single" w:sz="8" w:color="auto"/>
            </w:tcBorders>
            <w:vMerge w:val="continue"/>
          </w:tcPr>
          <w:p>
            <w:pPr>
              <w:spacing w:after="0"/>
              <w:rPr>
                <w:sz w:val="14"/>
                <w:szCs w:val="14"/>
                <w:color w:val="auto"/>
              </w:rPr>
            </w:pPr>
          </w:p>
        </w:tc>
        <w:tc>
          <w:tcPr>
            <w:tcW w:w="1000" w:type="dxa"/>
            <w:vAlign w:val="bottom"/>
            <w:tcBorders>
              <w:bottom w:val="single" w:sz="8" w:color="auto"/>
              <w:right w:val="single" w:sz="8" w:color="auto"/>
            </w:tcBorders>
            <w:vMerge w:val="continue"/>
          </w:tcPr>
          <w:p>
            <w:pPr>
              <w:spacing w:after="0"/>
              <w:rPr>
                <w:sz w:val="14"/>
                <w:szCs w:val="14"/>
                <w:color w:val="auto"/>
              </w:rPr>
            </w:pPr>
          </w:p>
        </w:tc>
        <w:tc>
          <w:tcPr>
            <w:tcW w:w="1620" w:type="dxa"/>
            <w:vAlign w:val="bottom"/>
            <w:tcBorders>
              <w:bottom w:val="single" w:sz="8" w:color="auto"/>
              <w:right w:val="single" w:sz="8" w:color="auto"/>
            </w:tcBorders>
            <w:vMerge w:val="continue"/>
          </w:tcPr>
          <w:p>
            <w:pPr>
              <w:spacing w:after="0"/>
              <w:rPr>
                <w:sz w:val="14"/>
                <w:szCs w:val="14"/>
                <w:color w:val="auto"/>
              </w:rPr>
            </w:pPr>
          </w:p>
        </w:tc>
        <w:tc>
          <w:tcPr>
            <w:tcW w:w="680" w:type="dxa"/>
            <w:vAlign w:val="bottom"/>
            <w:tcBorders>
              <w:bottom w:val="single" w:sz="8" w:color="auto"/>
            </w:tcBorders>
          </w:tcPr>
          <w:p>
            <w:pPr>
              <w:spacing w:after="0"/>
              <w:rPr>
                <w:sz w:val="14"/>
                <w:szCs w:val="14"/>
                <w:color w:val="auto"/>
              </w:rPr>
            </w:pPr>
          </w:p>
        </w:tc>
        <w:tc>
          <w:tcPr>
            <w:tcW w:w="860" w:type="dxa"/>
            <w:vAlign w:val="bottom"/>
            <w:tcBorders>
              <w:bottom w:val="single" w:sz="8" w:color="auto"/>
              <w:right w:val="single" w:sz="8" w:color="auto"/>
            </w:tcBorders>
            <w:vMerge w:val="continue"/>
          </w:tcPr>
          <w:p>
            <w:pPr>
              <w:spacing w:after="0"/>
              <w:rPr>
                <w:sz w:val="14"/>
                <w:szCs w:val="14"/>
                <w:color w:val="auto"/>
              </w:rPr>
            </w:pPr>
          </w:p>
        </w:tc>
        <w:tc>
          <w:tcPr>
            <w:tcW w:w="1260" w:type="dxa"/>
            <w:vAlign w:val="bottom"/>
            <w:tcBorders>
              <w:bottom w:val="single" w:sz="8" w:color="auto"/>
              <w:right w:val="single" w:sz="8" w:color="auto"/>
            </w:tcBorders>
            <w:vMerge w:val="continue"/>
            <w:shd w:val="clear" w:color="auto" w:fill="E9EDF4"/>
          </w:tcPr>
          <w:p>
            <w:pPr>
              <w:spacing w:after="0"/>
              <w:rPr>
                <w:sz w:val="14"/>
                <w:szCs w:val="14"/>
                <w:color w:val="auto"/>
              </w:rPr>
            </w:pPr>
          </w:p>
        </w:tc>
        <w:tc>
          <w:tcPr>
            <w:tcW w:w="0" w:type="dxa"/>
            <w:vAlign w:val="bottom"/>
          </w:tcPr>
          <w:p>
            <w:pPr>
              <w:spacing w:after="0"/>
              <w:rPr>
                <w:sz w:val="1"/>
                <w:szCs w:val="1"/>
                <w:color w:val="auto"/>
              </w:rPr>
            </w:pPr>
          </w:p>
        </w:tc>
      </w:tr>
      <w:tr>
        <w:trPr>
          <w:trHeight w:val="31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23 (5)</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10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(3)</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2</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14 (1)</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14 (1)</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0 (0)</w:t>
            </w:r>
          </w:p>
        </w:tc>
        <w:tc>
          <w:tcPr>
            <w:tcW w:w="680" w:type="dxa"/>
            <w:vAlign w:val="bottom"/>
          </w:tcPr>
          <w:p>
            <w:pPr>
              <w:jc w:val="right"/>
              <w:spacing w:after="0" w:line="265" w:lineRule="exact"/>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line="265" w:lineRule="exact"/>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line="263" w:lineRule="exact"/>
              <w:rPr>
                <w:sz w:val="20"/>
                <w:szCs w:val="20"/>
                <w:color w:val="auto"/>
              </w:rPr>
            </w:pPr>
            <w:r>
              <w:rPr>
                <w:rFonts w:ascii="Calibri" w:cs="Calibri" w:eastAsia="Calibri" w:hAnsi="Calibri"/>
                <w:sz w:val="22"/>
                <w:szCs w:val="22"/>
                <w:color w:val="auto"/>
              </w:rPr>
              <w:t>Malaysia</w:t>
            </w:r>
          </w:p>
        </w:tc>
        <w:tc>
          <w:tcPr>
            <w:tcW w:w="1260" w:type="dxa"/>
            <w:vAlign w:val="bottom"/>
            <w:tcBorders>
              <w:bottom w:val="single" w:sz="8" w:color="auto"/>
              <w:right w:val="single" w:sz="8" w:color="auto"/>
            </w:tcBorders>
          </w:tcPr>
          <w:p>
            <w:pPr>
              <w:jc w:val="center"/>
              <w:spacing w:after="0" w:line="263" w:lineRule="exact"/>
              <w:rPr>
                <w:sz w:val="20"/>
                <w:szCs w:val="20"/>
                <w:color w:val="auto"/>
              </w:rPr>
            </w:pPr>
            <w:r>
              <w:rPr>
                <w:rFonts w:ascii="Calibri" w:cs="Calibri" w:eastAsia="Calibri" w:hAnsi="Calibri"/>
                <w:sz w:val="22"/>
                <w:szCs w:val="22"/>
                <w:color w:val="auto"/>
              </w:rPr>
              <w:t>12 (2)</w:t>
            </w:r>
          </w:p>
        </w:tc>
        <w:tc>
          <w:tcPr>
            <w:tcW w:w="1000" w:type="dxa"/>
            <w:vAlign w:val="bottom"/>
            <w:tcBorders>
              <w:bottom w:val="single" w:sz="8" w:color="auto"/>
              <w:right w:val="single" w:sz="8" w:color="auto"/>
            </w:tcBorders>
          </w:tcPr>
          <w:p>
            <w:pPr>
              <w:jc w:val="center"/>
              <w:spacing w:after="0" w:line="263" w:lineRule="exact"/>
              <w:rPr>
                <w:sz w:val="20"/>
                <w:szCs w:val="20"/>
                <w:color w:val="auto"/>
              </w:rPr>
            </w:pPr>
            <w:r>
              <w:rPr>
                <w:rFonts w:ascii="Calibri" w:cs="Calibri" w:eastAsia="Calibri" w:hAnsi="Calibri"/>
                <w:sz w:val="22"/>
                <w:szCs w:val="22"/>
                <w:color w:val="auto"/>
              </w:rPr>
              <w:t>9 (2)</w:t>
            </w:r>
          </w:p>
        </w:tc>
        <w:tc>
          <w:tcPr>
            <w:tcW w:w="1620" w:type="dxa"/>
            <w:vAlign w:val="bottom"/>
            <w:tcBorders>
              <w:bottom w:val="single" w:sz="8" w:color="auto"/>
              <w:right w:val="single" w:sz="8" w:color="auto"/>
            </w:tcBorders>
          </w:tcPr>
          <w:p>
            <w:pPr>
              <w:jc w:val="center"/>
              <w:spacing w:after="0" w:line="263" w:lineRule="exact"/>
              <w:rPr>
                <w:sz w:val="20"/>
                <w:szCs w:val="20"/>
                <w:color w:val="auto"/>
              </w:rPr>
            </w:pPr>
            <w:r>
              <w:rPr>
                <w:rFonts w:ascii="Calibri" w:cs="Calibri" w:eastAsia="Calibri" w:hAnsi="Calibri"/>
                <w:sz w:val="22"/>
                <w:szCs w:val="22"/>
                <w:color w:val="auto"/>
                <w:w w:val="98"/>
              </w:rPr>
              <w:t>2 (0)</w:t>
            </w:r>
          </w:p>
        </w:tc>
        <w:tc>
          <w:tcPr>
            <w:tcW w:w="680" w:type="dxa"/>
            <w:vAlign w:val="bottom"/>
            <w:tcBorders>
              <w:bottom w:val="single" w:sz="8" w:color="auto"/>
            </w:tcBorders>
          </w:tcPr>
          <w:p>
            <w:pPr>
              <w:jc w:val="right"/>
              <w:spacing w:after="0" w:line="263" w:lineRule="exact"/>
              <w:rPr>
                <w:sz w:val="20"/>
                <w:szCs w:val="20"/>
                <w:color w:val="auto"/>
              </w:rPr>
            </w:pPr>
            <w:r>
              <w:rPr>
                <w:rFonts w:ascii="Calibri" w:cs="Calibri" w:eastAsia="Calibri" w:hAnsi="Calibri"/>
                <w:sz w:val="22"/>
                <w:szCs w:val="22"/>
                <w:color w:val="auto"/>
              </w:rPr>
              <w:t>1</w:t>
            </w:r>
          </w:p>
        </w:tc>
        <w:tc>
          <w:tcPr>
            <w:tcW w:w="860" w:type="dxa"/>
            <w:vAlign w:val="bottom"/>
            <w:tcBorders>
              <w:bottom w:val="single" w:sz="8" w:color="auto"/>
              <w:right w:val="single" w:sz="8" w:color="auto"/>
            </w:tcBorders>
          </w:tcPr>
          <w:p>
            <w:pPr>
              <w:ind w:left="40"/>
              <w:spacing w:after="0" w:line="263" w:lineRule="exact"/>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1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10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7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0 (0)</w:t>
            </w:r>
          </w:p>
        </w:tc>
        <w:tc>
          <w:tcPr>
            <w:tcW w:w="680" w:type="dxa"/>
            <w:vAlign w:val="bottom"/>
          </w:tcPr>
          <w:p>
            <w:pPr>
              <w:jc w:val="right"/>
              <w:spacing w:after="0" w:line="265" w:lineRule="exact"/>
              <w:rPr>
                <w:sz w:val="20"/>
                <w:szCs w:val="20"/>
                <w:color w:val="auto"/>
              </w:rPr>
            </w:pPr>
            <w:r>
              <w:rPr>
                <w:rFonts w:ascii="Calibri" w:cs="Calibri" w:eastAsia="Calibri" w:hAnsi="Calibri"/>
                <w:sz w:val="22"/>
                <w:szCs w:val="22"/>
                <w:color w:val="auto"/>
              </w:rPr>
              <w:t>1</w:t>
            </w:r>
          </w:p>
        </w:tc>
        <w:tc>
          <w:tcPr>
            <w:tcW w:w="860" w:type="dxa"/>
            <w:vAlign w:val="bottom"/>
            <w:tcBorders>
              <w:right w:val="single" w:sz="8" w:color="auto"/>
            </w:tcBorders>
          </w:tcPr>
          <w:p>
            <w:pPr>
              <w:ind w:left="40"/>
              <w:spacing w:after="0" w:line="265" w:lineRule="exact"/>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300"/>
        </w:trPr>
        <w:tc>
          <w:tcPr>
            <w:tcW w:w="2280" w:type="dxa"/>
            <w:vAlign w:val="bottom"/>
            <w:tcBorders>
              <w:top w:val="single" w:sz="8" w:color="4F81BD"/>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2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4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9"/>
        </w:trPr>
        <w:tc>
          <w:tcPr>
            <w:tcW w:w="2280" w:type="dxa"/>
            <w:vAlign w:val="bottom"/>
            <w:tcBorders>
              <w:top w:val="single" w:sz="8" w:color="4F81BD"/>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13"/>
        </w:trPr>
        <w:tc>
          <w:tcPr>
            <w:tcW w:w="2280" w:type="dxa"/>
            <w:vAlign w:val="bottom"/>
            <w:tcBorders>
              <w:top w:val="single" w:sz="8" w:color="4F81BD"/>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top w:val="single" w:sz="8" w:color="auto"/>
            </w:tcBorders>
            <w:vMerge w:val="restart"/>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right w:val="single" w:sz="8" w:color="auto"/>
            </w:tcBorders>
            <w:vMerge w:val="restart"/>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87"/>
        </w:trPr>
        <w:tc>
          <w:tcPr>
            <w:tcW w:w="2280" w:type="dxa"/>
            <w:vAlign w:val="bottom"/>
            <w:tcBorders>
              <w:left w:val="single" w:sz="8" w:color="auto"/>
              <w:bottom w:val="single" w:sz="8" w:color="4F81BD"/>
              <w:right w:val="single" w:sz="8" w:color="auto"/>
            </w:tcBorders>
            <w:shd w:val="clear" w:color="auto" w:fill="4F81BD"/>
          </w:tcPr>
          <w:p>
            <w:pPr>
              <w:spacing w:after="0"/>
              <w:rPr>
                <w:sz w:val="16"/>
                <w:szCs w:val="16"/>
                <w:color w:val="auto"/>
              </w:rPr>
            </w:pPr>
          </w:p>
        </w:tc>
        <w:tc>
          <w:tcPr>
            <w:tcW w:w="2240" w:type="dxa"/>
            <w:vAlign w:val="bottom"/>
            <w:tcBorders>
              <w:bottom w:val="single" w:sz="8" w:color="auto"/>
              <w:right w:val="single" w:sz="8" w:color="auto"/>
            </w:tcBorders>
            <w:vMerge w:val="continue"/>
          </w:tcPr>
          <w:p>
            <w:pPr>
              <w:spacing w:after="0"/>
              <w:rPr>
                <w:sz w:val="16"/>
                <w:szCs w:val="16"/>
                <w:color w:val="auto"/>
              </w:rPr>
            </w:pPr>
          </w:p>
        </w:tc>
        <w:tc>
          <w:tcPr>
            <w:tcW w:w="1260" w:type="dxa"/>
            <w:vAlign w:val="bottom"/>
            <w:tcBorders>
              <w:bottom w:val="single" w:sz="8" w:color="auto"/>
              <w:right w:val="single" w:sz="8" w:color="auto"/>
            </w:tcBorders>
            <w:vMerge w:val="continue"/>
          </w:tcPr>
          <w:p>
            <w:pPr>
              <w:spacing w:after="0"/>
              <w:rPr>
                <w:sz w:val="16"/>
                <w:szCs w:val="16"/>
                <w:color w:val="auto"/>
              </w:rPr>
            </w:pPr>
          </w:p>
        </w:tc>
        <w:tc>
          <w:tcPr>
            <w:tcW w:w="1000" w:type="dxa"/>
            <w:vAlign w:val="bottom"/>
            <w:tcBorders>
              <w:bottom w:val="single" w:sz="8" w:color="auto"/>
              <w:right w:val="single" w:sz="8" w:color="auto"/>
            </w:tcBorders>
            <w:vMerge w:val="continue"/>
          </w:tcPr>
          <w:p>
            <w:pPr>
              <w:spacing w:after="0"/>
              <w:rPr>
                <w:sz w:val="16"/>
                <w:szCs w:val="16"/>
                <w:color w:val="auto"/>
              </w:rPr>
            </w:pPr>
          </w:p>
        </w:tc>
        <w:tc>
          <w:tcPr>
            <w:tcW w:w="1620" w:type="dxa"/>
            <w:vAlign w:val="bottom"/>
            <w:tcBorders>
              <w:bottom w:val="single" w:sz="8" w:color="auto"/>
              <w:right w:val="single" w:sz="8" w:color="auto"/>
            </w:tcBorders>
            <w:vMerge w:val="continue"/>
          </w:tcPr>
          <w:p>
            <w:pPr>
              <w:spacing w:after="0"/>
              <w:rPr>
                <w:sz w:val="16"/>
                <w:szCs w:val="16"/>
                <w:color w:val="auto"/>
              </w:rPr>
            </w:pPr>
          </w:p>
        </w:tc>
        <w:tc>
          <w:tcPr>
            <w:tcW w:w="680" w:type="dxa"/>
            <w:vAlign w:val="bottom"/>
            <w:tcBorders>
              <w:bottom w:val="single" w:sz="8" w:color="auto"/>
            </w:tcBorders>
            <w:vMerge w:val="continue"/>
          </w:tcPr>
          <w:p>
            <w:pPr>
              <w:spacing w:after="0"/>
              <w:rPr>
                <w:sz w:val="16"/>
                <w:szCs w:val="16"/>
                <w:color w:val="auto"/>
              </w:rPr>
            </w:pPr>
          </w:p>
        </w:tc>
        <w:tc>
          <w:tcPr>
            <w:tcW w:w="860" w:type="dxa"/>
            <w:vAlign w:val="bottom"/>
            <w:tcBorders>
              <w:bottom w:val="single" w:sz="8" w:color="auto"/>
              <w:right w:val="single" w:sz="8" w:color="auto"/>
            </w:tcBorders>
            <w:vMerge w:val="continue"/>
          </w:tcPr>
          <w:p>
            <w:pPr>
              <w:spacing w:after="0"/>
              <w:rPr>
                <w:sz w:val="16"/>
                <w:szCs w:val="16"/>
                <w:color w:val="auto"/>
              </w:rPr>
            </w:pPr>
          </w:p>
        </w:tc>
        <w:tc>
          <w:tcPr>
            <w:tcW w:w="12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0" w:type="dxa"/>
            <w:vAlign w:val="bottom"/>
          </w:tcPr>
          <w:p>
            <w:pPr>
              <w:spacing w:after="0"/>
              <w:rPr>
                <w:sz w:val="1"/>
                <w:szCs w:val="1"/>
                <w:color w:val="auto"/>
              </w:rPr>
            </w:pPr>
          </w:p>
        </w:tc>
      </w:tr>
      <w:tr>
        <w:trPr>
          <w:trHeight w:val="31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9"/>
        </w:trPr>
        <w:tc>
          <w:tcPr>
            <w:tcW w:w="2280" w:type="dxa"/>
            <w:vAlign w:val="bottom"/>
            <w:tcBorders>
              <w:left w:val="single" w:sz="8" w:color="auto"/>
              <w:right w:val="single" w:sz="8" w:color="auto"/>
            </w:tcBorders>
            <w:shd w:val="clear" w:color="auto" w:fill="4F81BD"/>
          </w:tcPr>
          <w:p>
            <w:pPr>
              <w:spacing w:after="0"/>
              <w:rPr>
                <w:sz w:val="21"/>
                <w:szCs w:val="21"/>
                <w:color w:val="auto"/>
              </w:rPr>
            </w:pPr>
          </w:p>
        </w:tc>
        <w:tc>
          <w:tcPr>
            <w:tcW w:w="2240" w:type="dxa"/>
            <w:vAlign w:val="bottom"/>
            <w:tcBorders>
              <w:right w:val="single" w:sz="8" w:color="auto"/>
            </w:tcBorders>
            <w:vMerge w:val="continue"/>
          </w:tcPr>
          <w:p>
            <w:pPr>
              <w:spacing w:after="0"/>
              <w:rPr>
                <w:sz w:val="21"/>
                <w:szCs w:val="21"/>
                <w:color w:val="auto"/>
              </w:rPr>
            </w:pPr>
          </w:p>
        </w:tc>
        <w:tc>
          <w:tcPr>
            <w:tcW w:w="1260" w:type="dxa"/>
            <w:vAlign w:val="bottom"/>
            <w:tcBorders>
              <w:right w:val="single" w:sz="8" w:color="auto"/>
            </w:tcBorders>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62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860" w:type="dxa"/>
            <w:vAlign w:val="bottom"/>
            <w:tcBorders>
              <w:right w:val="single" w:sz="8" w:color="auto"/>
            </w:tcBorders>
          </w:tcPr>
          <w:p>
            <w:pPr>
              <w:spacing w:after="0"/>
              <w:rPr>
                <w:sz w:val="21"/>
                <w:szCs w:val="21"/>
                <w:color w:val="auto"/>
              </w:rPr>
            </w:pPr>
          </w:p>
        </w:tc>
        <w:tc>
          <w:tcPr>
            <w:tcW w:w="12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12 (1)</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10 (1)</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2 (0)</w:t>
            </w:r>
          </w:p>
        </w:tc>
        <w:tc>
          <w:tcPr>
            <w:tcW w:w="680" w:type="dxa"/>
            <w:vAlign w:val="bottom"/>
            <w:vMerge w:val="restart"/>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vMerge w:val="restart"/>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right w:val="single" w:sz="8" w:color="auto"/>
            </w:tcBorders>
            <w:vMerge w:val="continue"/>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155"/>
        </w:trPr>
        <w:tc>
          <w:tcPr>
            <w:tcW w:w="2280" w:type="dxa"/>
            <w:vAlign w:val="bottom"/>
            <w:tcBorders>
              <w:left w:val="single" w:sz="8" w:color="auto"/>
              <w:bottom w:val="single" w:sz="8" w:color="4F81BD"/>
              <w:right w:val="single" w:sz="8" w:color="auto"/>
            </w:tcBorders>
            <w:vMerge w:val="continue"/>
            <w:shd w:val="clear" w:color="auto" w:fill="4F81BD"/>
          </w:tcPr>
          <w:p>
            <w:pPr>
              <w:spacing w:after="0"/>
              <w:rPr>
                <w:sz w:val="13"/>
                <w:szCs w:val="13"/>
                <w:color w:val="auto"/>
              </w:rPr>
            </w:pPr>
          </w:p>
        </w:tc>
        <w:tc>
          <w:tcPr>
            <w:tcW w:w="2240" w:type="dxa"/>
            <w:vAlign w:val="bottom"/>
            <w:tcBorders>
              <w:bottom w:val="single" w:sz="8" w:color="auto"/>
              <w:right w:val="single" w:sz="8" w:color="auto"/>
            </w:tcBorders>
            <w:vMerge w:val="continue"/>
          </w:tcPr>
          <w:p>
            <w:pPr>
              <w:spacing w:after="0"/>
              <w:rPr>
                <w:sz w:val="13"/>
                <w:szCs w:val="13"/>
                <w:color w:val="auto"/>
              </w:rPr>
            </w:pPr>
          </w:p>
        </w:tc>
        <w:tc>
          <w:tcPr>
            <w:tcW w:w="1260" w:type="dxa"/>
            <w:vAlign w:val="bottom"/>
            <w:tcBorders>
              <w:bottom w:val="single" w:sz="8" w:color="auto"/>
              <w:right w:val="single" w:sz="8" w:color="auto"/>
            </w:tcBorders>
            <w:vMerge w:val="continue"/>
          </w:tcPr>
          <w:p>
            <w:pPr>
              <w:spacing w:after="0"/>
              <w:rPr>
                <w:sz w:val="13"/>
                <w:szCs w:val="13"/>
                <w:color w:val="auto"/>
              </w:rPr>
            </w:pPr>
          </w:p>
        </w:tc>
        <w:tc>
          <w:tcPr>
            <w:tcW w:w="1000" w:type="dxa"/>
            <w:vAlign w:val="bottom"/>
            <w:tcBorders>
              <w:bottom w:val="single" w:sz="8" w:color="auto"/>
              <w:right w:val="single" w:sz="8" w:color="auto"/>
            </w:tcBorders>
            <w:vMerge w:val="continue"/>
          </w:tcPr>
          <w:p>
            <w:pPr>
              <w:spacing w:after="0"/>
              <w:rPr>
                <w:sz w:val="13"/>
                <w:szCs w:val="13"/>
                <w:color w:val="auto"/>
              </w:rPr>
            </w:pPr>
          </w:p>
        </w:tc>
        <w:tc>
          <w:tcPr>
            <w:tcW w:w="1620" w:type="dxa"/>
            <w:vAlign w:val="bottom"/>
            <w:tcBorders>
              <w:bottom w:val="single" w:sz="8" w:color="auto"/>
              <w:right w:val="single" w:sz="8" w:color="auto"/>
            </w:tcBorders>
            <w:vMerge w:val="continue"/>
          </w:tcPr>
          <w:p>
            <w:pPr>
              <w:spacing w:after="0"/>
              <w:rPr>
                <w:sz w:val="13"/>
                <w:szCs w:val="13"/>
                <w:color w:val="auto"/>
              </w:rPr>
            </w:pPr>
          </w:p>
        </w:tc>
        <w:tc>
          <w:tcPr>
            <w:tcW w:w="680" w:type="dxa"/>
            <w:vAlign w:val="bottom"/>
            <w:tcBorders>
              <w:bottom w:val="single" w:sz="8" w:color="auto"/>
            </w:tcBorders>
            <w:vMerge w:val="continue"/>
          </w:tcPr>
          <w:p>
            <w:pPr>
              <w:spacing w:after="0"/>
              <w:rPr>
                <w:sz w:val="13"/>
                <w:szCs w:val="13"/>
                <w:color w:val="auto"/>
              </w:rPr>
            </w:pPr>
          </w:p>
        </w:tc>
        <w:tc>
          <w:tcPr>
            <w:tcW w:w="860" w:type="dxa"/>
            <w:vAlign w:val="bottom"/>
            <w:tcBorders>
              <w:bottom w:val="single" w:sz="8" w:color="auto"/>
              <w:right w:val="single" w:sz="8" w:color="auto"/>
            </w:tcBorders>
            <w:vMerge w:val="continue"/>
          </w:tcPr>
          <w:p>
            <w:pPr>
              <w:spacing w:after="0"/>
              <w:rPr>
                <w:sz w:val="13"/>
                <w:szCs w:val="13"/>
                <w:color w:val="auto"/>
              </w:rPr>
            </w:pPr>
          </w:p>
        </w:tc>
        <w:tc>
          <w:tcPr>
            <w:tcW w:w="1260" w:type="dxa"/>
            <w:vAlign w:val="bottom"/>
            <w:tcBorders>
              <w:bottom w:val="single" w:sz="8" w:color="auto"/>
              <w:right w:val="single" w:sz="8" w:color="auto"/>
            </w:tcBorders>
            <w:shd w:val="clear" w:color="auto" w:fill="E9EDF4"/>
          </w:tcPr>
          <w:p>
            <w:pPr>
              <w:spacing w:after="0"/>
              <w:rPr>
                <w:sz w:val="13"/>
                <w:szCs w:val="13"/>
                <w:color w:val="auto"/>
              </w:rPr>
            </w:pPr>
          </w:p>
        </w:tc>
        <w:tc>
          <w:tcPr>
            <w:tcW w:w="0" w:type="dxa"/>
            <w:vAlign w:val="bottom"/>
          </w:tcPr>
          <w:p>
            <w:pPr>
              <w:spacing w:after="0"/>
              <w:rPr>
                <w:sz w:val="1"/>
                <w:szCs w:val="1"/>
                <w:color w:val="auto"/>
              </w:rPr>
            </w:pPr>
          </w:p>
        </w:tc>
      </w:tr>
      <w:tr>
        <w:trPr>
          <w:trHeight w:val="301"/>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5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2</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1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10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6 (0)</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1 (0)</w:t>
            </w:r>
          </w:p>
        </w:tc>
        <w:tc>
          <w:tcPr>
            <w:tcW w:w="680" w:type="dxa"/>
            <w:vAlign w:val="bottom"/>
          </w:tcPr>
          <w:p>
            <w:pPr>
              <w:jc w:val="right"/>
              <w:spacing w:after="0" w:line="265" w:lineRule="exact"/>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line="265" w:lineRule="exact"/>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4"/>
        </w:trPr>
        <w:tc>
          <w:tcPr>
            <w:tcW w:w="2280" w:type="dxa"/>
            <w:vAlign w:val="bottom"/>
            <w:tcBorders>
              <w:top w:val="single" w:sz="8" w:color="4F81BD"/>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1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The United Kingdom</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1 (0)</w:t>
            </w:r>
          </w:p>
        </w:tc>
        <w:tc>
          <w:tcPr>
            <w:tcW w:w="680" w:type="dxa"/>
            <w:vAlign w:val="bottom"/>
          </w:tcPr>
          <w:p>
            <w:pPr>
              <w:jc w:val="right"/>
              <w:spacing w:after="0" w:line="265" w:lineRule="exact"/>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line="265" w:lineRule="exact"/>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0"/>
        </w:trPr>
        <w:tc>
          <w:tcPr>
            <w:tcW w:w="2280" w:type="dxa"/>
            <w:vAlign w:val="bottom"/>
            <w:tcBorders>
              <w:top w:val="single" w:sz="8" w:color="4F81BD"/>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7"/>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bottom w:val="single" w:sz="8" w:color="auto"/>
              <w:right w:val="single" w:sz="8" w:color="auto"/>
            </w:tcBorders>
          </w:tcPr>
          <w:p>
            <w:pPr>
              <w:jc w:val="center"/>
              <w:spacing w:after="0" w:line="294" w:lineRule="exact"/>
              <w:rPr>
                <w:sz w:val="20"/>
                <w:szCs w:val="20"/>
                <w:color w:val="auto"/>
              </w:rPr>
            </w:pPr>
            <w:r>
              <w:rPr>
                <w:rFonts w:ascii="Calibri" w:cs="Calibri" w:eastAsia="Calibri" w:hAnsi="Calibri"/>
                <w:sz w:val="22"/>
                <w:szCs w:val="22"/>
                <w:color w:val="auto"/>
                <w:w w:val="96"/>
              </w:rPr>
              <w:t>1</w:t>
            </w:r>
            <w:r>
              <w:rPr>
                <w:rFonts w:ascii="Calibri" w:cs="Calibri" w:eastAsia="Calibri" w:hAnsi="Calibri"/>
                <w:sz w:val="27"/>
                <w:szCs w:val="27"/>
                <w:color w:val="auto"/>
                <w:w w:val="96"/>
                <w:vertAlign w:val="superscript"/>
              </w:rPr>
              <w:t>§</w:t>
            </w:r>
            <w:r>
              <w:rPr>
                <w:rFonts w:ascii="Calibri" w:cs="Calibri" w:eastAsia="Calibri" w:hAnsi="Calibri"/>
                <w:sz w:val="22"/>
                <w:szCs w:val="22"/>
                <w:color w:val="auto"/>
                <w:w w:val="96"/>
              </w:rPr>
              <w:t xml:space="preserve"> (0)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21"/>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92"/>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80" w:type="dxa"/>
            <w:vAlign w:val="bottom"/>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35"/>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United Arab Emirates</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5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vMerge w:val="restart"/>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vMerge w:val="restart"/>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right w:val="single" w:sz="8" w:color="auto"/>
            </w:tcBorders>
            <w:vMerge w:val="continue"/>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182"/>
        </w:trPr>
        <w:tc>
          <w:tcPr>
            <w:tcW w:w="2280" w:type="dxa"/>
            <w:vAlign w:val="bottom"/>
            <w:tcBorders>
              <w:left w:val="single" w:sz="8" w:color="auto"/>
              <w:bottom w:val="single" w:sz="8" w:color="4F81BD"/>
              <w:right w:val="single" w:sz="8" w:color="auto"/>
            </w:tcBorders>
            <w:vMerge w:val="continue"/>
            <w:shd w:val="clear" w:color="auto" w:fill="4F81BD"/>
          </w:tcPr>
          <w:p>
            <w:pPr>
              <w:spacing w:after="0"/>
              <w:rPr>
                <w:sz w:val="15"/>
                <w:szCs w:val="15"/>
                <w:color w:val="auto"/>
              </w:rPr>
            </w:pPr>
          </w:p>
        </w:tc>
        <w:tc>
          <w:tcPr>
            <w:tcW w:w="22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vMerge w:val="continue"/>
          </w:tcPr>
          <w:p>
            <w:pPr>
              <w:spacing w:after="0"/>
              <w:rPr>
                <w:sz w:val="15"/>
                <w:szCs w:val="15"/>
                <w:color w:val="auto"/>
              </w:rPr>
            </w:pPr>
          </w:p>
        </w:tc>
        <w:tc>
          <w:tcPr>
            <w:tcW w:w="1000" w:type="dxa"/>
            <w:vAlign w:val="bottom"/>
            <w:tcBorders>
              <w:right w:val="single" w:sz="8" w:color="auto"/>
            </w:tcBorders>
            <w:vMerge w:val="continue"/>
          </w:tcPr>
          <w:p>
            <w:pPr>
              <w:spacing w:after="0"/>
              <w:rPr>
                <w:sz w:val="15"/>
                <w:szCs w:val="15"/>
                <w:color w:val="auto"/>
              </w:rPr>
            </w:pPr>
          </w:p>
        </w:tc>
        <w:tc>
          <w:tcPr>
            <w:tcW w:w="1620" w:type="dxa"/>
            <w:vAlign w:val="bottom"/>
            <w:tcBorders>
              <w:right w:val="single" w:sz="8" w:color="auto"/>
            </w:tcBorders>
            <w:vMerge w:val="continue"/>
          </w:tcPr>
          <w:p>
            <w:pPr>
              <w:spacing w:after="0"/>
              <w:rPr>
                <w:sz w:val="15"/>
                <w:szCs w:val="15"/>
                <w:color w:val="auto"/>
              </w:rPr>
            </w:pPr>
          </w:p>
        </w:tc>
        <w:tc>
          <w:tcPr>
            <w:tcW w:w="680" w:type="dxa"/>
            <w:vAlign w:val="bottom"/>
            <w:vMerge w:val="continue"/>
          </w:tcPr>
          <w:p>
            <w:pPr>
              <w:spacing w:after="0"/>
              <w:rPr>
                <w:sz w:val="15"/>
                <w:szCs w:val="15"/>
                <w:color w:val="auto"/>
              </w:rPr>
            </w:pPr>
          </w:p>
        </w:tc>
        <w:tc>
          <w:tcPr>
            <w:tcW w:w="860" w:type="dxa"/>
            <w:vAlign w:val="bottom"/>
            <w:tcBorders>
              <w:right w:val="single" w:sz="8" w:color="auto"/>
            </w:tcBorders>
            <w:vMerge w:val="continue"/>
          </w:tcPr>
          <w:p>
            <w:pPr>
              <w:spacing w:after="0"/>
              <w:rPr>
                <w:sz w:val="15"/>
                <w:szCs w:val="15"/>
                <w:color w:val="auto"/>
              </w:rPr>
            </w:pPr>
          </w:p>
        </w:tc>
        <w:tc>
          <w:tcPr>
            <w:tcW w:w="1260" w:type="dxa"/>
            <w:vAlign w:val="bottom"/>
            <w:tcBorders>
              <w:bottom w:val="single" w:sz="8" w:color="E9EDF4"/>
              <w:right w:val="single" w:sz="8" w:color="auto"/>
            </w:tcBorders>
            <w:shd w:val="clear" w:color="auto" w:fill="E9EDF4"/>
          </w:tcPr>
          <w:p>
            <w:pPr>
              <w:spacing w:after="0"/>
              <w:rPr>
                <w:sz w:val="15"/>
                <w:szCs w:val="15"/>
                <w:color w:val="auto"/>
              </w:rPr>
            </w:pPr>
          </w:p>
        </w:tc>
        <w:tc>
          <w:tcPr>
            <w:tcW w:w="0" w:type="dxa"/>
            <w:vAlign w:val="bottom"/>
          </w:tcPr>
          <w:p>
            <w:pPr>
              <w:spacing w:after="0"/>
              <w:rPr>
                <w:sz w:val="1"/>
                <w:szCs w:val="1"/>
                <w:color w:val="auto"/>
              </w:rPr>
            </w:pPr>
          </w:p>
        </w:tc>
      </w:tr>
      <w:tr>
        <w:trPr>
          <w:trHeight w:val="271"/>
        </w:trPr>
        <w:tc>
          <w:tcPr>
            <w:tcW w:w="2280" w:type="dxa"/>
            <w:vAlign w:val="bottom"/>
            <w:tcBorders>
              <w:top w:val="single" w:sz="8" w:color="auto"/>
              <w:left w:val="single" w:sz="8" w:color="auto"/>
              <w:right w:val="single" w:sz="8" w:color="auto"/>
            </w:tcBorders>
            <w:shd w:val="clear" w:color="auto" w:fill="4F81BD"/>
          </w:tcPr>
          <w:p>
            <w:pPr>
              <w:spacing w:after="0"/>
              <w:rPr>
                <w:sz w:val="23"/>
                <w:szCs w:val="23"/>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Cases on an</w:t>
            </w:r>
          </w:p>
        </w:tc>
        <w:tc>
          <w:tcPr>
            <w:tcW w:w="1260" w:type="dxa"/>
            <w:vAlign w:val="bottom"/>
            <w:tcBorders>
              <w:top w:val="single" w:sz="8" w:color="auto"/>
              <w:right w:val="single" w:sz="8" w:color="auto"/>
            </w:tcBorders>
          </w:tcPr>
          <w:p>
            <w:pPr>
              <w:spacing w:after="0"/>
              <w:rPr>
                <w:sz w:val="23"/>
                <w:szCs w:val="23"/>
                <w:color w:val="auto"/>
              </w:rPr>
            </w:pPr>
          </w:p>
        </w:tc>
        <w:tc>
          <w:tcPr>
            <w:tcW w:w="1000" w:type="dxa"/>
            <w:vAlign w:val="bottom"/>
            <w:tcBorders>
              <w:top w:val="single" w:sz="8" w:color="auto"/>
              <w:right w:val="single" w:sz="8" w:color="auto"/>
            </w:tcBorders>
          </w:tcPr>
          <w:p>
            <w:pPr>
              <w:spacing w:after="0"/>
              <w:rPr>
                <w:sz w:val="23"/>
                <w:szCs w:val="23"/>
                <w:color w:val="auto"/>
              </w:rPr>
            </w:pPr>
          </w:p>
        </w:tc>
        <w:tc>
          <w:tcPr>
            <w:tcW w:w="1620" w:type="dxa"/>
            <w:vAlign w:val="bottom"/>
            <w:tcBorders>
              <w:top w:val="single" w:sz="8" w:color="auto"/>
              <w:right w:val="single" w:sz="8" w:color="auto"/>
            </w:tcBorders>
          </w:tcPr>
          <w:p>
            <w:pPr>
              <w:spacing w:after="0"/>
              <w:rPr>
                <w:sz w:val="23"/>
                <w:szCs w:val="23"/>
                <w:color w:val="auto"/>
              </w:rPr>
            </w:pPr>
          </w:p>
        </w:tc>
        <w:tc>
          <w:tcPr>
            <w:tcW w:w="680" w:type="dxa"/>
            <w:vAlign w:val="bottom"/>
            <w:tcBorders>
              <w:top w:val="single" w:sz="8" w:color="auto"/>
            </w:tcBorders>
          </w:tcPr>
          <w:p>
            <w:pPr>
              <w:spacing w:after="0"/>
              <w:rPr>
                <w:sz w:val="23"/>
                <w:szCs w:val="23"/>
                <w:color w:val="auto"/>
              </w:rPr>
            </w:pPr>
          </w:p>
        </w:tc>
        <w:tc>
          <w:tcPr>
            <w:tcW w:w="860" w:type="dxa"/>
            <w:vAlign w:val="bottom"/>
            <w:tcBorders>
              <w:top w:val="single" w:sz="8" w:color="auto"/>
              <w:right w:val="single" w:sz="8" w:color="auto"/>
            </w:tcBorders>
          </w:tcPr>
          <w:p>
            <w:pPr>
              <w:spacing w:after="0"/>
              <w:rPr>
                <w:sz w:val="23"/>
                <w:szCs w:val="23"/>
                <w:color w:val="auto"/>
              </w:rPr>
            </w:pPr>
          </w:p>
        </w:tc>
        <w:tc>
          <w:tcPr>
            <w:tcW w:w="1260" w:type="dxa"/>
            <w:vAlign w:val="bottom"/>
            <w:tcBorders>
              <w:top w:val="single" w:sz="8" w:color="auto"/>
              <w:right w:val="single" w:sz="8" w:color="auto"/>
            </w:tcBorders>
            <w:shd w:val="clear" w:color="auto" w:fill="E9EDF4"/>
          </w:tcPr>
          <w:p>
            <w:pPr>
              <w:spacing w:after="0"/>
              <w:rPr>
                <w:sz w:val="23"/>
                <w:szCs w:val="23"/>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right w:val="single" w:sz="8" w:color="auto"/>
            </w:tcBorders>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62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c>
          <w:tcPr>
            <w:tcW w:w="1260" w:type="dxa"/>
            <w:vAlign w:val="bottom"/>
            <w:tcBorders>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bottom w:val="single" w:sz="8" w:color="auto"/>
              <w:right w:val="single" w:sz="8" w:color="auto"/>
            </w:tcBorders>
          </w:tcPr>
          <w:p>
            <w:pPr>
              <w:jc w:val="center"/>
              <w:spacing w:after="0" w:line="275" w:lineRule="exact"/>
              <w:rPr>
                <w:sz w:val="20"/>
                <w:szCs w:val="20"/>
                <w:color w:val="auto"/>
              </w:rPr>
            </w:pPr>
            <w:r>
              <w:rPr>
                <w:rFonts w:ascii="Calibri" w:cs="Calibri" w:eastAsia="Calibri" w:hAnsi="Calibri"/>
                <w:sz w:val="22"/>
                <w:szCs w:val="22"/>
                <w:color w:val="auto"/>
                <w:w w:val="94"/>
              </w:rPr>
              <w:t>20</w:t>
            </w:r>
            <w:r>
              <w:rPr>
                <w:rFonts w:ascii="Calibri" w:cs="Calibri" w:eastAsia="Calibri" w:hAnsi="Calibri"/>
                <w:sz w:val="27"/>
                <w:szCs w:val="27"/>
                <w:color w:val="auto"/>
                <w:w w:val="94"/>
                <w:vertAlign w:val="superscript"/>
              </w:rPr>
              <w:t>**</w:t>
            </w:r>
            <w:r>
              <w:rPr>
                <w:rFonts w:ascii="Calibri" w:cs="Calibri" w:eastAsia="Calibri" w:hAnsi="Calibri"/>
                <w:sz w:val="22"/>
                <w:szCs w:val="22"/>
                <w:color w:val="auto"/>
                <w:w w:val="94"/>
              </w:rPr>
              <w:t>(10)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20</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(10)</w:t>
            </w:r>
          </w:p>
        </w:tc>
        <w:tc>
          <w:tcPr>
            <w:tcW w:w="1260" w:type="dxa"/>
            <w:vAlign w:val="bottom"/>
            <w:tcBorders>
              <w:bottom w:val="single" w:sz="8" w:color="auto"/>
              <w:right w:val="single" w:sz="8" w:color="auto"/>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3658235</wp:posOffset>
                </wp:positionH>
                <wp:positionV relativeFrom="paragraph">
                  <wp:posOffset>-946785</wp:posOffset>
                </wp:positionV>
                <wp:extent cx="12065" cy="1587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875"/>
                        </a:xfrm>
                        <a:prstGeom prst="rect">
                          <a:avLst/>
                        </a:prstGeom>
                        <a:solidFill>
                          <a:srgbClr val="000000"/>
                        </a:solidFill>
                      </wps:spPr>
                      <wps:bodyPr/>
                    </wps:wsp>
                  </a:graphicData>
                </a:graphic>
              </wp:anchor>
            </w:drawing>
          </mc:Choice>
          <mc:Fallback>
            <w:pict>
              <v:rect id="Shape 44" o:spid="_x0000_s1069" style="position:absolute;margin-left:288.05pt;margin-top:-74.5499pt;width:0.95pt;height:1.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6290945</wp:posOffset>
                </wp:positionH>
                <wp:positionV relativeFrom="paragraph">
                  <wp:posOffset>-946785</wp:posOffset>
                </wp:positionV>
                <wp:extent cx="12065" cy="1587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875"/>
                        </a:xfrm>
                        <a:prstGeom prst="rect">
                          <a:avLst/>
                        </a:prstGeom>
                        <a:solidFill>
                          <a:srgbClr val="000000"/>
                        </a:solidFill>
                      </wps:spPr>
                      <wps:bodyPr/>
                    </wps:wsp>
                  </a:graphicData>
                </a:graphic>
              </wp:anchor>
            </w:drawing>
          </mc:Choice>
          <mc:Fallback>
            <w:pict>
              <v:rect id="Shape 45" o:spid="_x0000_s1070" style="position:absolute;margin-left:495.35pt;margin-top:-74.5499pt;width:0.95pt;height:1.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59"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ind w:left="360" w:right="360"/>
        <w:spacing w:after="0" w:line="188"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ind w:left="360"/>
        <w:spacing w:after="0" w:line="21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(21 confirmed cases, 1 death), Macao SAR (10 confirmed cases) and Taipei</w:t>
      </w:r>
    </w:p>
    <w:p>
      <w:pPr>
        <w:ind w:left="360"/>
        <w:spacing w:after="0" w:line="195" w:lineRule="auto"/>
        <w:rPr>
          <w:sz w:val="20"/>
          <w:szCs w:val="20"/>
          <w:color w:val="auto"/>
        </w:rPr>
      </w:pPr>
      <w:r>
        <w:rPr>
          <w:rFonts w:ascii="Calibri" w:cs="Calibri" w:eastAsia="Calibri" w:hAnsi="Calibri"/>
          <w:sz w:val="18"/>
          <w:szCs w:val="18"/>
          <w:color w:val="auto"/>
        </w:rPr>
        <w:t>and environs (11 confirmed cases).</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occurred in Germany.</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pacing w:after="0" w:line="289" w:lineRule="exact"/>
        <w:rPr>
          <w:sz w:val="20"/>
          <w:szCs w:val="20"/>
          <w:color w:val="auto"/>
        </w:rPr>
      </w:pPr>
    </w:p>
    <w:p>
      <w:pPr>
        <w:ind w:left="360" w:right="520"/>
        <w:spacing w:after="0" w:line="218" w:lineRule="auto"/>
        <w:rPr>
          <w:sz w:val="20"/>
          <w:szCs w:val="20"/>
          <w:color w:val="auto"/>
        </w:rPr>
      </w:pPr>
      <w:r>
        <w:rPr>
          <w:rFonts w:ascii="Calibri" w:cs="Calibri" w:eastAsia="Calibri" w:hAnsi="Calibri"/>
          <w:sz w:val="22"/>
          <w:szCs w:val="22"/>
          <w:color w:val="FF0000"/>
        </w:rPr>
        <w:t>ERRATUM – Due to a typographical error, the death previously reported in the Philippines was inadvertently placed under Cambodia. It has been corrected here.</w:t>
      </w:r>
    </w:p>
    <w:p>
      <w:pPr>
        <w:sectPr>
          <w:pgSz w:w="11920" w:h="16841" w:orient="portrait"/>
          <w:cols w:equalWidth="0" w:num="1">
            <w:col w:w="11180"/>
          </w:cols>
          <w:pgMar w:left="360" w:top="943" w:right="371" w:bottom="704" w:gutter="0" w:footer="0" w:header="0"/>
        </w:sectPr>
      </w:pPr>
    </w:p>
    <w:bookmarkStart w:id="4" w:name="page5"/>
    <w:bookmarkEnd w:id="4"/>
    <w:p>
      <w:pPr>
        <w:spacing w:after="0" w:line="394" w:lineRule="exact"/>
        <w:rPr>
          <w:sz w:val="20"/>
          <w:szCs w:val="20"/>
          <w:color w:val="auto"/>
        </w:rPr>
      </w:pPr>
    </w:p>
    <w:p>
      <w:pPr>
        <w:ind w:right="32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(n=109) identified outside of China, by date of onset of symptoms and travel history, 6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6648450" cy="284289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extLst>
                    </a:blip>
                    <a:srcRect/>
                    <a:stretch>
                      <a:fillRect/>
                    </a:stretch>
                  </pic:blipFill>
                  <pic:spPr bwMode="auto">
                    <a:xfrm>
                      <a:off x="0" y="0"/>
                      <a:ext cx="6648450" cy="2842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line="235" w:lineRule="auto"/>
        <w:rPr>
          <w:sz w:val="20"/>
          <w:szCs w:val="20"/>
          <w:color w:val="auto"/>
        </w:rPr>
      </w:pPr>
      <w:r>
        <w:rPr>
          <w:rFonts w:ascii="Calibri" w:cs="Calibri" w:eastAsia="Calibri" w:hAnsi="Calibri"/>
          <w:sz w:val="22"/>
          <w:szCs w:val="22"/>
          <w:color w:val="auto"/>
        </w:rPr>
        <w:t>Note for figure 2: Of the 216 cases reported outside China, 15 were detected while asymptomatic. For the remaining 201 cases, information on date of onset is available only for the 109 cases presented in the epidemiologic curve.</w:t>
      </w:r>
    </w:p>
    <w:p>
      <w:pPr>
        <w:spacing w:after="0" w:line="200" w:lineRule="exact"/>
        <w:rPr>
          <w:sz w:val="20"/>
          <w:szCs w:val="20"/>
          <w:color w:val="auto"/>
        </w:rPr>
      </w:pPr>
    </w:p>
    <w:p>
      <w:pPr>
        <w:spacing w:after="0" w:line="397" w:lineRule="exact"/>
        <w:rPr>
          <w:sz w:val="20"/>
          <w:szCs w:val="20"/>
          <w:color w:val="auto"/>
        </w:rPr>
      </w:pPr>
    </w:p>
    <w:p>
      <w:pPr>
        <w:ind w:right="24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(n=216) identified outside of China, by date of reporting and travel history, 6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3810</wp:posOffset>
            </wp:positionV>
            <wp:extent cx="6648450" cy="33020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extLst>
                    </a:blip>
                    <a:srcRect/>
                    <a:stretch>
                      <a:fillRect/>
                    </a:stretch>
                  </pic:blipFill>
                  <pic:spPr bwMode="auto">
                    <a:xfrm>
                      <a:off x="0" y="0"/>
                      <a:ext cx="6648450" cy="3302000"/>
                    </a:xfrm>
                    <a:prstGeom prst="rect">
                      <a:avLst/>
                    </a:prstGeom>
                    <a:noFill/>
                  </pic:spPr>
                </pic:pic>
              </a:graphicData>
            </a:graphic>
          </wp:anchor>
        </w:drawing>
      </w:r>
    </w:p>
    <w:p>
      <w:pPr>
        <w:sectPr>
          <w:pgSz w:w="11920" w:h="16841" w:orient="portrait"/>
          <w:cols w:equalWidth="0" w:num="1">
            <w:col w:w="10420"/>
          </w:cols>
          <w:pgMar w:left="720" w:top="1440" w:right="77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8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4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0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1" w:lineRule="exact"/>
        <w:rPr>
          <w:sz w:val="20"/>
          <w:szCs w:val="20"/>
          <w:color w:val="auto"/>
        </w:rPr>
      </w:pPr>
    </w:p>
    <w:p>
      <w:pPr>
        <w:jc w:val="both"/>
        <w:ind w:left="360" w:right="840" w:hanging="360"/>
        <w:spacing w:after="0" w:line="254"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4">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4" w:lineRule="exact"/>
        <w:rPr>
          <w:rFonts w:ascii="Calibri" w:cs="Calibri" w:eastAsia="Calibri" w:hAnsi="Calibri"/>
          <w:sz w:val="22"/>
          <w:szCs w:val="22"/>
          <w:color w:val="auto"/>
        </w:rPr>
      </w:pPr>
    </w:p>
    <w:p>
      <w:pPr>
        <w:ind w:left="360" w:right="200" w:hanging="360"/>
        <w:spacing w:after="0" w:line="26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5">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5">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2" w:lineRule="exact"/>
        <w:rPr>
          <w:rFonts w:ascii="Calibri" w:cs="Calibri" w:eastAsia="Calibri" w:hAnsi="Calibri"/>
          <w:sz w:val="22"/>
          <w:szCs w:val="22"/>
          <w:color w:val="0000FF"/>
        </w:rPr>
      </w:pPr>
    </w:p>
    <w:p>
      <w:pPr>
        <w:ind w:left="360" w:right="16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8" w:lineRule="exact"/>
        <w:rPr>
          <w:rFonts w:ascii="Arial" w:cs="Arial" w:eastAsia="Arial" w:hAnsi="Arial"/>
          <w:sz w:val="22"/>
          <w:szCs w:val="22"/>
          <w:color w:val="auto"/>
        </w:rPr>
      </w:pPr>
    </w:p>
    <w:p>
      <w:pPr>
        <w:ind w:left="360" w:right="2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6">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7">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8">
        <w:r>
          <w:rPr>
            <w:rFonts w:ascii="Calibri" w:cs="Calibri" w:eastAsia="Calibri" w:hAnsi="Calibri"/>
            <w:sz w:val="22"/>
            <w:szCs w:val="22"/>
            <w:u w:val="single" w:color="auto"/>
            <w:color w:val="0000FF"/>
          </w:rPr>
          <w:t>clinical management</w:t>
        </w:r>
      </w:hyperlink>
      <w:hyperlink r:id="rId19">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19">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0">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 xml:space="preserve">coronavirus, </w:t>
        </w:r>
      </w:hyperlink>
      <w:hyperlink r:id="rId21">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u w:val="single" w:color="auto"/>
          <w:color w:val="0000FF"/>
        </w:rPr>
        <w:t xml:space="preserve">and </w:t>
      </w:r>
      <w:hyperlink r:id="rId11">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u w:val="single" w:color="auto"/>
          <w:color w:val="0000FF"/>
        </w:rPr>
        <w:t xml:space="preserve"> </w:t>
      </w:r>
      <w:hyperlink r:id="rId11">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6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2">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3">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00" w:hanging="360"/>
        <w:spacing w:after="0" w:line="23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4">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4">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4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5">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1" w:lineRule="exact"/>
        <w:rPr>
          <w:rFonts w:ascii="Calibri" w:cs="Calibri" w:eastAsia="Calibri" w:hAnsi="Calibri"/>
          <w:sz w:val="22"/>
          <w:szCs w:val="22"/>
          <w:color w:val="auto"/>
        </w:rPr>
      </w:pPr>
    </w:p>
    <w:p>
      <w:pPr>
        <w:ind w:left="360" w:hanging="360"/>
        <w:spacing w:after="0" w:line="253"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-2970530</wp:posOffset>
                </wp:positionV>
                <wp:extent cx="31750" cy="127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52" o:spid="_x0000_s1077" style="position:absolute;margin-left:202.95pt;margin-top:-233.8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60"/>
          </w:cols>
          <w:pgMar w:left="720" w:top="1440" w:right="731" w:bottom="259" w:gutter="0" w:footer="0" w:header="0"/>
        </w:sectPr>
      </w:pPr>
    </w:p>
    <w:bookmarkStart w:id="6" w:name="page7"/>
    <w:bookmarkEnd w:id="6"/>
    <w:p>
      <w:pPr>
        <w:ind w:left="360"/>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26">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77" w:lineRule="exact"/>
        <w:rPr>
          <w:sz w:val="20"/>
          <w:szCs w:val="20"/>
          <w:color w:val="auto"/>
        </w:rPr>
      </w:pPr>
    </w:p>
    <w:p>
      <w:pPr>
        <w:ind w:left="360" w:right="32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20" w:hanging="360"/>
        <w:spacing w:after="0" w:line="235"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5" w:lineRule="exact"/>
        <w:rPr>
          <w:sz w:val="20"/>
          <w:szCs w:val="20"/>
          <w:color w:val="auto"/>
        </w:rPr>
      </w:pPr>
    </w:p>
    <w:p>
      <w:pPr>
        <w:ind w:right="56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6"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7" w:lineRule="exact"/>
        <w:rPr>
          <w:rFonts w:ascii="Arial" w:cs="Arial" w:eastAsia="Arial" w:hAnsi="Arial"/>
          <w:sz w:val="22"/>
          <w:szCs w:val="22"/>
          <w:color w:val="auto"/>
        </w:rPr>
      </w:pPr>
    </w:p>
    <w:p>
      <w:pPr>
        <w:ind w:left="360" w:right="22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2"/>
          <w:szCs w:val="22"/>
          <w:color w:val="auto"/>
        </w:rPr>
      </w:pPr>
    </w:p>
    <w:p>
      <w:pPr>
        <w:ind w:left="360" w:right="160" w:hanging="360"/>
        <w:spacing w:after="0" w:line="235"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sz w:val="20"/>
          <w:szCs w:val="20"/>
          <w:color w:val="auto"/>
        </w:rPr>
      </w:pPr>
    </w:p>
    <w:p>
      <w:pPr>
        <w:jc w:val="both"/>
        <w:ind w:right="20"/>
        <w:spacing w:after="0" w:line="254"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decimal"/>
      <w:start w:val="24"/>
    </w:lvl>
  </w:abstractNum>
  <w:abstractNum w:abstractNumId="2">
    <w:nsid w:val="46E87CCD"/>
    <w:multiLevelType w:val="hybridMultilevel"/>
    <w:lvl w:ilvl="0">
      <w:lvlJc w:val="left"/>
      <w:lvlText w:val="%1."/>
      <w:numFmt w:val="decimal"/>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9" Type="http://schemas.openxmlformats.org/officeDocument/2006/relationships/hyperlink" Target="https://www.who.int/news-room/detail/06-02-2020-who-to-accelerate-research-and-innovation-for-new-coronavirus" TargetMode="External"/><Relationship Id="rId11" Type="http://schemas.openxmlformats.org/officeDocument/2006/relationships/hyperlink" Target="https://www.who.int/publications-detail/global-surveillance-for-human-infection-with-novel-coronavirus-(2019-ncov)" TargetMode="External"/><Relationship Id="rId14" Type="http://schemas.openxmlformats.org/officeDocument/2006/relationships/hyperlink" Target="https://www.iata.org/en/programs/safety/health/diseases/#tab-2" TargetMode="External"/><Relationship Id="rId15" Type="http://schemas.openxmlformats.org/officeDocument/2006/relationships/hyperlink" Target="https://www.who.int/publications-detail/the-first-few-x-(ffx)-cases-and-contact-investigation-protocol-for-2019-novel-coronavirus-(2019-ncov)-infection" TargetMode="External"/><Relationship Id="rId16" Type="http://schemas.openxmlformats.org/officeDocument/2006/relationships/hyperlink" Target="https://www.who.int/health-topics/coronavirus/laboratory-diagnostics-for-novel-coronavirus" TargetMode="External"/><Relationship Id="rId17" Type="http://schemas.openxmlformats.org/officeDocument/2006/relationships/hyperlink" Target="https://www.who.int/publications-detail/advice-on-the-use-of-masks-the-community-during-home-care-and-in-health-care-settings-in-the-context-of-the-novel-coronavirus-(2019-ncov)-outbreak" TargetMode="External"/><Relationship Id="rId18" Type="http://schemas.openxmlformats.org/officeDocument/2006/relationships/hyperlink" Target="https://www.who.int/publications-detail/clinical-management-of-severe-acute-respiratory-infection-when-novel-coronavirus-(ncov)-infection-is-suspected" TargetMode="External"/><Relationship Id="rId19" Type="http://schemas.openxmlformats.org/officeDocument/2006/relationships/hyperlink" Target="https://www.who.int/publications-detail/infection-prevention-and-control-during-health-care-when-novel-coronavirus-(ncov)-infection-is-suspected" TargetMode="External"/><Relationship Id="rId20" Type="http://schemas.openxmlformats.org/officeDocument/2006/relationships/hyperlink" Target="https://www.who.int/publications-detail/home-care-for-patients-with-suspected-novel-coronavirus-(ncov)-infection-presenting-with-mild-symptoms-and-management-of-contacts" TargetMode="External"/><Relationship Id="rId21" Type="http://schemas.openxmlformats.org/officeDocument/2006/relationships/hyperlink" Target="https://www.who.int/publications-detail/risk-communication-and-community-engagement-readiness-and-initial-response-for-novel-coronaviruses-(-ncov)" TargetMode="External"/><Relationship Id="rId22" Type="http://schemas.openxmlformats.org/officeDocument/2006/relationships/hyperlink" Target="https://www.who.int/publications-detail/disease-commodity-package---novel-coronavirus-(ncov)" TargetMode="External"/><Relationship Id="rId23" Type="http://schemas.openxmlformats.org/officeDocument/2006/relationships/hyperlink" Target="https://www.who.int/health-topics/coronavirus/who-recommendations-to-reduce-risk-of-transmission-of-emerging-pathogens-from-animals-to-humans-in-live-animal-markets" TargetMode="External"/><Relationship Id="rId24" Type="http://schemas.openxmlformats.org/officeDocument/2006/relationships/hyperlink" Target="https://www.who.int/ith/2019-nCoV_advice_for_international_traffic/en/" TargetMode="External"/><Relationship Id="rId25" Type="http://schemas.openxmlformats.org/officeDocument/2006/relationships/hyperlink" Target="https://openwho.org/courses/introduction-to-ncov" TargetMode="External"/><Relationship Id="rId26"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2020-03-10T16:46:22Z</dcterms:created>
  <dcterms:modified xsi:type="dcterms:W3CDTF">2020-03-10T16:46:22Z</dcterms:modified>
</cp:coreProperties>
</file>