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80"/>
        <w:spacing w:after="0"/>
        <w:rPr>
          <w:sz w:val="20"/>
          <w:szCs w:val="20"/>
          <w:color w:val="auto"/>
        </w:rPr>
      </w:pPr>
      <w:r>
        <w:rPr>
          <w:rFonts w:ascii="Arial" w:cs="Arial" w:eastAsia="Arial" w:hAnsi="Arial"/>
          <w:sz w:val="48"/>
          <w:szCs w:val="48"/>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Novel Coronavirus(2019-nCoV)</w:t>
      </w:r>
    </w:p>
    <w:p>
      <w:pPr>
        <w:ind w:left="180"/>
        <w:spacing w:after="0"/>
        <w:rPr>
          <w:sz w:val="20"/>
          <w:szCs w:val="20"/>
          <w:color w:val="auto"/>
        </w:rPr>
      </w:pPr>
      <w:r>
        <w:rPr>
          <w:rFonts w:ascii="Arial" w:cs="Arial" w:eastAsia="Arial" w:hAnsi="Arial"/>
          <w:sz w:val="34"/>
          <w:szCs w:val="34"/>
          <w:b w:val="1"/>
          <w:bCs w:val="1"/>
          <w:color w:val="FFFFFF"/>
        </w:rPr>
        <w:t>Situation Report – 19</w:t>
      </w:r>
    </w:p>
    <w:p>
      <w:pPr>
        <w:spacing w:after="0" w:line="224" w:lineRule="exact"/>
        <w:rPr>
          <w:sz w:val="24"/>
          <w:szCs w:val="24"/>
          <w:color w:val="auto"/>
        </w:rPr>
      </w:pPr>
    </w:p>
    <w:p>
      <w:pPr>
        <w:ind w:left="160"/>
        <w:spacing w:after="0"/>
        <w:rPr>
          <w:sz w:val="20"/>
          <w:szCs w:val="20"/>
          <w:color w:val="auto"/>
        </w:rPr>
      </w:pPr>
      <w:r>
        <w:rPr>
          <w:rFonts w:ascii="Arial" w:cs="Arial" w:eastAsia="Arial" w:hAnsi="Arial"/>
          <w:sz w:val="16"/>
          <w:szCs w:val="16"/>
          <w:b w:val="1"/>
          <w:bCs w:val="1"/>
          <w:color w:val="FFFFFF"/>
        </w:rPr>
        <w:t>Data as reported by 8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4941570</wp:posOffset>
                </wp:positionH>
                <wp:positionV relativeFrom="paragraph">
                  <wp:posOffset>76200</wp:posOffset>
                </wp:positionV>
                <wp:extent cx="2305050" cy="415544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155440"/>
                        </a:xfrm>
                        <a:prstGeom prst="rect">
                          <a:avLst/>
                        </a:prstGeom>
                        <a:solidFill>
                          <a:srgbClr val="E9E6D7"/>
                        </a:solidFill>
                      </wps:spPr>
                      <wps:bodyPr/>
                    </wps:wsp>
                  </a:graphicData>
                </a:graphic>
              </wp:anchor>
            </w:drawing>
          </mc:Choice>
          <mc:Fallback>
            <w:pict>
              <v:rect id="Shape 2" o:spid="_x0000_s1027" style="position:absolute;margin-left:389.1pt;margin-top:6pt;width:181.5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-96520</wp:posOffset>
                </wp:positionH>
                <wp:positionV relativeFrom="paragraph">
                  <wp:posOffset>73660</wp:posOffset>
                </wp:positionV>
                <wp:extent cx="5072380" cy="416941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169410"/>
                        </a:xfrm>
                        <a:prstGeom prst="rect">
                          <a:avLst/>
                        </a:prstGeom>
                        <a:solidFill>
                          <a:srgbClr val="FFFFFF"/>
                        </a:solidFill>
                      </wps:spPr>
                      <wps:bodyPr/>
                    </wps:wsp>
                  </a:graphicData>
                </a:graphic>
              </wp:anchor>
            </w:drawing>
          </mc:Choice>
          <mc:Fallback>
            <w:pict>
              <v:rect id="Shape 3" o:spid="_x0000_s1028" style="position:absolute;margin-left:-7.5999pt;margin-top:5.8pt;width:399.4pt;height:328.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68"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83" w:lineRule="exact"/>
        <w:rPr>
          <w:sz w:val="24"/>
          <w:szCs w:val="24"/>
          <w:color w:val="auto"/>
        </w:rPr>
      </w:pPr>
    </w:p>
    <w:p>
      <w:pPr>
        <w:ind w:left="720" w:hanging="367"/>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2019-nCoV in the past 24 hours.</w:t>
      </w:r>
    </w:p>
    <w:p>
      <w:pPr>
        <w:spacing w:after="0" w:line="330" w:lineRule="exact"/>
        <w:rPr>
          <w:rFonts w:ascii="Arial" w:cs="Arial" w:eastAsia="Arial" w:hAnsi="Arial"/>
          <w:sz w:val="22"/>
          <w:szCs w:val="22"/>
          <w:color w:val="auto"/>
        </w:rPr>
      </w:pPr>
    </w:p>
    <w:p>
      <w:pPr>
        <w:ind w:left="720" w:hanging="367"/>
        <w:spacing w:after="0" w:line="233"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The infection prevention and control (IPC) global network is convened through weekly teleconferences with international IPC experts to discuss technical aspects of IPC measures, share epidemiological updates and experiences regarding the IPC measures put in place in affected countries. In consultation with the global IPC expert network, WHO has released three key IPC interim guidance materials on IPC measures during health care and home care, as well as advice on the use of masks in various settings.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5"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8" w:lineRule="exact"/>
        <w:rPr>
          <w:sz w:val="24"/>
          <w:szCs w:val="24"/>
          <w:color w:val="auto"/>
        </w:rPr>
      </w:pPr>
    </w:p>
    <w:p>
      <w:pPr>
        <w:ind w:right="20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rPr>
          <w:sz w:val="20"/>
          <w:szCs w:val="20"/>
          <w:color w:val="auto"/>
        </w:rPr>
      </w:pPr>
      <w:r>
        <w:rPr>
          <w:rFonts w:ascii="Calibri" w:cs="Calibri" w:eastAsia="Calibri" w:hAnsi="Calibri"/>
          <w:sz w:val="24"/>
          <w:szCs w:val="24"/>
          <w:color w:val="FF6600"/>
        </w:rPr>
        <w:t>34 886 confirmed (3419 new)</w:t>
      </w:r>
    </w:p>
    <w:p>
      <w:pPr>
        <w:spacing w:after="0" w:line="292"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rPr>
          <w:sz w:val="20"/>
          <w:szCs w:val="20"/>
          <w:color w:val="auto"/>
        </w:rPr>
      </w:pPr>
      <w:r>
        <w:rPr>
          <w:rFonts w:ascii="Calibri" w:cs="Calibri" w:eastAsia="Calibri" w:hAnsi="Calibri"/>
          <w:sz w:val="24"/>
          <w:szCs w:val="24"/>
          <w:color w:val="FF6600"/>
        </w:rPr>
        <w:t>34 598 confirmed (3401 new)</w:t>
      </w:r>
    </w:p>
    <w:p>
      <w:pPr>
        <w:ind w:left="280"/>
        <w:spacing w:after="0"/>
        <w:rPr>
          <w:sz w:val="20"/>
          <w:szCs w:val="20"/>
          <w:color w:val="auto"/>
        </w:rPr>
      </w:pPr>
      <w:r>
        <w:rPr>
          <w:rFonts w:ascii="Calibri" w:cs="Calibri" w:eastAsia="Calibri" w:hAnsi="Calibri"/>
          <w:sz w:val="24"/>
          <w:szCs w:val="24"/>
          <w:color w:val="FF6600"/>
        </w:rPr>
        <w:t>6101 severe (1280 new)</w:t>
      </w:r>
    </w:p>
    <w:p>
      <w:pPr>
        <w:ind w:left="380"/>
        <w:spacing w:after="0"/>
        <w:rPr>
          <w:sz w:val="20"/>
          <w:szCs w:val="20"/>
          <w:color w:val="auto"/>
        </w:rPr>
      </w:pPr>
      <w:r>
        <w:rPr>
          <w:rFonts w:ascii="Calibri" w:cs="Calibri" w:eastAsia="Calibri" w:hAnsi="Calibri"/>
          <w:sz w:val="24"/>
          <w:szCs w:val="24"/>
          <w:color w:val="FF6600"/>
        </w:rPr>
        <w:t>723 deaths (86 new)</w:t>
      </w:r>
    </w:p>
    <w:p>
      <w:pPr>
        <w:spacing w:after="0" w:line="295" w:lineRule="exact"/>
        <w:rPr>
          <w:sz w:val="24"/>
          <w:szCs w:val="24"/>
          <w:color w:val="auto"/>
        </w:rPr>
      </w:pPr>
    </w:p>
    <w:p>
      <w:pPr>
        <w:ind w:left="180"/>
        <w:spacing w:after="0"/>
        <w:rPr>
          <w:sz w:val="20"/>
          <w:szCs w:val="20"/>
          <w:color w:val="auto"/>
        </w:rPr>
      </w:pPr>
      <w:r>
        <w:rPr>
          <w:rFonts w:ascii="Calibri" w:cs="Calibri" w:eastAsia="Calibri" w:hAnsi="Calibri"/>
          <w:sz w:val="24"/>
          <w:szCs w:val="24"/>
          <w:b w:val="1"/>
          <w:bCs w:val="1"/>
          <w:color w:val="FF6600"/>
        </w:rPr>
        <w:t>Outside of China</w:t>
      </w:r>
    </w:p>
    <w:p>
      <w:pPr>
        <w:ind w:left="440"/>
        <w:spacing w:after="0"/>
        <w:rPr>
          <w:sz w:val="20"/>
          <w:szCs w:val="20"/>
          <w:color w:val="auto"/>
        </w:rPr>
      </w:pPr>
      <w:r>
        <w:rPr>
          <w:rFonts w:ascii="Calibri" w:cs="Calibri" w:eastAsia="Calibri" w:hAnsi="Calibri"/>
          <w:sz w:val="24"/>
          <w:szCs w:val="24"/>
          <w:color w:val="FF6600"/>
        </w:rPr>
        <w:t>288 confirmed (18 new)</w:t>
      </w:r>
    </w:p>
    <w:p>
      <w:pPr>
        <w:ind w:left="840" w:hanging="288"/>
        <w:spacing w:after="0"/>
        <w:tabs>
          <w:tab w:leader="none" w:pos="84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720"/>
        <w:spacing w:after="0"/>
        <w:rPr>
          <w:rFonts w:ascii="Calibri" w:cs="Calibri" w:eastAsia="Calibri" w:hAnsi="Calibri"/>
          <w:sz w:val="24"/>
          <w:szCs w:val="24"/>
          <w:color w:val="FF6600"/>
        </w:rPr>
      </w:pPr>
      <w:r>
        <w:rPr>
          <w:rFonts w:ascii="Calibri" w:cs="Calibri" w:eastAsia="Calibri" w:hAnsi="Calibri"/>
          <w:sz w:val="24"/>
          <w:szCs w:val="24"/>
          <w:color w:val="FF6600"/>
        </w:rPr>
        <w:t>1 death</w:t>
      </w:r>
    </w:p>
    <w:p>
      <w:pPr>
        <w:spacing w:after="0" w:line="292"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20" w:h="16841" w:orient="portrait"/>
          <w:cols w:equalWidth="0" w:num="2">
            <w:col w:w="7620" w:space="300"/>
            <w:col w:w="3000"/>
          </w:cols>
          <w:pgMar w:left="420" w:top="520" w:right="571" w:bottom="0" w:gutter="0" w:footer="0" w:header="0"/>
        </w:sectPr>
      </w:pPr>
    </w:p>
    <w:p>
      <w:pPr>
        <w:spacing w:after="0" w:line="375" w:lineRule="exact"/>
        <w:rPr>
          <w:sz w:val="24"/>
          <w:szCs w:val="24"/>
          <w:color w:val="auto"/>
        </w:rPr>
      </w:pPr>
    </w:p>
    <w:p>
      <w:pPr>
        <w:ind w:left="54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2019-nCoV, 8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343535</wp:posOffset>
            </wp:positionH>
            <wp:positionV relativeFrom="paragraph">
              <wp:posOffset>224155</wp:posOffset>
            </wp:positionV>
            <wp:extent cx="6448425" cy="36271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6448425" cy="36271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8" w:lineRule="exact"/>
        <w:rPr>
          <w:sz w:val="24"/>
          <w:szCs w:val="24"/>
          <w:color w:val="auto"/>
        </w:rPr>
      </w:pPr>
    </w:p>
    <w:p>
      <w:pPr>
        <w:ind w:left="260"/>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sectPr>
          <w:pgSz w:w="11920" w:h="16841" w:orient="portrait"/>
          <w:cols w:equalWidth="0" w:num="1">
            <w:col w:w="10920"/>
          </w:cols>
          <w:pgMar w:left="420" w:top="520" w:right="571" w:bottom="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TECHNICAL FOCUS: Infection prevention and control</w:t>
      </w:r>
    </w:p>
    <w:p>
      <w:pPr>
        <w:spacing w:after="0" w:line="296" w:lineRule="exact"/>
        <w:rPr>
          <w:sz w:val="20"/>
          <w:szCs w:val="20"/>
          <w:color w:val="auto"/>
        </w:rPr>
      </w:pPr>
    </w:p>
    <w:p>
      <w:pPr>
        <w:spacing w:after="0" w:line="233" w:lineRule="auto"/>
        <w:rPr>
          <w:sz w:val="20"/>
          <w:szCs w:val="20"/>
          <w:color w:val="auto"/>
        </w:rPr>
      </w:pPr>
      <w:r>
        <w:rPr>
          <w:rFonts w:ascii="Calibri" w:cs="Calibri" w:eastAsia="Calibri" w:hAnsi="Calibri"/>
          <w:sz w:val="22"/>
          <w:szCs w:val="22"/>
          <w:color w:val="auto"/>
        </w:rPr>
        <w:t>From the beginning of this outbreak, WHO has convened several global expert networks for laboratory, clinical management, mathematical modelling, risk communication and community engagement, and infection prevention and control (IPC). The IPC global network is convened through weekly teleconferences with international IPC experts to discuss technical aspects of IPC measures, share epidemiological updates and experiences regarding the IPC measures put in place in affected countries. International participants are members of the Global Infection Prevention and Control Network (GIPCN) or members of relevant institutions caring for infected 2019-nCoV acute respiratory disease patients.</w:t>
      </w:r>
    </w:p>
    <w:p>
      <w:pPr>
        <w:spacing w:after="0" w:line="323" w:lineRule="exact"/>
        <w:rPr>
          <w:sz w:val="20"/>
          <w:szCs w:val="20"/>
          <w:color w:val="auto"/>
        </w:rPr>
      </w:pPr>
    </w:p>
    <w:p>
      <w:pPr>
        <w:ind w:right="160"/>
        <w:spacing w:after="0" w:line="225"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In consultation with the global IPC expert network, WHO has released three key IPC interim guidance materials. These materials are available here: </w:t>
      </w:r>
      <w:hyperlink r:id="rId10">
        <w:r>
          <w:rPr>
            <w:rFonts w:ascii="Calibri" w:cs="Calibri" w:eastAsia="Calibri" w:hAnsi="Calibri"/>
            <w:sz w:val="22"/>
            <w:szCs w:val="22"/>
            <w:u w:val="single" w:color="auto"/>
            <w:color w:val="0000FF"/>
          </w:rPr>
          <w:t>https://www.who.int/emergencies/diseases/novel-coronavirus-2019/technical-</w:t>
        </w:r>
      </w:hyperlink>
      <w:hyperlink r:id="rId10">
        <w:r>
          <w:rPr>
            <w:rFonts w:ascii="Calibri" w:cs="Calibri" w:eastAsia="Calibri" w:hAnsi="Calibri"/>
            <w:sz w:val="22"/>
            <w:szCs w:val="22"/>
            <w:u w:val="single" w:color="auto"/>
            <w:color w:val="0000FF"/>
          </w:rPr>
          <w:t>guidance</w:t>
        </w:r>
      </w:hyperlink>
    </w:p>
    <w:p>
      <w:pPr>
        <w:spacing w:after="0" w:line="332" w:lineRule="exact"/>
        <w:rPr>
          <w:sz w:val="20"/>
          <w:szCs w:val="20"/>
          <w:color w:val="auto"/>
        </w:rPr>
      </w:pPr>
    </w:p>
    <w:p>
      <w:pPr>
        <w:ind w:right="400"/>
        <w:spacing w:after="0" w:line="225" w:lineRule="auto"/>
        <w:rPr>
          <w:rFonts w:ascii="Calibri" w:cs="Calibri" w:eastAsia="Calibri" w:hAnsi="Calibri"/>
          <w:sz w:val="22"/>
          <w:szCs w:val="22"/>
          <w:i w:val="1"/>
          <w:iCs w:val="1"/>
          <w:color w:val="0000FF"/>
        </w:rPr>
      </w:pPr>
      <w:r>
        <w:rPr>
          <w:rFonts w:ascii="Calibri" w:cs="Calibri" w:eastAsia="Calibri" w:hAnsi="Calibri"/>
          <w:sz w:val="22"/>
          <w:szCs w:val="22"/>
          <w:color w:val="auto"/>
        </w:rPr>
        <w:t xml:space="preserve">The first document - </w:t>
      </w:r>
      <w:hyperlink r:id="rId11">
        <w:r>
          <w:rPr>
            <w:rFonts w:ascii="Calibri" w:cs="Calibri" w:eastAsia="Calibri" w:hAnsi="Calibri"/>
            <w:sz w:val="22"/>
            <w:szCs w:val="22"/>
            <w:i w:val="1"/>
            <w:iCs w:val="1"/>
            <w:u w:val="single" w:color="auto"/>
            <w:color w:val="0000FF"/>
          </w:rPr>
          <w:t>Infection prevention and control during health care when novel coronavirus (2019-nCoV)</w:t>
        </w:r>
      </w:hyperlink>
      <w:r>
        <w:rPr>
          <w:rFonts w:ascii="Calibri" w:cs="Calibri" w:eastAsia="Calibri" w:hAnsi="Calibri"/>
          <w:sz w:val="22"/>
          <w:szCs w:val="22"/>
          <w:color w:val="auto"/>
        </w:rPr>
        <w:t xml:space="preserve"> </w:t>
      </w:r>
      <w:hyperlink r:id="rId11">
        <w:r>
          <w:rPr>
            <w:rFonts w:ascii="Calibri" w:cs="Calibri" w:eastAsia="Calibri" w:hAnsi="Calibri"/>
            <w:sz w:val="22"/>
            <w:szCs w:val="22"/>
            <w:i w:val="1"/>
            <w:iCs w:val="1"/>
            <w:u w:val="single" w:color="auto"/>
            <w:color w:val="0000FF"/>
          </w:rPr>
          <w:t>infection is suspected. Interim guidance v2</w:t>
        </w:r>
        <w:r>
          <w:rPr>
            <w:rFonts w:ascii="Calibri" w:cs="Calibri" w:eastAsia="Calibri" w:hAnsi="Calibri"/>
            <w:sz w:val="22"/>
            <w:szCs w:val="22"/>
            <w:i w:val="1"/>
            <w:iCs w:val="1"/>
            <w:color w:val="0000FF"/>
          </w:rPr>
          <w:t xml:space="preserve"> </w:t>
        </w:r>
      </w:hyperlink>
      <w:r>
        <w:rPr>
          <w:rFonts w:ascii="Calibri" w:cs="Calibri" w:eastAsia="Calibri" w:hAnsi="Calibri"/>
          <w:sz w:val="22"/>
          <w:szCs w:val="22"/>
          <w:color w:val="000000"/>
        </w:rPr>
        <w:t>-</w:t>
      </w:r>
      <w:r>
        <w:rPr>
          <w:rFonts w:ascii="Calibri" w:cs="Calibri" w:eastAsia="Calibri" w:hAnsi="Calibri"/>
          <w:sz w:val="22"/>
          <w:szCs w:val="22"/>
          <w:i w:val="1"/>
          <w:iCs w:val="1"/>
          <w:color w:val="0000FF"/>
        </w:rPr>
        <w:t xml:space="preserve"> </w:t>
      </w:r>
      <w:r>
        <w:rPr>
          <w:rFonts w:ascii="Calibri" w:cs="Calibri" w:eastAsia="Calibri" w:hAnsi="Calibri"/>
          <w:sz w:val="22"/>
          <w:szCs w:val="22"/>
          <w:color w:val="000000"/>
        </w:rPr>
        <w:t>defines the following five IPC strategies to prevent or limit human to</w:t>
      </w:r>
      <w:r>
        <w:rPr>
          <w:rFonts w:ascii="Calibri" w:cs="Calibri" w:eastAsia="Calibri" w:hAnsi="Calibri"/>
          <w:sz w:val="22"/>
          <w:szCs w:val="22"/>
          <w:i w:val="1"/>
          <w:iCs w:val="1"/>
          <w:color w:val="0000FF"/>
        </w:rPr>
        <w:t xml:space="preserve"> </w:t>
      </w:r>
      <w:r>
        <w:rPr>
          <w:rFonts w:ascii="Calibri" w:cs="Calibri" w:eastAsia="Calibri" w:hAnsi="Calibri"/>
          <w:sz w:val="22"/>
          <w:szCs w:val="22"/>
          <w:color w:val="000000"/>
        </w:rPr>
        <w:t>human transmission in health care settings:</w:t>
      </w:r>
    </w:p>
    <w:p>
      <w:pPr>
        <w:spacing w:after="0" w:line="330" w:lineRule="exact"/>
        <w:rPr>
          <w:sz w:val="20"/>
          <w:szCs w:val="20"/>
          <w:color w:val="auto"/>
        </w:rPr>
      </w:pPr>
    </w:p>
    <w:p>
      <w:pPr>
        <w:ind w:left="720" w:right="920" w:hanging="360"/>
        <w:spacing w:after="0" w:line="218" w:lineRule="auto"/>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Ensuring triage, early recognition, and source control (isolating patients with suspected 2019-nCoV infection);</w:t>
      </w: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Applying standard precautions for all patients;</w:t>
      </w:r>
    </w:p>
    <w:p>
      <w:pPr>
        <w:spacing w:after="0" w:line="49" w:lineRule="exact"/>
        <w:rPr>
          <w:rFonts w:ascii="Calibri" w:cs="Calibri" w:eastAsia="Calibri" w:hAnsi="Calibri"/>
          <w:sz w:val="22"/>
          <w:szCs w:val="22"/>
          <w:color w:val="auto"/>
        </w:rPr>
      </w:pPr>
    </w:p>
    <w:p>
      <w:pPr>
        <w:ind w:left="720" w:right="620" w:hanging="360"/>
        <w:spacing w:after="0" w:line="218" w:lineRule="auto"/>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Implementing empiric additional precautions (droplet and contact and, whenever applicable, airborne precautions) for suspected cases of 2019-nCoV infection;</w:t>
      </w: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Implementing administrative controls;</w:t>
      </w:r>
    </w:p>
    <w:p>
      <w:pPr>
        <w:ind w:left="720" w:hanging="360"/>
        <w:spacing w:after="0"/>
        <w:tabs>
          <w:tab w:leader="none" w:pos="72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Using environmental and engineering controls.</w:t>
      </w:r>
    </w:p>
    <w:p>
      <w:pPr>
        <w:spacing w:after="0" w:line="328" w:lineRule="exact"/>
        <w:rPr>
          <w:sz w:val="20"/>
          <w:szCs w:val="20"/>
          <w:color w:val="auto"/>
        </w:rPr>
      </w:pPr>
    </w:p>
    <w:p>
      <w:pPr>
        <w:ind w:right="60"/>
        <w:spacing w:after="0" w:line="233" w:lineRule="auto"/>
        <w:rPr>
          <w:rFonts w:ascii="Calibri" w:cs="Calibri" w:eastAsia="Calibri" w:hAnsi="Calibri"/>
          <w:sz w:val="22"/>
          <w:szCs w:val="22"/>
          <w:i w:val="1"/>
          <w:iCs w:val="1"/>
          <w:color w:val="0000FF"/>
        </w:rPr>
      </w:pPr>
      <w:r>
        <w:rPr>
          <w:rFonts w:ascii="Calibri" w:cs="Calibri" w:eastAsia="Calibri" w:hAnsi="Calibri"/>
          <w:sz w:val="22"/>
          <w:szCs w:val="22"/>
          <w:color w:val="auto"/>
        </w:rPr>
        <w:t xml:space="preserve">The second document - </w:t>
      </w:r>
      <w:hyperlink r:id="rId12">
        <w:r>
          <w:rPr>
            <w:rFonts w:ascii="Calibri" w:cs="Calibri" w:eastAsia="Calibri" w:hAnsi="Calibri"/>
            <w:sz w:val="22"/>
            <w:szCs w:val="22"/>
            <w:i w:val="1"/>
            <w:iCs w:val="1"/>
            <w:u w:val="single" w:color="auto"/>
            <w:color w:val="0000FF"/>
          </w:rPr>
          <w:t>Home care for patients with suspected novel coronavirus (2019-nCoV) infection presenting</w:t>
        </w:r>
      </w:hyperlink>
      <w:r>
        <w:rPr>
          <w:rFonts w:ascii="Calibri" w:cs="Calibri" w:eastAsia="Calibri" w:hAnsi="Calibri"/>
          <w:sz w:val="22"/>
          <w:szCs w:val="22"/>
          <w:color w:val="auto"/>
        </w:rPr>
        <w:t xml:space="preserve"> </w:t>
      </w:r>
      <w:hyperlink r:id="rId12">
        <w:r>
          <w:rPr>
            <w:rFonts w:ascii="Calibri" w:cs="Calibri" w:eastAsia="Calibri" w:hAnsi="Calibri"/>
            <w:sz w:val="22"/>
            <w:szCs w:val="22"/>
            <w:i w:val="1"/>
            <w:iCs w:val="1"/>
            <w:u w:val="single" w:color="auto"/>
            <w:color w:val="0000FF"/>
          </w:rPr>
          <w:t>with mild symptoms and management of contacts. Guidance- v2</w:t>
        </w:r>
        <w:r>
          <w:rPr>
            <w:rFonts w:ascii="Calibri" w:cs="Calibri" w:eastAsia="Calibri" w:hAnsi="Calibri"/>
            <w:sz w:val="22"/>
            <w:szCs w:val="22"/>
            <w:i w:val="1"/>
            <w:iCs w:val="1"/>
            <w:color w:val="0000FF"/>
          </w:rPr>
          <w:t xml:space="preserve"> </w:t>
        </w:r>
      </w:hyperlink>
      <w:r>
        <w:rPr>
          <w:rFonts w:ascii="Calibri" w:cs="Calibri" w:eastAsia="Calibri" w:hAnsi="Calibri"/>
          <w:sz w:val="22"/>
          <w:szCs w:val="22"/>
          <w:color w:val="000000"/>
        </w:rPr>
        <w:t>–</w:t>
      </w:r>
      <w:r>
        <w:rPr>
          <w:rFonts w:ascii="Calibri" w:cs="Calibri" w:eastAsia="Calibri" w:hAnsi="Calibri"/>
          <w:sz w:val="22"/>
          <w:szCs w:val="22"/>
          <w:i w:val="1"/>
          <w:iCs w:val="1"/>
          <w:color w:val="0000FF"/>
        </w:rPr>
        <w:t xml:space="preserve"> </w:t>
      </w:r>
      <w:r>
        <w:rPr>
          <w:rFonts w:ascii="Calibri" w:cs="Calibri" w:eastAsia="Calibri" w:hAnsi="Calibri"/>
          <w:sz w:val="22"/>
          <w:szCs w:val="22"/>
          <w:color w:val="000000"/>
        </w:rPr>
        <w:t>provides recommendations in the context of</w:t>
      </w:r>
      <w:r>
        <w:rPr>
          <w:rFonts w:ascii="Calibri" w:cs="Calibri" w:eastAsia="Calibri" w:hAnsi="Calibri"/>
          <w:sz w:val="22"/>
          <w:szCs w:val="22"/>
          <w:i w:val="1"/>
          <w:iCs w:val="1"/>
          <w:color w:val="0000FF"/>
        </w:rPr>
        <w:t xml:space="preserve"> </w:t>
      </w:r>
      <w:r>
        <w:rPr>
          <w:rFonts w:ascii="Calibri" w:cs="Calibri" w:eastAsia="Calibri" w:hAnsi="Calibri"/>
          <w:sz w:val="22"/>
          <w:szCs w:val="22"/>
          <w:color w:val="000000"/>
        </w:rPr>
        <w:t>home care for mild patients. Guidance is provided (i) for a household/caregiver’s protection including which personal protective equipment (PPE) to wear when caring for someone infected with 2019-nCoV and on environmental and waste management; (ii) for an infected individual with mild disease, for example to wear a mask; and (iii) for the management of contacts (including caregivers/health care workers) which includes 14 days of monitoring of health for contacts.</w:t>
      </w:r>
    </w:p>
    <w:p>
      <w:pPr>
        <w:spacing w:after="0" w:line="335" w:lineRule="exact"/>
        <w:rPr>
          <w:sz w:val="20"/>
          <w:szCs w:val="20"/>
          <w:color w:val="auto"/>
        </w:rPr>
      </w:pPr>
    </w:p>
    <w:p>
      <w:pPr>
        <w:ind w:right="20"/>
        <w:spacing w:after="0" w:line="232" w:lineRule="auto"/>
        <w:rPr>
          <w:rFonts w:ascii="Calibri" w:cs="Calibri" w:eastAsia="Calibri" w:hAnsi="Calibri"/>
          <w:sz w:val="22"/>
          <w:szCs w:val="22"/>
          <w:i w:val="1"/>
          <w:iCs w:val="1"/>
          <w:color w:val="0000FF"/>
        </w:rPr>
      </w:pPr>
      <w:r>
        <w:rPr>
          <w:rFonts w:ascii="Calibri" w:cs="Calibri" w:eastAsia="Calibri" w:hAnsi="Calibri"/>
          <w:sz w:val="22"/>
          <w:szCs w:val="22"/>
          <w:color w:val="auto"/>
        </w:rPr>
        <w:t xml:space="preserve">The third document - </w:t>
      </w:r>
      <w:hyperlink r:id="rId13">
        <w:r>
          <w:rPr>
            <w:rFonts w:ascii="Calibri" w:cs="Calibri" w:eastAsia="Calibri" w:hAnsi="Calibri"/>
            <w:sz w:val="22"/>
            <w:szCs w:val="22"/>
            <w:i w:val="1"/>
            <w:iCs w:val="1"/>
            <w:u w:val="single" w:color="auto"/>
            <w:color w:val="0000FF"/>
          </w:rPr>
          <w:t>Advice on the use of masks in the community, during home care and in health care settings in</w:t>
        </w:r>
      </w:hyperlink>
      <w:r>
        <w:rPr>
          <w:rFonts w:ascii="Calibri" w:cs="Calibri" w:eastAsia="Calibri" w:hAnsi="Calibri"/>
          <w:sz w:val="22"/>
          <w:szCs w:val="22"/>
          <w:color w:val="auto"/>
        </w:rPr>
        <w:t xml:space="preserve"> </w:t>
      </w:r>
      <w:hyperlink r:id="rId13">
        <w:r>
          <w:rPr>
            <w:rFonts w:ascii="Calibri" w:cs="Calibri" w:eastAsia="Calibri" w:hAnsi="Calibri"/>
            <w:sz w:val="22"/>
            <w:szCs w:val="22"/>
            <w:i w:val="1"/>
            <w:iCs w:val="1"/>
            <w:u w:val="single" w:color="auto"/>
            <w:color w:val="0000FF"/>
          </w:rPr>
          <w:t>the context of the novel coronavirus (2019-nCoV) outbreak. Interim guidance</w:t>
        </w:r>
        <w:r>
          <w:rPr>
            <w:rFonts w:ascii="Calibri" w:cs="Calibri" w:eastAsia="Calibri" w:hAnsi="Calibri"/>
            <w:sz w:val="22"/>
            <w:szCs w:val="22"/>
            <w:i w:val="1"/>
            <w:iCs w:val="1"/>
            <w:color w:val="0000FF"/>
          </w:rPr>
          <w:t xml:space="preserve"> </w:t>
        </w:r>
        <w:r>
          <w:rPr>
            <w:rFonts w:ascii="Calibri" w:cs="Calibri" w:eastAsia="Calibri" w:hAnsi="Calibri"/>
            <w:sz w:val="22"/>
            <w:szCs w:val="22"/>
            <w:i w:val="1"/>
            <w:iCs w:val="1"/>
            <w:u w:val="single" w:color="auto"/>
            <w:color w:val="0000FF"/>
          </w:rPr>
          <w:t>–</w:t>
        </w:r>
        <w:r>
          <w:rPr>
            <w:rFonts w:ascii="Calibri" w:cs="Calibri" w:eastAsia="Calibri" w:hAnsi="Calibri"/>
            <w:sz w:val="22"/>
            <w:szCs w:val="22"/>
            <w:i w:val="1"/>
            <w:iCs w:val="1"/>
            <w:color w:val="0000FF"/>
          </w:rPr>
          <w:t xml:space="preserve"> </w:t>
        </w:r>
        <w:r>
          <w:rPr>
            <w:rFonts w:ascii="Calibri" w:cs="Calibri" w:eastAsia="Calibri" w:hAnsi="Calibri"/>
            <w:sz w:val="22"/>
            <w:szCs w:val="22"/>
            <w:i w:val="1"/>
            <w:iCs w:val="1"/>
            <w:u w:val="single" w:color="auto"/>
            <w:color w:val="0000FF"/>
          </w:rPr>
          <w:t>v1</w:t>
        </w:r>
        <w:r>
          <w:rPr>
            <w:rFonts w:ascii="Calibri" w:cs="Calibri" w:eastAsia="Calibri" w:hAnsi="Calibri"/>
            <w:sz w:val="22"/>
            <w:szCs w:val="22"/>
            <w:u w:val="single" w:color="auto"/>
            <w:color w:val="0000FF"/>
          </w:rPr>
          <w:t>.</w:t>
        </w:r>
        <w:r>
          <w:rPr>
            <w:rFonts w:ascii="Calibri" w:cs="Calibri" w:eastAsia="Calibri" w:hAnsi="Calibri"/>
            <w:sz w:val="22"/>
            <w:szCs w:val="22"/>
            <w:i w:val="1"/>
            <w:iCs w:val="1"/>
            <w:color w:val="0000FF"/>
          </w:rPr>
          <w:t xml:space="preserve"> </w:t>
        </w:r>
      </w:hyperlink>
      <w:r>
        <w:rPr>
          <w:rFonts w:ascii="Calibri" w:cs="Calibri" w:eastAsia="Calibri" w:hAnsi="Calibri"/>
          <w:sz w:val="22"/>
          <w:szCs w:val="22"/>
          <w:color w:val="000000"/>
        </w:rPr>
        <w:t>In</w:t>
      </w:r>
      <w:r>
        <w:rPr>
          <w:rFonts w:ascii="Calibri" w:cs="Calibri" w:eastAsia="Calibri" w:hAnsi="Calibri"/>
          <w:sz w:val="22"/>
          <w:szCs w:val="22"/>
          <w:i w:val="1"/>
          <w:iCs w:val="1"/>
          <w:color w:val="0000FF"/>
        </w:rPr>
        <w:t xml:space="preserve"> </w:t>
      </w:r>
      <w:r>
        <w:rPr>
          <w:rFonts w:ascii="Calibri" w:cs="Calibri" w:eastAsia="Calibri" w:hAnsi="Calibri"/>
          <w:sz w:val="22"/>
          <w:szCs w:val="22"/>
          <w:color w:val="000000"/>
        </w:rPr>
        <w:t>community settings, medical</w:t>
      </w:r>
      <w:r>
        <w:rPr>
          <w:rFonts w:ascii="Calibri" w:cs="Calibri" w:eastAsia="Calibri" w:hAnsi="Calibri"/>
          <w:sz w:val="22"/>
          <w:szCs w:val="22"/>
          <w:i w:val="1"/>
          <w:iCs w:val="1"/>
          <w:color w:val="0000FF"/>
        </w:rPr>
        <w:t xml:space="preserve"> </w:t>
      </w:r>
      <w:r>
        <w:rPr>
          <w:rFonts w:ascii="Calibri" w:cs="Calibri" w:eastAsia="Calibri" w:hAnsi="Calibri"/>
          <w:sz w:val="22"/>
          <w:szCs w:val="22"/>
          <w:color w:val="000000"/>
        </w:rPr>
        <w:t>masks are not recommended for people without symptoms. For those who choose to wear medical masks, appropriate mask management should be followed, which includes how to use and dispose of masks. Symptomatic individuals are recommended to wear medical masks and seek early medical care if there are any signs of respiratory distress.</w:t>
      </w:r>
    </w:p>
    <w:p>
      <w:pPr>
        <w:sectPr>
          <w:pgSz w:w="11920" w:h="16841" w:orient="portrait"/>
          <w:cols w:equalWidth="0" w:num="1">
            <w:col w:w="10460"/>
          </w:cols>
          <w:pgMar w:left="720" w:top="899" w:right="731" w:bottom="1440"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spacing w:after="0" w:line="218" w:lineRule="auto"/>
        <w:rPr>
          <w:sz w:val="20"/>
          <w:szCs w:val="20"/>
          <w:color w:val="auto"/>
        </w:rPr>
      </w:pPr>
      <w:r>
        <w:rPr>
          <w:rFonts w:ascii="Calibri" w:cs="Calibri" w:eastAsia="Calibri" w:hAnsi="Calibri"/>
          <w:sz w:val="22"/>
          <w:szCs w:val="22"/>
          <w:b w:val="1"/>
          <w:bCs w:val="1"/>
          <w:color w:val="007AB0"/>
        </w:rPr>
        <w:t>Table 1. Confirmed cases of 2019-nCoV acute respiratory disease reported by provinces, regions and cities in China, 8 February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107950</wp:posOffset>
                </wp:positionV>
                <wp:extent cx="12700" cy="1333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FFFFFF"/>
                        </a:solidFill>
                      </wps:spPr>
                      <wps:bodyPr/>
                    </wps:wsp>
                  </a:graphicData>
                </a:graphic>
              </wp:anchor>
            </w:drawing>
          </mc:Choice>
          <mc:Fallback>
            <w:pict>
              <v:rect id="Shape 5" o:spid="_x0000_s1030" style="position:absolute;margin-left:230.65pt;margin-top:8.5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307975</wp:posOffset>
                </wp:positionV>
                <wp:extent cx="61093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25pt" to="481.05pt,24.25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2131695</wp:posOffset>
                </wp:positionV>
                <wp:extent cx="61093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7.85pt" to="481.05pt,167.8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2941320</wp:posOffset>
                </wp:positionV>
                <wp:extent cx="61093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1.6pt" to="481.05pt,231.6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3750310</wp:posOffset>
                </wp:positionV>
                <wp:extent cx="61093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5.3pt" to="481.05pt,295.3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3952875</wp:posOffset>
                </wp:positionV>
                <wp:extent cx="61093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1.25pt" to="481.05pt,311.2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4357370</wp:posOffset>
                </wp:positionV>
                <wp:extent cx="61093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3.1pt" to="481.05pt,343.1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5166360</wp:posOffset>
                </wp:positionV>
                <wp:extent cx="61093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6.8pt" to="481.05pt,406.8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5975985</wp:posOffset>
                </wp:positionV>
                <wp:extent cx="61093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0.55pt" to="481.05pt,470.5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6582410</wp:posOffset>
                </wp:positionV>
                <wp:extent cx="61093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8.3pt" to="481.05pt,518.3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6785610</wp:posOffset>
                </wp:positionV>
                <wp:extent cx="61093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4.3pt" to="481.05pt,534.3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7189470</wp:posOffset>
                </wp:positionV>
                <wp:extent cx="61093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6.1pt" to="481.05pt,566.1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97155</wp:posOffset>
                </wp:positionV>
                <wp:extent cx="0" cy="728853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8853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7.65pt" to="0.45pt,581.55pt" o:allowincell="f" strokecolor="#FFFFFF" strokeweight="0.9599pt"/>
            </w:pict>
          </mc:Fallback>
        </mc:AlternateContent>
      </w:r>
    </w:p>
    <w:p>
      <w:pPr>
        <w:spacing w:after="0" w:line="153" w:lineRule="exact"/>
        <w:rPr>
          <w:sz w:val="20"/>
          <w:szCs w:val="20"/>
          <w:color w:val="auto"/>
        </w:rPr>
      </w:pPr>
    </w:p>
    <w:tbl>
      <w:tblPr>
        <w:tblLayout w:type="fixed"/>
        <w:tblInd w:w="0" w:type="dxa"/>
        <w:tblCellMar>
          <w:top w:w="0" w:type="dxa"/>
          <w:left w:w="0" w:type="dxa"/>
          <w:bottom w:w="0" w:type="dxa"/>
          <w:right w:w="0" w:type="dxa"/>
        </w:tblCellMar>
      </w:tblPr>
      <w:tr>
        <w:trPr>
          <w:trHeight w:val="268"/>
        </w:trPr>
        <w:tc>
          <w:tcPr>
            <w:tcW w:w="20" w:type="dxa"/>
            <w:vAlign w:val="bottom"/>
            <w:tcBorders>
              <w:bottom w:val="single" w:sz="8" w:color="4F81BD"/>
            </w:tcBorders>
          </w:tcPr>
          <w:p>
            <w:pPr>
              <w:spacing w:after="0"/>
              <w:rPr>
                <w:sz w:val="23"/>
                <w:szCs w:val="23"/>
                <w:color w:val="auto"/>
              </w:rPr>
            </w:pPr>
          </w:p>
        </w:tc>
        <w:tc>
          <w:tcPr>
            <w:tcW w:w="4600" w:type="dxa"/>
            <w:vAlign w:val="bottom"/>
            <w:tcBorders>
              <w:bottom w:val="single" w:sz="8" w:color="4F81BD"/>
            </w:tcBorders>
            <w:shd w:val="clear" w:color="auto" w:fill="4F81BD"/>
          </w:tcPr>
          <w:p>
            <w:pPr>
              <w:spacing w:after="0"/>
              <w:rPr>
                <w:sz w:val="20"/>
                <w:szCs w:val="20"/>
                <w:color w:val="auto"/>
              </w:rPr>
            </w:pPr>
            <w:r>
              <w:rPr>
                <w:rFonts w:ascii="Arial" w:cs="Arial" w:eastAsia="Arial" w:hAnsi="Arial"/>
                <w:sz w:val="22"/>
                <w:szCs w:val="22"/>
                <w:b w:val="1"/>
                <w:bCs w:val="1"/>
                <w:color w:val="FFFFFF"/>
              </w:rPr>
              <w:t>Province/Region/City</w:t>
            </w:r>
          </w:p>
        </w:tc>
        <w:tc>
          <w:tcPr>
            <w:tcW w:w="20" w:type="dxa"/>
            <w:vAlign w:val="bottom"/>
            <w:tcBorders>
              <w:bottom w:val="single" w:sz="8" w:color="4F81BD"/>
            </w:tcBorders>
          </w:tcPr>
          <w:p>
            <w:pPr>
              <w:spacing w:after="0"/>
              <w:rPr>
                <w:sz w:val="23"/>
                <w:szCs w:val="23"/>
                <w:color w:val="auto"/>
              </w:rPr>
            </w:pPr>
          </w:p>
        </w:tc>
        <w:tc>
          <w:tcPr>
            <w:tcW w:w="4960" w:type="dxa"/>
            <w:vAlign w:val="bottom"/>
            <w:tcBorders>
              <w:bottom w:val="single" w:sz="8" w:color="4F81BD"/>
            </w:tcBorders>
            <w:shd w:val="clear" w:color="auto" w:fill="4F81BD"/>
          </w:tcPr>
          <w:p>
            <w:pPr>
              <w:ind w:left="1580"/>
              <w:spacing w:after="0"/>
              <w:rPr>
                <w:sz w:val="20"/>
                <w:szCs w:val="20"/>
                <w:color w:val="auto"/>
              </w:rPr>
            </w:pPr>
            <w:r>
              <w:rPr>
                <w:rFonts w:ascii="Arial" w:cs="Arial" w:eastAsia="Arial" w:hAnsi="Arial"/>
                <w:sz w:val="22"/>
                <w:szCs w:val="22"/>
                <w:b w:val="1"/>
                <w:bCs w:val="1"/>
                <w:color w:val="FFFFFF"/>
              </w:rPr>
              <w:t>Confirmed Cases</w:t>
            </w:r>
          </w:p>
        </w:tc>
        <w:tc>
          <w:tcPr>
            <w:tcW w:w="20" w:type="dxa"/>
            <w:vAlign w:val="bottom"/>
            <w:tcBorders>
              <w:bottom w:val="single" w:sz="8" w:color="4F81BD"/>
            </w:tcBorders>
          </w:tcPr>
          <w:p>
            <w:pPr>
              <w:spacing w:after="0"/>
              <w:rPr>
                <w:sz w:val="23"/>
                <w:szCs w:val="23"/>
                <w:color w:val="auto"/>
              </w:rPr>
            </w:pPr>
          </w:p>
        </w:tc>
      </w:tr>
      <w:tr>
        <w:trPr>
          <w:trHeight w:val="41"/>
        </w:trPr>
        <w:tc>
          <w:tcPr>
            <w:tcW w:w="20" w:type="dxa"/>
            <w:vAlign w:val="bottom"/>
          </w:tcPr>
          <w:p>
            <w:pPr>
              <w:spacing w:after="0"/>
              <w:rPr>
                <w:sz w:val="3"/>
                <w:szCs w:val="3"/>
                <w:color w:val="auto"/>
              </w:rPr>
            </w:pPr>
          </w:p>
        </w:tc>
        <w:tc>
          <w:tcPr>
            <w:tcW w:w="4600" w:type="dxa"/>
            <w:vAlign w:val="bottom"/>
          </w:tcPr>
          <w:p>
            <w:pPr>
              <w:spacing w:after="0"/>
              <w:rPr>
                <w:sz w:val="3"/>
                <w:szCs w:val="3"/>
                <w:color w:val="auto"/>
              </w:rPr>
            </w:pPr>
          </w:p>
        </w:tc>
        <w:tc>
          <w:tcPr>
            <w:tcW w:w="4980" w:type="dxa"/>
            <w:vAlign w:val="bottom"/>
            <w:gridSpan w:val="2"/>
          </w:tcPr>
          <w:p>
            <w:pPr>
              <w:spacing w:after="0"/>
              <w:rPr>
                <w:sz w:val="3"/>
                <w:szCs w:val="3"/>
                <w:color w:val="auto"/>
              </w:rPr>
            </w:pPr>
          </w:p>
        </w:tc>
        <w:tc>
          <w:tcPr>
            <w:tcW w:w="20" w:type="dxa"/>
            <w:vAlign w:val="bottom"/>
          </w:tcPr>
          <w:p>
            <w:pPr>
              <w:spacing w:after="0"/>
              <w:rPr>
                <w:sz w:val="3"/>
                <w:szCs w:val="3"/>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Hubei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24 953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Guangdong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1075</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Zhejiang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1048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Henan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981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803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Anhui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733</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Jiangxi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698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Jiangsu</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439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80"/>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Chongqing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426</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Shandong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407</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Sichuan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363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Beijing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315</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Heilongjiang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282</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Shanghai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281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Fujian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239</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Shaanxi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195</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Hebei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195</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Guangxi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183</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Yunnan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138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Hainan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123</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Shanxi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104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Liaoning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99</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Guizhou</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89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Tianjin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81</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Gansu</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71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Jilin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69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Inner Mongolia</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50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Ningxia</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45</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Xinjiang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42</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Hong Kong SAR</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26</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Qinghai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Taipei and environs</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16</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Macao SAR</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Xizang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b w:val="1"/>
                <w:bCs w:val="1"/>
                <w:color w:val="auto"/>
              </w:rPr>
              <w:t>Total</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b w:val="1"/>
                <w:bCs w:val="1"/>
                <w:color w:val="auto"/>
                <w:w w:val="98"/>
              </w:rPr>
              <w:t>34 598</w:t>
            </w:r>
          </w:p>
        </w:tc>
        <w:tc>
          <w:tcPr>
            <w:tcW w:w="20" w:type="dxa"/>
            <w:vAlign w:val="bottom"/>
            <w:tcBorders>
              <w:bottom w:val="single" w:sz="8" w:color="E9EDF4"/>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-6872605</wp:posOffset>
                </wp:positionV>
                <wp:extent cx="31800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41.1499pt" to="481.05pt,-541.1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-6670040</wp:posOffset>
                </wp:positionV>
                <wp:extent cx="318008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25.1999pt" to="481.05pt,-525.1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-6466840</wp:posOffset>
                </wp:positionV>
                <wp:extent cx="318008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09.1999pt" to="481.05pt,-509.1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-6265545</wp:posOffset>
                </wp:positionV>
                <wp:extent cx="31800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93.3499pt" to="481.05pt,-493.3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-6062980</wp:posOffset>
                </wp:positionV>
                <wp:extent cx="318008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77.3999pt" to="481.05pt,-477.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-5860415</wp:posOffset>
                </wp:positionV>
                <wp:extent cx="318008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61.4499pt" to="481.05pt,-461.4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-5657850</wp:posOffset>
                </wp:positionV>
                <wp:extent cx="318008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45.4999pt" to="481.05pt,-445.4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-5456555</wp:posOffset>
                </wp:positionV>
                <wp:extent cx="318008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29.6499pt" to="481.05pt,-429.6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-5050790</wp:posOffset>
                </wp:positionV>
                <wp:extent cx="318008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97.6999pt" to="481.05pt,-397.6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-4848225</wp:posOffset>
                </wp:positionV>
                <wp:extent cx="318008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81.7499pt" to="481.05pt,-381.7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-4646930</wp:posOffset>
                </wp:positionV>
                <wp:extent cx="318008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65.8999pt" to="481.05pt,-365.8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-4241800</wp:posOffset>
                </wp:positionV>
                <wp:extent cx="318008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34pt" to="481.05pt,-334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-4040505</wp:posOffset>
                </wp:positionV>
                <wp:extent cx="318008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18.1499pt" to="481.05pt,-318.1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-3837940</wp:posOffset>
                </wp:positionV>
                <wp:extent cx="318008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02.1999pt" to="481.05pt,-302.1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-3230880</wp:posOffset>
                </wp:positionV>
                <wp:extent cx="318008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54.3999pt" to="481.05pt,-254.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-2825750</wp:posOffset>
                </wp:positionV>
                <wp:extent cx="318008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22.4999pt" to="481.05pt,-222.4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-2622550</wp:posOffset>
                </wp:positionV>
                <wp:extent cx="318008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06.4999pt" to="481.05pt,-206.4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-2421890</wp:posOffset>
                </wp:positionV>
                <wp:extent cx="318008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90.6999pt" to="481.05pt,-190.6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-2016125</wp:posOffset>
                </wp:positionV>
                <wp:extent cx="318008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58.7499pt" to="481.05pt,-158.7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-1815465</wp:posOffset>
                </wp:positionV>
                <wp:extent cx="318008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42.9499pt" to="481.05pt,-142.9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-1612265</wp:posOffset>
                </wp:positionV>
                <wp:extent cx="318008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26.9499pt" to="481.05pt,-126.9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-1207135</wp:posOffset>
                </wp:positionV>
                <wp:extent cx="318008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95.0499pt" to="481.05pt,-95.0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-1005205</wp:posOffset>
                </wp:positionV>
                <wp:extent cx="318008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79.1499pt" to="481.05pt,-79.1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-397510</wp:posOffset>
                </wp:positionV>
                <wp:extent cx="318008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1.2999pt" to="481.05pt,-31.2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2935605</wp:posOffset>
                </wp:positionH>
                <wp:positionV relativeFrom="paragraph">
                  <wp:posOffset>-7265670</wp:posOffset>
                </wp:positionV>
                <wp:extent cx="0" cy="726567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5pt,-572.0999pt" to="231.15pt,0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6103620</wp:posOffset>
                </wp:positionH>
                <wp:positionV relativeFrom="paragraph">
                  <wp:posOffset>-7265670</wp:posOffset>
                </wp:positionV>
                <wp:extent cx="0" cy="726567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6pt,-572.0999pt" to="480.6pt,0pt" o:allowincell="f" strokecolor="#FFFFFF" strokeweight="0.96pt"/>
            </w:pict>
          </mc:Fallback>
        </mc:AlternateContent>
      </w:r>
    </w:p>
    <w:p>
      <w:pPr>
        <w:sectPr>
          <w:pgSz w:w="11920" w:h="16841" w:orient="portrait"/>
          <w:cols w:equalWidth="0" w:num="1">
            <w:col w:w="9880"/>
          </w:cols>
          <w:pgMar w:left="720" w:top="899" w:right="1311" w:bottom="1440" w:gutter="0" w:footer="0" w:header="0"/>
        </w:sectPr>
      </w:pPr>
    </w:p>
    <w:bookmarkStart w:id="3" w:name="page4"/>
    <w:bookmarkEnd w:id="3"/>
    <w:p>
      <w:pPr>
        <w:ind w:left="360" w:right="1200"/>
        <w:spacing w:after="0" w:line="218" w:lineRule="auto"/>
        <w:rPr>
          <w:sz w:val="20"/>
          <w:szCs w:val="20"/>
          <w:color w:val="auto"/>
        </w:rPr>
      </w:pPr>
      <w:r>
        <w:rPr>
          <w:rFonts w:ascii="Calibri" w:cs="Calibri" w:eastAsia="Calibri" w:hAnsi="Calibri"/>
          <w:sz w:val="22"/>
          <w:szCs w:val="22"/>
          <w:b w:val="1"/>
          <w:bCs w:val="1"/>
          <w:color w:val="007AB0"/>
        </w:rPr>
        <w:t>Table 2. Countries, territories or areas with reported confirmed 2019-nCoV cases and deaths. Data as of 8 February 2020</w:t>
      </w: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287"/>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shd w:val="clear" w:color="auto" w:fill="4F81BD"/>
          </w:tcPr>
          <w:p>
            <w:pPr>
              <w:spacing w:after="0"/>
              <w:rPr>
                <w:sz w:val="24"/>
                <w:szCs w:val="24"/>
                <w:color w:val="auto"/>
              </w:rPr>
            </w:pP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100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20" w:type="dxa"/>
            <w:vAlign w:val="bottom"/>
            <w:tcBorders>
              <w:top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(new) cases</w:t>
            </w:r>
          </w:p>
        </w:tc>
        <w:tc>
          <w:tcPr>
            <w:tcW w:w="1540" w:type="dxa"/>
            <w:vAlign w:val="bottom"/>
            <w:tcBorders>
              <w:top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 (new)</w:t>
            </w: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100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100"/>
              <w:spacing w:after="0"/>
              <w:rPr>
                <w:sz w:val="20"/>
                <w:szCs w:val="20"/>
                <w:color w:val="auto"/>
              </w:rPr>
            </w:pPr>
            <w:r>
              <w:rPr>
                <w:rFonts w:ascii="Calibri" w:cs="Calibri" w:eastAsia="Calibri" w:hAnsi="Calibri"/>
                <w:sz w:val="22"/>
                <w:szCs w:val="22"/>
                <w:b w:val="1"/>
                <w:bCs w:val="1"/>
                <w:color w:val="FFFFFF"/>
                <w:shd w:val="clear" w:color="auto" w:fill="4F81BD"/>
              </w:rPr>
              <w:t>Confirmed</w:t>
            </w:r>
            <w:r>
              <w:rPr>
                <w:rFonts w:ascii="Calibri" w:cs="Calibri" w:eastAsia="Calibri" w:hAnsi="Calibri"/>
                <w:sz w:val="27"/>
                <w:szCs w:val="27"/>
                <w:b w:val="1"/>
                <w:bCs w:val="1"/>
                <w:color w:val="FFFFFF"/>
                <w:vertAlign w:val="superscript"/>
                <w:shd w:val="clear" w:color="auto" w:fill="4F81BD"/>
              </w:rPr>
              <w:t>*</w:t>
            </w: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with  possible</w:t>
            </w:r>
          </w:p>
        </w:tc>
        <w:tc>
          <w:tcPr>
            <w:tcW w:w="154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cases with site</w:t>
            </w: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shd w:val="clear" w:color="auto" w:fill="4F81BD"/>
              </w:rPr>
              <w:t>cases with</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Total (new)</w:t>
            </w:r>
          </w:p>
        </w:tc>
        <w:tc>
          <w:tcPr>
            <w:tcW w:w="0" w:type="dxa"/>
            <w:vAlign w:val="bottom"/>
          </w:tcPr>
          <w:p>
            <w:pPr>
              <w:spacing w:after="0"/>
              <w:rPr>
                <w:sz w:val="1"/>
                <w:szCs w:val="1"/>
                <w:color w:val="auto"/>
              </w:rPr>
            </w:pPr>
          </w:p>
        </w:tc>
      </w:tr>
      <w:tr>
        <w:trPr>
          <w:trHeight w:val="140"/>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WHO Region</w:t>
            </w:r>
          </w:p>
        </w:tc>
        <w:tc>
          <w:tcPr>
            <w:tcW w:w="2240" w:type="dxa"/>
            <w:vAlign w:val="bottom"/>
            <w:tcBorders>
              <w:right w:val="single" w:sz="8" w:color="auto"/>
            </w:tcBorders>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60" w:type="dxa"/>
            <w:vAlign w:val="bottom"/>
            <w:tcBorders>
              <w:right w:val="single" w:sz="8" w:color="auto"/>
            </w:tcBorders>
            <w:vMerge w:val="continue"/>
            <w:shd w:val="clear" w:color="auto" w:fill="4F81BD"/>
          </w:tcPr>
          <w:p>
            <w:pPr>
              <w:spacing w:after="0"/>
              <w:rPr>
                <w:sz w:val="12"/>
                <w:szCs w:val="12"/>
                <w:color w:val="auto"/>
              </w:rPr>
            </w:pPr>
          </w:p>
        </w:tc>
        <w:tc>
          <w:tcPr>
            <w:tcW w:w="1000" w:type="dxa"/>
            <w:vAlign w:val="bottom"/>
            <w:tcBorders>
              <w:right w:val="single" w:sz="8" w:color="auto"/>
            </w:tcBorders>
            <w:vMerge w:val="continue"/>
            <w:shd w:val="clear" w:color="auto" w:fill="4F81BD"/>
          </w:tcPr>
          <w:p>
            <w:pPr>
              <w:spacing w:after="0"/>
              <w:rPr>
                <w:sz w:val="12"/>
                <w:szCs w:val="12"/>
                <w:color w:val="auto"/>
              </w:rPr>
            </w:pPr>
          </w:p>
        </w:tc>
        <w:tc>
          <w:tcPr>
            <w:tcW w:w="162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or confirmed</w:t>
            </w:r>
          </w:p>
        </w:tc>
        <w:tc>
          <w:tcPr>
            <w:tcW w:w="154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of transmission</w:t>
            </w:r>
          </w:p>
        </w:tc>
        <w:tc>
          <w:tcPr>
            <w:tcW w:w="1260" w:type="dxa"/>
            <w:vAlign w:val="bottom"/>
            <w:tcBorders>
              <w:right w:val="single" w:sz="8" w:color="auto"/>
            </w:tcBorders>
            <w:vMerge w:val="continue"/>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2280" w:type="dxa"/>
            <w:vAlign w:val="bottom"/>
            <w:tcBorders>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80"/>
              <w:spacing w:after="0" w:line="262" w:lineRule="exact"/>
              <w:rPr>
                <w:sz w:val="20"/>
                <w:szCs w:val="20"/>
                <w:color w:val="auto"/>
              </w:rPr>
            </w:pPr>
            <w:r>
              <w:rPr>
                <w:rFonts w:ascii="Calibri" w:cs="Calibri" w:eastAsia="Calibri" w:hAnsi="Calibri"/>
                <w:sz w:val="22"/>
                <w:szCs w:val="22"/>
                <w:b w:val="1"/>
                <w:bCs w:val="1"/>
                <w:color w:val="FFFFFF"/>
              </w:rPr>
              <w:t>(new) cases</w:t>
            </w:r>
          </w:p>
        </w:tc>
        <w:tc>
          <w:tcPr>
            <w:tcW w:w="100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travel</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deaths</w:t>
            </w: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transmission</w:t>
            </w:r>
          </w:p>
        </w:tc>
        <w:tc>
          <w:tcPr>
            <w:tcW w:w="154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under</w:t>
            </w: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100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history to</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outside of China</w:t>
            </w:r>
            <w:r>
              <w:rPr>
                <w:rFonts w:ascii="Calibri" w:cs="Calibri" w:eastAsia="Calibri" w:hAnsi="Calibri"/>
                <w:sz w:val="27"/>
                <w:szCs w:val="27"/>
                <w:b w:val="1"/>
                <w:bCs w:val="1"/>
                <w:color w:val="FFFFFF"/>
                <w:w w:val="98"/>
                <w:vertAlign w:val="superscript"/>
              </w:rPr>
              <w:t>†</w:t>
            </w:r>
          </w:p>
        </w:tc>
        <w:tc>
          <w:tcPr>
            <w:tcW w:w="154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investigation</w:t>
            </w: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2280" w:type="dxa"/>
            <w:vAlign w:val="bottom"/>
            <w:tcBorders>
              <w:left w:val="single" w:sz="8" w:color="auto"/>
              <w:right w:val="single" w:sz="8" w:color="auto"/>
            </w:tcBorders>
            <w:shd w:val="clear" w:color="auto" w:fill="4F81BD"/>
          </w:tcPr>
          <w:p>
            <w:pPr>
              <w:spacing w:after="0"/>
              <w:rPr>
                <w:sz w:val="12"/>
                <w:szCs w:val="12"/>
                <w:color w:val="auto"/>
              </w:rPr>
            </w:pPr>
          </w:p>
        </w:tc>
        <w:tc>
          <w:tcPr>
            <w:tcW w:w="2240" w:type="dxa"/>
            <w:vAlign w:val="bottom"/>
            <w:tcBorders>
              <w:right w:val="single" w:sz="8" w:color="auto"/>
            </w:tcBorders>
            <w:shd w:val="clear" w:color="auto" w:fill="4F81BD"/>
          </w:tcPr>
          <w:p>
            <w:pPr>
              <w:spacing w:after="0"/>
              <w:rPr>
                <w:sz w:val="12"/>
                <w:szCs w:val="12"/>
                <w:color w:val="auto"/>
              </w:rPr>
            </w:pPr>
          </w:p>
        </w:tc>
        <w:tc>
          <w:tcPr>
            <w:tcW w:w="1260" w:type="dxa"/>
            <w:vAlign w:val="bottom"/>
            <w:tcBorders>
              <w:right w:val="single" w:sz="8" w:color="auto"/>
            </w:tcBorders>
            <w:shd w:val="clear" w:color="auto" w:fill="4F81BD"/>
          </w:tcPr>
          <w:p>
            <w:pPr>
              <w:spacing w:after="0"/>
              <w:rPr>
                <w:sz w:val="12"/>
                <w:szCs w:val="12"/>
                <w:color w:val="auto"/>
              </w:rPr>
            </w:pPr>
          </w:p>
        </w:tc>
        <w:tc>
          <w:tcPr>
            <w:tcW w:w="1000" w:type="dxa"/>
            <w:vAlign w:val="bottom"/>
            <w:tcBorders>
              <w:right w:val="single" w:sz="8" w:color="auto"/>
            </w:tcBorders>
            <w:vMerge w:val="restart"/>
            <w:shd w:val="clear" w:color="auto" w:fill="4F81BD"/>
          </w:tcPr>
          <w:p>
            <w:pPr>
              <w:jc w:val="center"/>
              <w:spacing w:after="0" w:line="267" w:lineRule="exact"/>
              <w:rPr>
                <w:sz w:val="20"/>
                <w:szCs w:val="20"/>
                <w:color w:val="auto"/>
              </w:rPr>
            </w:pPr>
            <w:r>
              <w:rPr>
                <w:rFonts w:ascii="Calibri" w:cs="Calibri" w:eastAsia="Calibri" w:hAnsi="Calibri"/>
                <w:sz w:val="22"/>
                <w:szCs w:val="22"/>
                <w:b w:val="1"/>
                <w:bCs w:val="1"/>
                <w:color w:val="FFFFFF"/>
              </w:rPr>
              <w:t>China</w:t>
            </w:r>
          </w:p>
        </w:tc>
        <w:tc>
          <w:tcPr>
            <w:tcW w:w="1620" w:type="dxa"/>
            <w:vAlign w:val="bottom"/>
            <w:tcBorders>
              <w:right w:val="single" w:sz="8" w:color="auto"/>
            </w:tcBorders>
            <w:vMerge w:val="continue"/>
            <w:shd w:val="clear" w:color="auto" w:fill="4F81BD"/>
          </w:tcPr>
          <w:p>
            <w:pPr>
              <w:spacing w:after="0"/>
              <w:rPr>
                <w:sz w:val="12"/>
                <w:szCs w:val="12"/>
                <w:color w:val="auto"/>
              </w:rPr>
            </w:pPr>
          </w:p>
        </w:tc>
        <w:tc>
          <w:tcPr>
            <w:tcW w:w="1540" w:type="dxa"/>
            <w:vAlign w:val="bottom"/>
            <w:tcBorders>
              <w:right w:val="single" w:sz="8" w:color="auto"/>
            </w:tcBorders>
            <w:vMerge w:val="continue"/>
            <w:shd w:val="clear" w:color="auto" w:fill="4F81BD"/>
          </w:tcPr>
          <w:p>
            <w:pPr>
              <w:spacing w:after="0"/>
              <w:rPr>
                <w:sz w:val="12"/>
                <w:szCs w:val="12"/>
                <w:color w:val="auto"/>
              </w:rPr>
            </w:pPr>
          </w:p>
        </w:tc>
        <w:tc>
          <w:tcPr>
            <w:tcW w:w="126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2280" w:type="dxa"/>
            <w:vAlign w:val="bottom"/>
            <w:tcBorders>
              <w:left w:val="single" w:sz="8" w:color="auto"/>
              <w:bottom w:val="single" w:sz="8" w:color="auto"/>
              <w:right w:val="single" w:sz="8" w:color="auto"/>
            </w:tcBorders>
            <w:shd w:val="clear" w:color="auto" w:fill="4F81BD"/>
          </w:tcPr>
          <w:p>
            <w:pPr>
              <w:spacing w:after="0"/>
              <w:rPr>
                <w:sz w:val="13"/>
                <w:szCs w:val="13"/>
                <w:color w:val="auto"/>
              </w:rPr>
            </w:pPr>
          </w:p>
        </w:tc>
        <w:tc>
          <w:tcPr>
            <w:tcW w:w="2240" w:type="dxa"/>
            <w:vAlign w:val="bottom"/>
            <w:tcBorders>
              <w:bottom w:val="single" w:sz="8" w:color="auto"/>
              <w:right w:val="single" w:sz="8" w:color="auto"/>
            </w:tcBorders>
            <w:shd w:val="clear" w:color="auto" w:fill="4F81BD"/>
          </w:tcPr>
          <w:p>
            <w:pPr>
              <w:spacing w:after="0"/>
              <w:rPr>
                <w:sz w:val="13"/>
                <w:szCs w:val="13"/>
                <w:color w:val="auto"/>
              </w:rPr>
            </w:pPr>
          </w:p>
        </w:tc>
        <w:tc>
          <w:tcPr>
            <w:tcW w:w="1260" w:type="dxa"/>
            <w:vAlign w:val="bottom"/>
            <w:tcBorders>
              <w:bottom w:val="single" w:sz="8" w:color="auto"/>
              <w:right w:val="single" w:sz="8" w:color="auto"/>
            </w:tcBorders>
            <w:shd w:val="clear" w:color="auto" w:fill="4F81BD"/>
          </w:tcPr>
          <w:p>
            <w:pPr>
              <w:spacing w:after="0"/>
              <w:rPr>
                <w:sz w:val="13"/>
                <w:szCs w:val="13"/>
                <w:color w:val="auto"/>
              </w:rPr>
            </w:pPr>
          </w:p>
        </w:tc>
        <w:tc>
          <w:tcPr>
            <w:tcW w:w="1000" w:type="dxa"/>
            <w:vAlign w:val="bottom"/>
            <w:tcBorders>
              <w:bottom w:val="single" w:sz="8" w:color="auto"/>
              <w:right w:val="single" w:sz="8" w:color="auto"/>
            </w:tcBorders>
            <w:vMerge w:val="continue"/>
            <w:shd w:val="clear" w:color="auto" w:fill="4F81BD"/>
          </w:tcPr>
          <w:p>
            <w:pPr>
              <w:spacing w:after="0"/>
              <w:rPr>
                <w:sz w:val="13"/>
                <w:szCs w:val="13"/>
                <w:color w:val="auto"/>
              </w:rPr>
            </w:pPr>
          </w:p>
        </w:tc>
        <w:tc>
          <w:tcPr>
            <w:tcW w:w="1620" w:type="dxa"/>
            <w:vAlign w:val="bottom"/>
            <w:tcBorders>
              <w:bottom w:val="single" w:sz="8" w:color="auto"/>
              <w:right w:val="single" w:sz="8" w:color="auto"/>
            </w:tcBorders>
            <w:shd w:val="clear" w:color="auto" w:fill="4F81BD"/>
          </w:tcPr>
          <w:p>
            <w:pPr>
              <w:spacing w:after="0"/>
              <w:rPr>
                <w:sz w:val="13"/>
                <w:szCs w:val="13"/>
                <w:color w:val="auto"/>
              </w:rPr>
            </w:pPr>
          </w:p>
        </w:tc>
        <w:tc>
          <w:tcPr>
            <w:tcW w:w="1540" w:type="dxa"/>
            <w:vAlign w:val="bottom"/>
            <w:tcBorders>
              <w:bottom w:val="single" w:sz="8" w:color="auto"/>
              <w:right w:val="single" w:sz="8" w:color="auto"/>
            </w:tcBorders>
            <w:shd w:val="clear" w:color="auto" w:fill="4F81BD"/>
          </w:tcPr>
          <w:p>
            <w:pPr>
              <w:spacing w:after="0"/>
              <w:rPr>
                <w:sz w:val="13"/>
                <w:szCs w:val="13"/>
                <w:color w:val="auto"/>
              </w:rPr>
            </w:pPr>
          </w:p>
        </w:tc>
        <w:tc>
          <w:tcPr>
            <w:tcW w:w="1260" w:type="dxa"/>
            <w:vAlign w:val="bottom"/>
            <w:tcBorders>
              <w:bottom w:val="single" w:sz="8" w:color="auto"/>
              <w:right w:val="single" w:sz="8" w:color="auto"/>
            </w:tcBorders>
            <w:shd w:val="clear" w:color="auto" w:fill="4F81BD"/>
          </w:tcPr>
          <w:p>
            <w:pPr>
              <w:spacing w:after="0"/>
              <w:rPr>
                <w:sz w:val="13"/>
                <w:szCs w:val="13"/>
                <w:color w:val="auto"/>
              </w:rPr>
            </w:pPr>
          </w:p>
        </w:tc>
        <w:tc>
          <w:tcPr>
            <w:tcW w:w="0" w:type="dxa"/>
            <w:vAlign w:val="bottom"/>
          </w:tcPr>
          <w:p>
            <w:pPr>
              <w:spacing w:after="0"/>
              <w:rPr>
                <w:sz w:val="1"/>
                <w:szCs w:val="1"/>
                <w:color w:val="auto"/>
              </w:rPr>
            </w:pPr>
          </w:p>
        </w:tc>
      </w:tr>
      <w:tr>
        <w:trPr>
          <w:trHeight w:val="294"/>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shd w:val="clear" w:color="auto" w:fill="E9EDF4"/>
          </w:tcPr>
          <w:p>
            <w:pPr>
              <w:spacing w:after="0" w:line="279" w:lineRule="exact"/>
              <w:rPr>
                <w:sz w:val="20"/>
                <w:szCs w:val="20"/>
                <w:color w:val="auto"/>
              </w:rPr>
            </w:pPr>
            <w:r>
              <w:rPr>
                <w:rFonts w:ascii="Calibri" w:cs="Calibri" w:eastAsia="Calibri" w:hAnsi="Calibri"/>
                <w:sz w:val="22"/>
                <w:szCs w:val="22"/>
                <w:color w:val="auto"/>
              </w:rPr>
              <w:t>China</w:t>
            </w:r>
            <w:r>
              <w:rPr>
                <w:rFonts w:ascii="Calibri" w:cs="Calibri" w:eastAsia="Calibri" w:hAnsi="Calibri"/>
                <w:sz w:val="27"/>
                <w:szCs w:val="27"/>
                <w:color w:val="auto"/>
                <w:vertAlign w:val="superscript"/>
              </w:rPr>
              <w:t>‡</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shd w:val="clear" w:color="auto" w:fill="E9EDF4"/>
              </w:rPr>
              <w:t>34 598 (3401)</w:t>
            </w:r>
          </w:p>
        </w:tc>
        <w:tc>
          <w:tcPr>
            <w:tcW w:w="1000" w:type="dxa"/>
            <w:vAlign w:val="bottom"/>
            <w:tcBorders>
              <w:bottom w:val="single" w:sz="8" w:color="auto"/>
              <w:right w:val="single" w:sz="8" w:color="auto"/>
            </w:tcBorders>
            <w:shd w:val="clear" w:color="auto" w:fill="E9EDF4"/>
          </w:tcPr>
          <w:p>
            <w:pPr>
              <w:spacing w:after="0"/>
              <w:rPr>
                <w:sz w:val="24"/>
                <w:szCs w:val="24"/>
                <w:color w:val="auto"/>
              </w:rPr>
            </w:pPr>
          </w:p>
        </w:tc>
        <w:tc>
          <w:tcPr>
            <w:tcW w:w="1620" w:type="dxa"/>
            <w:vAlign w:val="bottom"/>
            <w:tcBorders>
              <w:bottom w:val="single" w:sz="8" w:color="auto"/>
              <w:right w:val="single" w:sz="8" w:color="auto"/>
            </w:tcBorders>
            <w:shd w:val="clear" w:color="auto" w:fill="E9EDF4"/>
          </w:tcPr>
          <w:p>
            <w:pPr>
              <w:spacing w:after="0"/>
              <w:rPr>
                <w:sz w:val="24"/>
                <w:szCs w:val="24"/>
                <w:color w:val="auto"/>
              </w:rPr>
            </w:pPr>
          </w:p>
        </w:tc>
        <w:tc>
          <w:tcPr>
            <w:tcW w:w="1540" w:type="dxa"/>
            <w:vAlign w:val="bottom"/>
            <w:tcBorders>
              <w:bottom w:val="single" w:sz="8" w:color="auto"/>
              <w:right w:val="single" w:sz="8" w:color="auto"/>
            </w:tcBorders>
            <w:shd w:val="clear" w:color="auto" w:fill="E9EDF4"/>
          </w:tcPr>
          <w:p>
            <w:pPr>
              <w:spacing w:after="0"/>
              <w:rPr>
                <w:sz w:val="24"/>
                <w:szCs w:val="24"/>
                <w:color w:val="auto"/>
              </w:rPr>
            </w:pP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99"/>
              </w:rPr>
              <w:t>723 (86)</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tcPr>
          <w:p>
            <w:pPr>
              <w:spacing w:after="0" w:line="20" w:lineRule="exact"/>
              <w:rPr>
                <w:sz w:val="1"/>
                <w:szCs w:val="1"/>
                <w:color w:val="auto"/>
              </w:rPr>
            </w:pPr>
          </w:p>
        </w:tc>
        <w:tc>
          <w:tcPr>
            <w:tcW w:w="1000" w:type="dxa"/>
            <w:vAlign w:val="bottom"/>
            <w:tcBorders>
              <w:right w:val="single" w:sz="8" w:color="auto"/>
            </w:tcBorders>
          </w:tcPr>
          <w:p>
            <w:pPr>
              <w:spacing w:after="0" w:line="20" w:lineRule="exact"/>
              <w:rPr>
                <w:sz w:val="1"/>
                <w:szCs w:val="1"/>
                <w:color w:val="auto"/>
              </w:rPr>
            </w:pPr>
          </w:p>
        </w:tc>
        <w:tc>
          <w:tcPr>
            <w:tcW w:w="1620" w:type="dxa"/>
            <w:vAlign w:val="bottom"/>
            <w:tcBorders>
              <w:right w:val="single" w:sz="8" w:color="auto"/>
            </w:tcBorders>
          </w:tcPr>
          <w:p>
            <w:pPr>
              <w:spacing w:after="0" w:line="20" w:lineRule="exact"/>
              <w:rPr>
                <w:sz w:val="1"/>
                <w:szCs w:val="1"/>
                <w:color w:val="auto"/>
              </w:rPr>
            </w:pPr>
          </w:p>
        </w:tc>
        <w:tc>
          <w:tcPr>
            <w:tcW w:w="15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9"/>
        </w:trPr>
        <w:tc>
          <w:tcPr>
            <w:tcW w:w="2280" w:type="dxa"/>
            <w:vAlign w:val="bottom"/>
            <w:tcBorders>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Western Pacific 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Singapore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33 (3)</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12 (3)</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28"/>
        </w:trPr>
        <w:tc>
          <w:tcPr>
            <w:tcW w:w="2280" w:type="dxa"/>
            <w:vAlign w:val="bottom"/>
            <w:tcBorders>
              <w:top w:val="single" w:sz="8" w:color="4F81BD"/>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Japan</w:t>
            </w:r>
          </w:p>
        </w:tc>
        <w:tc>
          <w:tcPr>
            <w:tcW w:w="126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25 (0)</w:t>
            </w:r>
          </w:p>
        </w:tc>
        <w:tc>
          <w:tcPr>
            <w:tcW w:w="100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21 (0)</w:t>
            </w:r>
          </w:p>
        </w:tc>
        <w:tc>
          <w:tcPr>
            <w:tcW w:w="162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4 (0)</w:t>
            </w:r>
          </w:p>
        </w:tc>
        <w:tc>
          <w:tcPr>
            <w:tcW w:w="154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73"/>
        </w:trPr>
        <w:tc>
          <w:tcPr>
            <w:tcW w:w="2280" w:type="dxa"/>
            <w:vAlign w:val="bottom"/>
            <w:tcBorders>
              <w:left w:val="single" w:sz="8" w:color="auto"/>
              <w:bottom w:val="single" w:sz="8" w:color="4F81BD"/>
              <w:right w:val="single" w:sz="8" w:color="auto"/>
            </w:tcBorders>
            <w:shd w:val="clear" w:color="auto" w:fill="4F81BD"/>
          </w:tcPr>
          <w:p>
            <w:pPr>
              <w:spacing w:after="0"/>
              <w:rPr>
                <w:sz w:val="15"/>
                <w:szCs w:val="15"/>
                <w:color w:val="auto"/>
              </w:rPr>
            </w:pPr>
          </w:p>
        </w:tc>
        <w:tc>
          <w:tcPr>
            <w:tcW w:w="22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1000" w:type="dxa"/>
            <w:vAlign w:val="bottom"/>
            <w:tcBorders>
              <w:bottom w:val="single" w:sz="8" w:color="auto"/>
              <w:right w:val="single" w:sz="8" w:color="auto"/>
            </w:tcBorders>
            <w:vMerge w:val="continue"/>
          </w:tcPr>
          <w:p>
            <w:pPr>
              <w:spacing w:after="0"/>
              <w:rPr>
                <w:sz w:val="15"/>
                <w:szCs w:val="15"/>
                <w:color w:val="auto"/>
              </w:rPr>
            </w:pPr>
          </w:p>
        </w:tc>
        <w:tc>
          <w:tcPr>
            <w:tcW w:w="1620" w:type="dxa"/>
            <w:vAlign w:val="bottom"/>
            <w:tcBorders>
              <w:bottom w:val="single" w:sz="8" w:color="auto"/>
              <w:right w:val="single" w:sz="8" w:color="auto"/>
            </w:tcBorders>
            <w:vMerge w:val="continue"/>
          </w:tcPr>
          <w:p>
            <w:pPr>
              <w:spacing w:after="0"/>
              <w:rPr>
                <w:sz w:val="15"/>
                <w:szCs w:val="15"/>
                <w:color w:val="auto"/>
              </w:rPr>
            </w:pPr>
          </w:p>
        </w:tc>
        <w:tc>
          <w:tcPr>
            <w:tcW w:w="15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shd w:val="clear" w:color="auto" w:fill="E9EDF4"/>
          </w:tcPr>
          <w:p>
            <w:pPr>
              <w:spacing w:after="0"/>
              <w:rPr>
                <w:sz w:val="15"/>
                <w:szCs w:val="15"/>
                <w:color w:val="auto"/>
              </w:rPr>
            </w:pPr>
          </w:p>
        </w:tc>
        <w:tc>
          <w:tcPr>
            <w:tcW w:w="0" w:type="dxa"/>
            <w:vAlign w:val="bottom"/>
          </w:tcPr>
          <w:p>
            <w:pPr>
              <w:spacing w:after="0"/>
              <w:rPr>
                <w:sz w:val="1"/>
                <w:szCs w:val="1"/>
                <w:color w:val="auto"/>
              </w:rPr>
            </w:pPr>
          </w:p>
        </w:tc>
      </w:tr>
      <w:tr>
        <w:trPr>
          <w:trHeight w:val="315"/>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Republic of Korea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24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15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line="265" w:lineRule="exact"/>
              <w:rPr>
                <w:sz w:val="20"/>
                <w:szCs w:val="20"/>
                <w:color w:val="auto"/>
              </w:rPr>
            </w:pPr>
            <w:r>
              <w:rPr>
                <w:rFonts w:ascii="Calibri" w:cs="Calibri" w:eastAsia="Calibri" w:hAnsi="Calibri"/>
                <w:sz w:val="22"/>
                <w:szCs w:val="22"/>
                <w:color w:val="auto"/>
              </w:rPr>
              <w:t>Australia</w:t>
            </w:r>
          </w:p>
        </w:tc>
        <w:tc>
          <w:tcPr>
            <w:tcW w:w="126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15 (0)</w:t>
            </w:r>
          </w:p>
        </w:tc>
        <w:tc>
          <w:tcPr>
            <w:tcW w:w="100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15 (0)</w:t>
            </w:r>
          </w:p>
        </w:tc>
        <w:tc>
          <w:tcPr>
            <w:tcW w:w="162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E9EDF4"/>
              <w:right w:val="single" w:sz="8" w:color="auto"/>
            </w:tcBorders>
            <w:shd w:val="clear" w:color="auto" w:fill="E9EDF4"/>
          </w:tcPr>
          <w:p>
            <w:pPr>
              <w:jc w:val="center"/>
              <w:spacing w:after="0" w:line="265"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15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5"/>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line="267" w:lineRule="exact"/>
              <w:rPr>
                <w:sz w:val="20"/>
                <w:szCs w:val="20"/>
                <w:color w:val="auto"/>
              </w:rPr>
            </w:pPr>
            <w:r>
              <w:rPr>
                <w:rFonts w:ascii="Calibri" w:cs="Calibri" w:eastAsia="Calibri" w:hAnsi="Calibri"/>
                <w:sz w:val="22"/>
                <w:szCs w:val="22"/>
                <w:color w:val="auto"/>
              </w:rPr>
              <w:t>Malaysia</w:t>
            </w:r>
          </w:p>
        </w:tc>
        <w:tc>
          <w:tcPr>
            <w:tcW w:w="126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15 (1)</w:t>
            </w:r>
          </w:p>
        </w:tc>
        <w:tc>
          <w:tcPr>
            <w:tcW w:w="100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9 (0)</w:t>
            </w:r>
          </w:p>
        </w:tc>
        <w:tc>
          <w:tcPr>
            <w:tcW w:w="162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4 (0)</w:t>
            </w:r>
          </w:p>
        </w:tc>
        <w:tc>
          <w:tcPr>
            <w:tcW w:w="154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2 (1)</w:t>
            </w:r>
          </w:p>
        </w:tc>
        <w:tc>
          <w:tcPr>
            <w:tcW w:w="1260" w:type="dxa"/>
            <w:vAlign w:val="bottom"/>
            <w:tcBorders>
              <w:bottom w:val="single" w:sz="8" w:color="auto"/>
              <w:right w:val="single" w:sz="8" w:color="auto"/>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11"/>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Viet Nam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13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8 (1)</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5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15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Philippines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 (0)</w:t>
            </w:r>
          </w:p>
        </w:tc>
        <w:tc>
          <w:tcPr>
            <w:tcW w:w="0" w:type="dxa"/>
            <w:vAlign w:val="bottom"/>
          </w:tcPr>
          <w:p>
            <w:pPr>
              <w:spacing w:after="0"/>
              <w:rPr>
                <w:sz w:val="1"/>
                <w:szCs w:val="1"/>
                <w:color w:val="auto"/>
              </w:rPr>
            </w:pPr>
          </w:p>
        </w:tc>
      </w:tr>
      <w:tr>
        <w:trPr>
          <w:trHeight w:val="300"/>
        </w:trPr>
        <w:tc>
          <w:tcPr>
            <w:tcW w:w="2280" w:type="dxa"/>
            <w:vAlign w:val="bottom"/>
            <w:tcBorders>
              <w:top w:val="single" w:sz="8" w:color="4F81BD"/>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Cambodia</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0"/>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Thailand</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32 (7)</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22 (1)</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(2)</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4 (4)</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4"/>
        </w:trPr>
        <w:tc>
          <w:tcPr>
            <w:tcW w:w="2280" w:type="dxa"/>
            <w:vAlign w:val="bottom"/>
            <w:tcBorders>
              <w:top w:val="single" w:sz="8" w:color="4F81BD"/>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South-East Asia Region</w:t>
            </w: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India</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13"/>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Nepal</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87"/>
        </w:trPr>
        <w:tc>
          <w:tcPr>
            <w:tcW w:w="2280" w:type="dxa"/>
            <w:vAlign w:val="bottom"/>
            <w:tcBorders>
              <w:left w:val="single" w:sz="8" w:color="auto"/>
              <w:bottom w:val="single" w:sz="8" w:color="4F81BD"/>
              <w:right w:val="single" w:sz="8" w:color="auto"/>
            </w:tcBorders>
            <w:shd w:val="clear" w:color="auto" w:fill="4F81BD"/>
          </w:tcPr>
          <w:p>
            <w:pPr>
              <w:spacing w:after="0"/>
              <w:rPr>
                <w:sz w:val="16"/>
                <w:szCs w:val="16"/>
                <w:color w:val="auto"/>
              </w:rPr>
            </w:pPr>
          </w:p>
        </w:tc>
        <w:tc>
          <w:tcPr>
            <w:tcW w:w="2240" w:type="dxa"/>
            <w:vAlign w:val="bottom"/>
            <w:tcBorders>
              <w:bottom w:val="single" w:sz="8" w:color="auto"/>
              <w:right w:val="single" w:sz="8" w:color="auto"/>
            </w:tcBorders>
            <w:vMerge w:val="continue"/>
          </w:tcPr>
          <w:p>
            <w:pPr>
              <w:spacing w:after="0"/>
              <w:rPr>
                <w:sz w:val="16"/>
                <w:szCs w:val="16"/>
                <w:color w:val="auto"/>
              </w:rPr>
            </w:pPr>
          </w:p>
        </w:tc>
        <w:tc>
          <w:tcPr>
            <w:tcW w:w="1260" w:type="dxa"/>
            <w:vAlign w:val="bottom"/>
            <w:tcBorders>
              <w:bottom w:val="single" w:sz="8" w:color="auto"/>
              <w:right w:val="single" w:sz="8" w:color="auto"/>
            </w:tcBorders>
            <w:vMerge w:val="continue"/>
          </w:tcPr>
          <w:p>
            <w:pPr>
              <w:spacing w:after="0"/>
              <w:rPr>
                <w:sz w:val="16"/>
                <w:szCs w:val="16"/>
                <w:color w:val="auto"/>
              </w:rPr>
            </w:pPr>
          </w:p>
        </w:tc>
        <w:tc>
          <w:tcPr>
            <w:tcW w:w="1000" w:type="dxa"/>
            <w:vAlign w:val="bottom"/>
            <w:tcBorders>
              <w:bottom w:val="single" w:sz="8" w:color="auto"/>
              <w:right w:val="single" w:sz="8" w:color="auto"/>
            </w:tcBorders>
            <w:vMerge w:val="continue"/>
          </w:tcPr>
          <w:p>
            <w:pPr>
              <w:spacing w:after="0"/>
              <w:rPr>
                <w:sz w:val="16"/>
                <w:szCs w:val="16"/>
                <w:color w:val="auto"/>
              </w:rPr>
            </w:pPr>
          </w:p>
        </w:tc>
        <w:tc>
          <w:tcPr>
            <w:tcW w:w="1620" w:type="dxa"/>
            <w:vAlign w:val="bottom"/>
            <w:tcBorders>
              <w:bottom w:val="single" w:sz="8" w:color="auto"/>
              <w:right w:val="single" w:sz="8" w:color="auto"/>
            </w:tcBorders>
            <w:vMerge w:val="continue"/>
          </w:tcPr>
          <w:p>
            <w:pPr>
              <w:spacing w:after="0"/>
              <w:rPr>
                <w:sz w:val="16"/>
                <w:szCs w:val="16"/>
                <w:color w:val="auto"/>
              </w:rPr>
            </w:pPr>
          </w:p>
        </w:tc>
        <w:tc>
          <w:tcPr>
            <w:tcW w:w="1540" w:type="dxa"/>
            <w:vAlign w:val="bottom"/>
            <w:tcBorders>
              <w:bottom w:val="single" w:sz="8" w:color="auto"/>
              <w:right w:val="single" w:sz="8" w:color="auto"/>
            </w:tcBorders>
            <w:vMerge w:val="continue"/>
          </w:tcPr>
          <w:p>
            <w:pPr>
              <w:spacing w:after="0"/>
              <w:rPr>
                <w:sz w:val="16"/>
                <w:szCs w:val="16"/>
                <w:color w:val="auto"/>
              </w:rPr>
            </w:pPr>
          </w:p>
        </w:tc>
        <w:tc>
          <w:tcPr>
            <w:tcW w:w="126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0" w:type="dxa"/>
            <w:vAlign w:val="bottom"/>
          </w:tcPr>
          <w:p>
            <w:pPr>
              <w:spacing w:after="0"/>
              <w:rPr>
                <w:sz w:val="1"/>
                <w:szCs w:val="1"/>
                <w:color w:val="auto"/>
              </w:rPr>
            </w:pPr>
          </w:p>
        </w:tc>
      </w:tr>
      <w:tr>
        <w:trPr>
          <w:trHeight w:val="315"/>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Sri Lanka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auto"/>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United States of</w:t>
            </w: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15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9"/>
        </w:trPr>
        <w:tc>
          <w:tcPr>
            <w:tcW w:w="2280" w:type="dxa"/>
            <w:vAlign w:val="bottom"/>
            <w:tcBorders>
              <w:left w:val="single" w:sz="8" w:color="auto"/>
              <w:right w:val="single" w:sz="8" w:color="auto"/>
            </w:tcBorders>
            <w:shd w:val="clear" w:color="auto" w:fill="4F81BD"/>
          </w:tcPr>
          <w:p>
            <w:pPr>
              <w:spacing w:after="0"/>
              <w:rPr>
                <w:sz w:val="21"/>
                <w:szCs w:val="21"/>
                <w:color w:val="auto"/>
              </w:rPr>
            </w:pPr>
          </w:p>
        </w:tc>
        <w:tc>
          <w:tcPr>
            <w:tcW w:w="2240" w:type="dxa"/>
            <w:vAlign w:val="bottom"/>
            <w:tcBorders>
              <w:right w:val="single" w:sz="8" w:color="auto"/>
            </w:tcBorders>
            <w:vMerge w:val="continue"/>
          </w:tcPr>
          <w:p>
            <w:pPr>
              <w:spacing w:after="0"/>
              <w:rPr>
                <w:sz w:val="21"/>
                <w:szCs w:val="21"/>
                <w:color w:val="auto"/>
              </w:rPr>
            </w:pPr>
          </w:p>
        </w:tc>
        <w:tc>
          <w:tcPr>
            <w:tcW w:w="1260" w:type="dxa"/>
            <w:vAlign w:val="bottom"/>
            <w:tcBorders>
              <w:right w:val="single" w:sz="8" w:color="auto"/>
            </w:tcBorders>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620" w:type="dxa"/>
            <w:vAlign w:val="bottom"/>
            <w:tcBorders>
              <w:right w:val="single" w:sz="8" w:color="auto"/>
            </w:tcBorders>
          </w:tcPr>
          <w:p>
            <w:pPr>
              <w:spacing w:after="0"/>
              <w:rPr>
                <w:sz w:val="21"/>
                <w:szCs w:val="21"/>
                <w:color w:val="auto"/>
              </w:rPr>
            </w:pPr>
          </w:p>
        </w:tc>
        <w:tc>
          <w:tcPr>
            <w:tcW w:w="1540" w:type="dxa"/>
            <w:vAlign w:val="bottom"/>
            <w:tcBorders>
              <w:right w:val="single" w:sz="8" w:color="auto"/>
            </w:tcBorders>
          </w:tcPr>
          <w:p>
            <w:pPr>
              <w:spacing w:after="0"/>
              <w:rPr>
                <w:sz w:val="21"/>
                <w:szCs w:val="21"/>
                <w:color w:val="auto"/>
              </w:rPr>
            </w:pPr>
          </w:p>
        </w:tc>
        <w:tc>
          <w:tcPr>
            <w:tcW w:w="1260" w:type="dxa"/>
            <w:vAlign w:val="bottom"/>
            <w:tcBorders>
              <w:right w:val="single" w:sz="8" w:color="auto"/>
            </w:tcBorders>
            <w:shd w:val="clear" w:color="auto" w:fill="E9EDF4"/>
          </w:tcPr>
          <w:p>
            <w:pPr>
              <w:spacing w:after="0"/>
              <w:rPr>
                <w:sz w:val="21"/>
                <w:szCs w:val="21"/>
                <w:color w:val="auto"/>
              </w:rPr>
            </w:pPr>
          </w:p>
        </w:tc>
        <w:tc>
          <w:tcPr>
            <w:tcW w:w="0" w:type="dxa"/>
            <w:vAlign w:val="bottom"/>
          </w:tcPr>
          <w:p>
            <w:pPr>
              <w:spacing w:after="0"/>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Region of the Americas</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America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12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10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1"/>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Canada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6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14"/>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Germany</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14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 (1)</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15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France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5"/>
        </w:trPr>
        <w:tc>
          <w:tcPr>
            <w:tcW w:w="2280" w:type="dxa"/>
            <w:vAlign w:val="bottom"/>
            <w:tcBorders>
              <w:top w:val="single" w:sz="8" w:color="4F81BD"/>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Italy</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11"/>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The United Kingdom</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line="311" w:lineRule="exact"/>
              <w:rPr>
                <w:sz w:val="20"/>
                <w:szCs w:val="20"/>
                <w:color w:val="auto"/>
              </w:rPr>
            </w:pPr>
            <w:r>
              <w:rPr>
                <w:rFonts w:ascii="Calibri" w:cs="Calibri" w:eastAsia="Calibri" w:hAnsi="Calibri"/>
                <w:sz w:val="22"/>
                <w:szCs w:val="22"/>
                <w:color w:val="auto"/>
                <w:w w:val="91"/>
              </w:rPr>
              <w:t>2</w:t>
            </w:r>
            <w:r>
              <w:rPr>
                <w:rFonts w:ascii="Calibri" w:cs="Calibri" w:eastAsia="Calibri" w:hAnsi="Calibri"/>
                <w:sz w:val="27"/>
                <w:szCs w:val="27"/>
                <w:color w:val="auto"/>
                <w:w w:val="91"/>
                <w:vertAlign w:val="superscript"/>
              </w:rPr>
              <w:t>***</w:t>
            </w:r>
            <w:r>
              <w:rPr>
                <w:rFonts w:ascii="Calibri" w:cs="Calibri" w:eastAsia="Calibri" w:hAnsi="Calibri"/>
                <w:sz w:val="22"/>
                <w:szCs w:val="22"/>
                <w:color w:val="auto"/>
                <w:w w:val="91"/>
              </w:rPr>
              <w:t xml:space="preserve">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European Region</w:t>
            </w:r>
          </w:p>
        </w:tc>
        <w:tc>
          <w:tcPr>
            <w:tcW w:w="22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tcPr>
          <w:p>
            <w:pPr>
              <w:spacing w:after="0" w:line="20" w:lineRule="exact"/>
              <w:rPr>
                <w:sz w:val="1"/>
                <w:szCs w:val="1"/>
                <w:color w:val="auto"/>
              </w:rPr>
            </w:pPr>
          </w:p>
        </w:tc>
        <w:tc>
          <w:tcPr>
            <w:tcW w:w="1000" w:type="dxa"/>
            <w:vAlign w:val="bottom"/>
            <w:tcBorders>
              <w:right w:val="single" w:sz="8" w:color="auto"/>
            </w:tcBorders>
          </w:tcPr>
          <w:p>
            <w:pPr>
              <w:spacing w:after="0" w:line="20" w:lineRule="exact"/>
              <w:rPr>
                <w:sz w:val="1"/>
                <w:szCs w:val="1"/>
                <w:color w:val="auto"/>
              </w:rPr>
            </w:pPr>
          </w:p>
        </w:tc>
        <w:tc>
          <w:tcPr>
            <w:tcW w:w="1620" w:type="dxa"/>
            <w:vAlign w:val="bottom"/>
            <w:tcBorders>
              <w:right w:val="single" w:sz="8" w:color="auto"/>
            </w:tcBorders>
          </w:tcPr>
          <w:p>
            <w:pPr>
              <w:spacing w:after="0" w:line="20" w:lineRule="exact"/>
              <w:rPr>
                <w:sz w:val="1"/>
                <w:szCs w:val="1"/>
                <w:color w:val="auto"/>
              </w:rPr>
            </w:pPr>
          </w:p>
        </w:tc>
        <w:tc>
          <w:tcPr>
            <w:tcW w:w="15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vMerge w:val="continue"/>
            <w:shd w:val="clear" w:color="auto" w:fill="4F81BD"/>
          </w:tcPr>
          <w:p>
            <w:pPr>
              <w:spacing w:after="0"/>
              <w:rPr>
                <w:sz w:val="24"/>
                <w:szCs w:val="24"/>
                <w:color w:val="auto"/>
              </w:rPr>
            </w:pPr>
          </w:p>
        </w:tc>
        <w:tc>
          <w:tcPr>
            <w:tcW w:w="2240" w:type="dxa"/>
            <w:vAlign w:val="bottom"/>
            <w:tcBorders>
              <w:right w:val="single" w:sz="8" w:color="auto"/>
            </w:tcBorders>
          </w:tcPr>
          <w:p>
            <w:pPr>
              <w:spacing w:after="0" w:line="265" w:lineRule="exact"/>
              <w:rPr>
                <w:sz w:val="20"/>
                <w:szCs w:val="20"/>
                <w:color w:val="auto"/>
              </w:rPr>
            </w:pPr>
            <w:r>
              <w:rPr>
                <w:rFonts w:ascii="Calibri" w:cs="Calibri" w:eastAsia="Calibri" w:hAnsi="Calibri"/>
                <w:sz w:val="22"/>
                <w:szCs w:val="22"/>
                <w:color w:val="auto"/>
              </w:rPr>
              <w:t>Russian Federation</w:t>
            </w:r>
          </w:p>
        </w:tc>
        <w:tc>
          <w:tcPr>
            <w:tcW w:w="126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E9EDF4"/>
              <w:right w:val="single" w:sz="8" w:color="auto"/>
            </w:tcBorders>
            <w:shd w:val="clear" w:color="auto" w:fill="E9EDF4"/>
          </w:tcPr>
          <w:p>
            <w:pPr>
              <w:jc w:val="center"/>
              <w:spacing w:after="0" w:line="265"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0"/>
        </w:trPr>
        <w:tc>
          <w:tcPr>
            <w:tcW w:w="2280" w:type="dxa"/>
            <w:vAlign w:val="bottom"/>
            <w:tcBorders>
              <w:top w:val="single" w:sz="8" w:color="4F81BD"/>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Belgium</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7"/>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Finland</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10"/>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Spain</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bottom w:val="single" w:sz="8" w:color="auto"/>
              <w:right w:val="single" w:sz="8" w:color="auto"/>
            </w:tcBorders>
          </w:tcPr>
          <w:p>
            <w:pPr>
              <w:jc w:val="center"/>
              <w:spacing w:after="0" w:line="303" w:lineRule="exact"/>
              <w:rPr>
                <w:sz w:val="20"/>
                <w:szCs w:val="20"/>
                <w:color w:val="auto"/>
              </w:rPr>
            </w:pPr>
            <w:r>
              <w:rPr>
                <w:rFonts w:ascii="Calibri" w:cs="Calibri" w:eastAsia="Calibri" w:hAnsi="Calibri"/>
                <w:sz w:val="22"/>
                <w:szCs w:val="22"/>
                <w:color w:val="auto"/>
                <w:w w:val="96"/>
              </w:rPr>
              <w:t>1</w:t>
            </w:r>
            <w:r>
              <w:rPr>
                <w:rFonts w:ascii="Calibri" w:cs="Calibri" w:eastAsia="Calibri" w:hAnsi="Calibri"/>
                <w:sz w:val="27"/>
                <w:szCs w:val="27"/>
                <w:color w:val="auto"/>
                <w:w w:val="96"/>
                <w:vertAlign w:val="superscript"/>
              </w:rPr>
              <w:t>§</w:t>
            </w:r>
            <w:r>
              <w:rPr>
                <w:rFonts w:ascii="Calibri" w:cs="Calibri" w:eastAsia="Calibri" w:hAnsi="Calibri"/>
                <w:sz w:val="22"/>
                <w:szCs w:val="22"/>
                <w:color w:val="auto"/>
                <w:w w:val="96"/>
              </w:rPr>
              <w:t xml:space="preserve">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0"/>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Sweden</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92"/>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22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shd w:val="clear" w:color="auto" w:fill="E9EDF4"/>
          </w:tcPr>
          <w:p>
            <w:pPr>
              <w:spacing w:after="0"/>
              <w:rPr>
                <w:sz w:val="24"/>
                <w:szCs w:val="24"/>
                <w:color w:val="auto"/>
              </w:rPr>
            </w:pPr>
          </w:p>
        </w:tc>
        <w:tc>
          <w:tcPr>
            <w:tcW w:w="0" w:type="dxa"/>
            <w:vAlign w:val="bottom"/>
          </w:tcPr>
          <w:p>
            <w:pPr>
              <w:spacing w:after="0"/>
              <w:rPr>
                <w:sz w:val="1"/>
                <w:szCs w:val="1"/>
                <w:color w:val="auto"/>
              </w:rPr>
            </w:pPr>
          </w:p>
        </w:tc>
      </w:tr>
      <w:tr>
        <w:trPr>
          <w:trHeight w:val="317"/>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United Arab Emirates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7 (2)</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(2)</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8"/>
        </w:trPr>
        <w:tc>
          <w:tcPr>
            <w:tcW w:w="2280" w:type="dxa"/>
            <w:vAlign w:val="bottom"/>
            <w:tcBorders>
              <w:top w:val="single" w:sz="8" w:color="auto"/>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7"/>
              </w:rPr>
              <w:t>Other</w:t>
            </w: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International</w:t>
            </w:r>
          </w:p>
        </w:tc>
        <w:tc>
          <w:tcPr>
            <w:tcW w:w="126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4"/>
              </w:rPr>
              <w:t>64</w:t>
            </w:r>
            <w:r>
              <w:rPr>
                <w:rFonts w:ascii="Calibri" w:cs="Calibri" w:eastAsia="Calibri" w:hAnsi="Calibri"/>
                <w:sz w:val="27"/>
                <w:szCs w:val="27"/>
                <w:color w:val="auto"/>
                <w:w w:val="94"/>
                <w:vertAlign w:val="superscript"/>
              </w:rPr>
              <w:t>**</w:t>
            </w:r>
            <w:r>
              <w:rPr>
                <w:rFonts w:ascii="Calibri" w:cs="Calibri" w:eastAsia="Calibri" w:hAnsi="Calibri"/>
                <w:sz w:val="22"/>
                <w:szCs w:val="22"/>
                <w:color w:val="auto"/>
                <w:w w:val="94"/>
              </w:rPr>
              <w:t xml:space="preserve"> (3)</w:t>
            </w:r>
          </w:p>
        </w:tc>
        <w:tc>
          <w:tcPr>
            <w:tcW w:w="1000" w:type="dxa"/>
            <w:vAlign w:val="bottom"/>
            <w:tcBorders>
              <w:top w:val="single" w:sz="8" w:color="auto"/>
              <w:right w:val="single" w:sz="8" w:color="auto"/>
            </w:tcBorders>
          </w:tcPr>
          <w:p>
            <w:pPr>
              <w:spacing w:after="0"/>
              <w:rPr>
                <w:sz w:val="24"/>
                <w:szCs w:val="24"/>
                <w:color w:val="auto"/>
              </w:rPr>
            </w:pPr>
          </w:p>
        </w:tc>
        <w:tc>
          <w:tcPr>
            <w:tcW w:w="1620" w:type="dxa"/>
            <w:vAlign w:val="bottom"/>
            <w:tcBorders>
              <w:top w:val="single" w:sz="8" w:color="auto"/>
              <w:right w:val="single" w:sz="8" w:color="auto"/>
            </w:tcBorders>
          </w:tcPr>
          <w:p>
            <w:pPr>
              <w:spacing w:after="0"/>
              <w:rPr>
                <w:sz w:val="24"/>
                <w:szCs w:val="24"/>
                <w:color w:val="auto"/>
              </w:rPr>
            </w:pPr>
          </w:p>
        </w:tc>
        <w:tc>
          <w:tcPr>
            <w:tcW w:w="1540" w:type="dxa"/>
            <w:vAlign w:val="bottom"/>
            <w:tcBorders>
              <w:top w:val="single" w:sz="8" w:color="auto"/>
              <w:right w:val="single" w:sz="8" w:color="auto"/>
            </w:tcBorders>
          </w:tcPr>
          <w:p>
            <w:pPr>
              <w:spacing w:after="0"/>
              <w:rPr>
                <w:sz w:val="24"/>
                <w:szCs w:val="24"/>
                <w:color w:val="auto"/>
              </w:rPr>
            </w:pPr>
          </w:p>
        </w:tc>
        <w:tc>
          <w:tcPr>
            <w:tcW w:w="1260" w:type="dxa"/>
            <w:vAlign w:val="bottom"/>
            <w:tcBorders>
              <w:top w:val="single" w:sz="8" w:color="auto"/>
              <w:right w:val="single" w:sz="8" w:color="auto"/>
            </w:tcBorders>
            <w:shd w:val="clear" w:color="auto" w:fill="E9EDF4"/>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conveyance (Japan)</w:t>
            </w:r>
          </w:p>
        </w:tc>
        <w:tc>
          <w:tcPr>
            <w:tcW w:w="1260" w:type="dxa"/>
            <w:vAlign w:val="bottom"/>
            <w:tcBorders>
              <w:right w:val="single" w:sz="8" w:color="auto"/>
            </w:tcBorders>
            <w:vMerge w:val="continue"/>
          </w:tcPr>
          <w:p>
            <w:pPr>
              <w:spacing w:after="0"/>
              <w:rPr>
                <w:sz w:val="9"/>
                <w:szCs w:val="9"/>
                <w:color w:val="auto"/>
              </w:rPr>
            </w:pP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64 (3)</w:t>
            </w:r>
          </w:p>
        </w:tc>
        <w:tc>
          <w:tcPr>
            <w:tcW w:w="1260" w:type="dxa"/>
            <w:vAlign w:val="bottom"/>
            <w:tcBorders>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82"/>
        </w:trPr>
        <w:tc>
          <w:tcPr>
            <w:tcW w:w="2280" w:type="dxa"/>
            <w:vAlign w:val="bottom"/>
            <w:tcBorders>
              <w:left w:val="single" w:sz="8" w:color="auto"/>
              <w:bottom w:val="single" w:sz="8" w:color="auto"/>
              <w:right w:val="single" w:sz="8" w:color="auto"/>
            </w:tcBorders>
            <w:shd w:val="clear" w:color="auto" w:fill="4F81BD"/>
          </w:tcPr>
          <w:p>
            <w:pPr>
              <w:spacing w:after="0"/>
              <w:rPr>
                <w:sz w:val="15"/>
                <w:szCs w:val="15"/>
                <w:color w:val="auto"/>
              </w:rPr>
            </w:pPr>
          </w:p>
        </w:tc>
        <w:tc>
          <w:tcPr>
            <w:tcW w:w="22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1000" w:type="dxa"/>
            <w:vAlign w:val="bottom"/>
            <w:tcBorders>
              <w:bottom w:val="single" w:sz="8" w:color="auto"/>
              <w:right w:val="single" w:sz="8" w:color="auto"/>
            </w:tcBorders>
            <w:vMerge w:val="continue"/>
          </w:tcPr>
          <w:p>
            <w:pPr>
              <w:spacing w:after="0"/>
              <w:rPr>
                <w:sz w:val="15"/>
                <w:szCs w:val="15"/>
                <w:color w:val="auto"/>
              </w:rPr>
            </w:pPr>
          </w:p>
        </w:tc>
        <w:tc>
          <w:tcPr>
            <w:tcW w:w="1620" w:type="dxa"/>
            <w:vAlign w:val="bottom"/>
            <w:tcBorders>
              <w:bottom w:val="single" w:sz="8" w:color="auto"/>
              <w:right w:val="single" w:sz="8" w:color="auto"/>
            </w:tcBorders>
            <w:vMerge w:val="continue"/>
          </w:tcPr>
          <w:p>
            <w:pPr>
              <w:spacing w:after="0"/>
              <w:rPr>
                <w:sz w:val="15"/>
                <w:szCs w:val="15"/>
                <w:color w:val="auto"/>
              </w:rPr>
            </w:pPr>
          </w:p>
        </w:tc>
        <w:tc>
          <w:tcPr>
            <w:tcW w:w="15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shd w:val="clear" w:color="auto" w:fill="E9EDF4"/>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3658235</wp:posOffset>
                </wp:positionH>
                <wp:positionV relativeFrom="paragraph">
                  <wp:posOffset>-814070</wp:posOffset>
                </wp:positionV>
                <wp:extent cx="12065" cy="1524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000000"/>
                        </a:solidFill>
                      </wps:spPr>
                      <wps:bodyPr/>
                    </wps:wsp>
                  </a:graphicData>
                </a:graphic>
              </wp:anchor>
            </w:drawing>
          </mc:Choice>
          <mc:Fallback>
            <w:pict>
              <v:rect id="Shape 44" o:spid="_x0000_s1069" style="position:absolute;margin-left:288.05pt;margin-top:-64.0999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6290945</wp:posOffset>
                </wp:positionH>
                <wp:positionV relativeFrom="paragraph">
                  <wp:posOffset>-814070</wp:posOffset>
                </wp:positionV>
                <wp:extent cx="12065" cy="1524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000000"/>
                        </a:solidFill>
                      </wps:spPr>
                      <wps:bodyPr/>
                    </wps:wsp>
                  </a:graphicData>
                </a:graphic>
              </wp:anchor>
            </w:drawing>
          </mc:Choice>
          <mc:Fallback>
            <w:pict>
              <v:rect id="Shape 45" o:spid="_x0000_s1070" style="position:absolute;margin-left:495.35pt;margin-top:-64.0999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56" w:lineRule="exact"/>
        <w:rPr>
          <w:sz w:val="20"/>
          <w:szCs w:val="20"/>
          <w:color w:val="auto"/>
        </w:rPr>
      </w:pPr>
    </w:p>
    <w:p>
      <w:pPr>
        <w:ind w:left="360"/>
        <w:spacing w:after="0"/>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4">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2019-nCoV.</w:t>
      </w:r>
    </w:p>
    <w:p>
      <w:pPr>
        <w:ind w:left="360" w:right="360"/>
        <w:spacing w:after="0" w:line="189"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spacing w:after="0" w:line="35" w:lineRule="exact"/>
        <w:rPr>
          <w:sz w:val="20"/>
          <w:szCs w:val="20"/>
          <w:color w:val="auto"/>
        </w:rPr>
      </w:pPr>
    </w:p>
    <w:p>
      <w:pPr>
        <w:ind w:left="360" w:right="340"/>
        <w:spacing w:after="0" w:line="18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Confirmed cases in China include cases confirmed in Hong Kong SAR (26 confirmed cases, 1 death), Macao SAR (10 confirmed cases) and Taipei and environs (16 confirmed cases).</w:t>
      </w:r>
    </w:p>
    <w:p>
      <w:pPr>
        <w:ind w:left="360"/>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occurred in Germany.</w:t>
      </w:r>
    </w:p>
    <w:p>
      <w:pPr>
        <w:ind w:left="360"/>
        <w:spacing w:after="0" w:line="181"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ind w:left="360"/>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one of the two cases occurred outside of the United Kingdom.</w:t>
      </w:r>
    </w:p>
    <w:p>
      <w:pPr>
        <w:sectPr>
          <w:pgSz w:w="11920" w:h="16841" w:orient="portrait"/>
          <w:cols w:equalWidth="0" w:num="1">
            <w:col w:w="11180"/>
          </w:cols>
          <w:pgMar w:left="360" w:top="943" w:right="371" w:bottom="1440" w:gutter="0" w:footer="0" w:header="0"/>
        </w:sectPr>
      </w:pPr>
    </w:p>
    <w:bookmarkStart w:id="4" w:name="page5"/>
    <w:bookmarkEnd w:id="4"/>
    <w:p>
      <w:pPr>
        <w:ind w:right="320"/>
        <w:spacing w:after="0" w:line="218" w:lineRule="auto"/>
        <w:rPr>
          <w:sz w:val="20"/>
          <w:szCs w:val="20"/>
          <w:color w:val="auto"/>
        </w:rPr>
      </w:pPr>
      <w:r>
        <w:rPr>
          <w:rFonts w:ascii="Calibri" w:cs="Calibri" w:eastAsia="Calibri" w:hAnsi="Calibri"/>
          <w:sz w:val="22"/>
          <w:szCs w:val="22"/>
          <w:b w:val="1"/>
          <w:bCs w:val="1"/>
          <w:color w:val="007AB0"/>
        </w:rPr>
        <w:t>Figure 2: Epidemic curve of 2019-nCoV cases (n=130) identified outside of China, by date of onset of symptoms and travel history, 8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6648450" cy="33147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extLst>
                    </a:blip>
                    <a:srcRect/>
                    <a:stretch>
                      <a:fillRect/>
                    </a:stretch>
                  </pic:blipFill>
                  <pic:spPr bwMode="auto">
                    <a:xfrm>
                      <a:off x="0" y="0"/>
                      <a:ext cx="6648450" cy="3314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line="236" w:lineRule="auto"/>
        <w:rPr>
          <w:sz w:val="20"/>
          <w:szCs w:val="20"/>
          <w:color w:val="auto"/>
        </w:rPr>
      </w:pPr>
      <w:r>
        <w:rPr>
          <w:rFonts w:ascii="Calibri" w:cs="Calibri" w:eastAsia="Calibri" w:hAnsi="Calibri"/>
          <w:sz w:val="22"/>
          <w:szCs w:val="22"/>
          <w:color w:val="auto"/>
        </w:rPr>
        <w:t>Note for figure 2: Of the 288 cases reported outside China, 16 were detected while asymptomatic. For the remaining 272 cases, information on date of onset is available only for the 130 cases presented in the epidemiologic curve.</w:t>
      </w:r>
    </w:p>
    <w:p>
      <w:pPr>
        <w:spacing w:after="0" w:line="200" w:lineRule="exact"/>
        <w:rPr>
          <w:sz w:val="20"/>
          <w:szCs w:val="20"/>
          <w:color w:val="auto"/>
        </w:rPr>
      </w:pPr>
    </w:p>
    <w:p>
      <w:pPr>
        <w:spacing w:after="0" w:line="398" w:lineRule="exact"/>
        <w:rPr>
          <w:sz w:val="20"/>
          <w:szCs w:val="20"/>
          <w:color w:val="auto"/>
        </w:rPr>
      </w:pPr>
    </w:p>
    <w:p>
      <w:pPr>
        <w:ind w:right="240"/>
        <w:spacing w:after="0" w:line="218" w:lineRule="auto"/>
        <w:rPr>
          <w:sz w:val="20"/>
          <w:szCs w:val="20"/>
          <w:color w:val="auto"/>
        </w:rPr>
      </w:pPr>
      <w:r>
        <w:rPr>
          <w:rFonts w:ascii="Calibri" w:cs="Calibri" w:eastAsia="Calibri" w:hAnsi="Calibri"/>
          <w:sz w:val="22"/>
          <w:szCs w:val="22"/>
          <w:b w:val="1"/>
          <w:bCs w:val="1"/>
          <w:color w:val="007AB0"/>
        </w:rPr>
        <w:t>Figure 3: Epidemic curve of 2019-nCoV cases (n=288) identified outside of China, by date of reporting and travel history, 8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wp:posOffset>
            </wp:positionV>
            <wp:extent cx="6646545" cy="353568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extLst>
                    </a:blip>
                    <a:srcRect/>
                    <a:stretch>
                      <a:fillRect/>
                    </a:stretch>
                  </pic:blipFill>
                  <pic:spPr bwMode="auto">
                    <a:xfrm>
                      <a:off x="0" y="0"/>
                      <a:ext cx="6646545" cy="3535680"/>
                    </a:xfrm>
                    <a:prstGeom prst="rect">
                      <a:avLst/>
                    </a:prstGeom>
                    <a:noFill/>
                  </pic:spPr>
                </pic:pic>
              </a:graphicData>
            </a:graphic>
          </wp:anchor>
        </w:drawing>
      </w:r>
    </w:p>
    <w:p>
      <w:pPr>
        <w:sectPr>
          <w:pgSz w:w="11920" w:h="16841" w:orient="portrait"/>
          <w:cols w:equalWidth="0" w:num="1">
            <w:col w:w="10420"/>
          </w:cols>
          <w:pgMar w:left="720" w:top="943" w:right="771" w:bottom="1440" w:gutter="0" w:footer="0" w:header="0"/>
        </w:sectPr>
      </w:pPr>
    </w:p>
    <w:bookmarkStart w:id="5" w:name="page6"/>
    <w:bookmarkEnd w:id="5"/>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300" w:hanging="351"/>
        <w:spacing w:after="0" w:line="225"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6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2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travellers, awareness-raising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93" w:lineRule="exact"/>
        <w:rPr>
          <w:sz w:val="20"/>
          <w:szCs w:val="20"/>
          <w:color w:val="auto"/>
        </w:rPr>
      </w:pPr>
    </w:p>
    <w:p>
      <w:pPr>
        <w:jc w:val="both"/>
        <w:ind w:left="360" w:right="860" w:hanging="360"/>
        <w:spacing w:after="0" w:line="253"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7">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220" w:hanging="360"/>
        <w:spacing w:after="0" w:line="265"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8">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8">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2019-nCoV infection detected in any individual country, to inform the development and updating of public health guidance to manage cases and reduce potential spread and impact of infection.</w:t>
      </w:r>
    </w:p>
    <w:p>
      <w:pPr>
        <w:spacing w:after="0" w:line="60" w:lineRule="exact"/>
        <w:rPr>
          <w:rFonts w:ascii="Calibri" w:cs="Calibri" w:eastAsia="Calibri" w:hAnsi="Calibri"/>
          <w:sz w:val="22"/>
          <w:szCs w:val="22"/>
          <w:color w:val="0000FF"/>
        </w:rPr>
      </w:pPr>
    </w:p>
    <w:p>
      <w:pPr>
        <w:ind w:left="360" w:right="18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1" w:lineRule="exact"/>
        <w:rPr>
          <w:rFonts w:ascii="Arial" w:cs="Arial" w:eastAsia="Arial" w:hAnsi="Arial"/>
          <w:sz w:val="22"/>
          <w:szCs w:val="22"/>
          <w:color w:val="auto"/>
        </w:rPr>
      </w:pPr>
    </w:p>
    <w:p>
      <w:pPr>
        <w:ind w:left="360" w:right="40" w:hanging="360"/>
        <w:spacing w:after="0" w:line="264"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9">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3">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3">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0">
        <w:r>
          <w:rPr>
            <w:rFonts w:ascii="Calibri" w:cs="Calibri" w:eastAsia="Calibri" w:hAnsi="Calibri"/>
            <w:sz w:val="22"/>
            <w:szCs w:val="22"/>
            <w:u w:val="single" w:color="auto"/>
            <w:color w:val="0000FF"/>
          </w:rPr>
          <w:t>clinical management</w:t>
        </w:r>
      </w:hyperlink>
      <w:hyperlink r:id="rId21">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1">
        <w:r>
          <w:rPr>
            <w:rFonts w:ascii="Calibri" w:cs="Calibri" w:eastAsia="Calibri" w:hAnsi="Calibri"/>
            <w:sz w:val="22"/>
            <w:szCs w:val="22"/>
            <w:u w:val="single" w:color="auto"/>
            <w:color w:val="0000FF"/>
          </w:rPr>
          <w:t>infection prevention and 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2">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color w:val="0000FF"/>
        </w:rPr>
        <w:t xml:space="preserve"> </w:t>
      </w:r>
      <w:hyperlink r:id="rId12">
        <w:r>
          <w:rPr>
            <w:rFonts w:ascii="Calibri" w:cs="Calibri" w:eastAsia="Calibri" w:hAnsi="Calibri"/>
            <w:sz w:val="22"/>
            <w:szCs w:val="22"/>
            <w:u w:val="single" w:color="auto"/>
            <w:color w:val="0000FF"/>
          </w:rPr>
          <w:t xml:space="preserve">coronavirus, </w:t>
        </w:r>
      </w:hyperlink>
      <w:hyperlink r:id="rId22">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u w:val="single" w:color="auto"/>
          <w:color w:val="0000FF"/>
        </w:rPr>
        <w:t xml:space="preserve">and </w:t>
      </w:r>
      <w:hyperlink r:id="rId14">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u w:val="single" w:color="auto"/>
          <w:color w:val="0000FF"/>
        </w:rPr>
        <w:t xml:space="preserve"> </w:t>
      </w:r>
      <w:hyperlink r:id="rId14">
        <w:r>
          <w:rPr>
            <w:rFonts w:ascii="Calibri" w:cs="Calibri" w:eastAsia="Calibri" w:hAnsi="Calibri"/>
            <w:sz w:val="22"/>
            <w:szCs w:val="22"/>
            <w:u w:val="single" w:color="auto"/>
            <w:color w:val="0000FF"/>
          </w:rPr>
          <w:t>novel coronavirus (2019-nCoV).</w:t>
        </w:r>
      </w:hyperlink>
    </w:p>
    <w:p>
      <w:pPr>
        <w:spacing w:after="0" w:line="66" w:lineRule="exact"/>
        <w:rPr>
          <w:rFonts w:ascii="Calibri" w:cs="Calibri" w:eastAsia="Calibri" w:hAnsi="Calibri"/>
          <w:sz w:val="22"/>
          <w:szCs w:val="22"/>
          <w:u w:val="single" w:color="auto"/>
          <w:color w:val="0000FF"/>
        </w:rPr>
      </w:pPr>
    </w:p>
    <w:p>
      <w:pPr>
        <w:ind w:left="360" w:right="880" w:hanging="360"/>
        <w:spacing w:after="0" w:line="236"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3">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39"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4">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1020" w:hanging="360"/>
        <w:spacing w:after="0" w:line="236"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5">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5">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39"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60" w:hanging="360"/>
        <w:spacing w:after="0" w:line="236"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6">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88" w:lineRule="exact"/>
        <w:rPr>
          <w:rFonts w:ascii="Calibri" w:cs="Calibri" w:eastAsia="Calibri" w:hAnsi="Calibri"/>
          <w:sz w:val="22"/>
          <w:szCs w:val="22"/>
          <w:color w:val="auto"/>
        </w:rPr>
      </w:pPr>
    </w:p>
    <w:p>
      <w:pPr>
        <w:ind w:left="360" w:hanging="360"/>
        <w:spacing w:after="0" w:line="262"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2019-nCoV, help understand spread, severity, spectrum of disease, impact on the community and to inform operational models for implementation of</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-3174365</wp:posOffset>
                </wp:positionV>
                <wp:extent cx="31750" cy="1270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52" o:spid="_x0000_s1077" style="position:absolute;margin-left:202.95pt;margin-top:-249.94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20" w:h="16841" w:orient="portrait"/>
          <w:cols w:equalWidth="0" w:num="1">
            <w:col w:w="10480"/>
          </w:cols>
          <w:pgMar w:left="720" w:top="1440" w:right="711" w:bottom="236" w:gutter="0" w:footer="0" w:header="0"/>
        </w:sectPr>
      </w:pPr>
    </w:p>
    <w:bookmarkStart w:id="6" w:name="page7"/>
    <w:bookmarkEnd w:id="6"/>
    <w:p>
      <w:pPr>
        <w:ind w:left="360"/>
        <w:spacing w:after="0"/>
        <w:rPr>
          <w:sz w:val="20"/>
          <w:szCs w:val="20"/>
          <w:color w:val="auto"/>
        </w:rPr>
      </w:pPr>
      <w:r>
        <w:rPr>
          <w:rFonts w:ascii="Calibri" w:cs="Calibri" w:eastAsia="Calibri" w:hAnsi="Calibri"/>
          <w:sz w:val="22"/>
          <w:szCs w:val="22"/>
          <w:color w:val="auto"/>
        </w:rPr>
        <w:t>countermeasures such as case isolation, contact tracing and isolation. Several protocols are available here:</w:t>
      </w:r>
    </w:p>
    <w:p>
      <w:pPr>
        <w:spacing w:after="0" w:line="41" w:lineRule="exact"/>
        <w:rPr>
          <w:sz w:val="20"/>
          <w:szCs w:val="20"/>
          <w:color w:val="auto"/>
        </w:rPr>
      </w:pPr>
    </w:p>
    <w:p>
      <w:pPr>
        <w:ind w:left="360"/>
        <w:spacing w:after="0"/>
        <w:rPr>
          <w:rFonts w:ascii="Calibri" w:cs="Calibri" w:eastAsia="Calibri" w:hAnsi="Calibri"/>
          <w:sz w:val="22"/>
          <w:szCs w:val="22"/>
          <w:u w:val="single" w:color="auto"/>
          <w:color w:val="0000FF"/>
        </w:rPr>
      </w:pPr>
      <w:hyperlink r:id="rId27">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88" w:lineRule="exact"/>
        <w:rPr>
          <w:sz w:val="20"/>
          <w:szCs w:val="20"/>
          <w:color w:val="auto"/>
        </w:rPr>
      </w:pPr>
    </w:p>
    <w:p>
      <w:pPr>
        <w:ind w:left="360" w:right="300" w:hanging="360"/>
        <w:spacing w:after="0" w:line="261"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7" w:lineRule="exact"/>
        <w:rPr>
          <w:rFonts w:ascii="Arial" w:cs="Arial" w:eastAsia="Arial" w:hAnsi="Arial"/>
          <w:sz w:val="22"/>
          <w:szCs w:val="22"/>
          <w:color w:val="auto"/>
        </w:rPr>
      </w:pPr>
    </w:p>
    <w:p>
      <w:pPr>
        <w:ind w:left="360" w:right="200" w:hanging="360"/>
        <w:spacing w:after="0" w:line="236"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right="54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9" w:lineRule="exact"/>
        <w:rPr>
          <w:sz w:val="20"/>
          <w:szCs w:val="20"/>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38"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90" w:lineRule="exact"/>
        <w:rPr>
          <w:rFonts w:ascii="Arial" w:cs="Arial" w:eastAsia="Arial" w:hAnsi="Arial"/>
          <w:sz w:val="22"/>
          <w:szCs w:val="22"/>
          <w:color w:val="auto"/>
        </w:rPr>
      </w:pPr>
    </w:p>
    <w:p>
      <w:pPr>
        <w:ind w:left="360" w:right="200" w:hanging="360"/>
        <w:spacing w:after="0" w:line="235"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0" w:lineRule="exact"/>
        <w:rPr>
          <w:rFonts w:ascii="Arial" w:cs="Arial" w:eastAsia="Arial" w:hAnsi="Arial"/>
          <w:sz w:val="22"/>
          <w:szCs w:val="22"/>
          <w:color w:val="auto"/>
        </w:rPr>
      </w:pPr>
    </w:p>
    <w:p>
      <w:pPr>
        <w:ind w:left="360" w:right="100" w:hanging="360"/>
        <w:spacing w:after="0" w:line="236"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1" w:lineRule="exact"/>
        <w:rPr>
          <w:sz w:val="20"/>
          <w:szCs w:val="20"/>
          <w:color w:val="auto"/>
        </w:rPr>
      </w:pPr>
    </w:p>
    <w:p>
      <w:pPr>
        <w:jc w:val="both"/>
        <w:spacing w:after="0" w:line="253"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20" w:h="16841" w:orient="portrait"/>
      <w:cols w:equalWidth="0" w:num="1">
        <w:col w:w="10460"/>
      </w:cols>
      <w:pgMar w:left="720" w:top="894"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1"/>
      <w:numFmt w:val="decimal"/>
      <w:start w:val="24"/>
    </w:lvl>
  </w:abstractNum>
  <w:abstractNum w:abstractNumId="2">
    <w:nsid w:val="46E87CCD"/>
    <w:multiLevelType w:val="hybridMultilevel"/>
    <w:lvl w:ilvl="0">
      <w:lvlJc w:val="left"/>
      <w:lvlText w:val="%1."/>
      <w:numFmt w:val="decimal"/>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0" Type="http://schemas.openxmlformats.org/officeDocument/2006/relationships/hyperlink" Target="https://www.who.int/emergencies/diseases/novel-coronavirus-2019/technical-guidance" TargetMode="External"/><Relationship Id="rId11" Type="http://schemas.openxmlformats.org/officeDocument/2006/relationships/hyperlink" Target="https://www.who.int/publications-detail/infection-prevention-and-control-during-health-care-when-novel-coronavirus-(ncov)-infection-is-suspected-20200125" TargetMode="External"/><Relationship Id="rId12" Type="http://schemas.openxmlformats.org/officeDocument/2006/relationships/hyperlink" Target="https://www.who.int/publications-detail/home-care-for-patients-with-suspected-novel-coronavirus-(ncov)-infection-presenting-with-mild-symptoms-and-management-of-contacts" TargetMode="External"/><Relationship Id="rId13" Type="http://schemas.openxmlformats.org/officeDocument/2006/relationships/hyperlink" Target="https://www.who.int/publications-detail/advice-on-the-use-of-masks-the-community-during-home-care-and-in-health-care-settings-in-the-context-of-the-novel-coronavirus-(2019-ncov)-outbreak" TargetMode="External"/><Relationship Id="rId14" Type="http://schemas.openxmlformats.org/officeDocument/2006/relationships/hyperlink" Target="https://www.who.int/publications-detail/global-surveillance-for-human-infection-with-novel-coronavirus-(2019-ncov)" TargetMode="External"/><Relationship Id="rId17" Type="http://schemas.openxmlformats.org/officeDocument/2006/relationships/hyperlink" Target="https://www.iata.org/en/programs/safety/health/diseases/#tab-2" TargetMode="External"/><Relationship Id="rId18" Type="http://schemas.openxmlformats.org/officeDocument/2006/relationships/hyperlink" Target="https://www.who.int/publications-detail/the-first-few-x-(ffx)-cases-and-contact-investigation-protocol-for-2019-novel-coronavirus-(2019-ncov)-infection" TargetMode="External"/><Relationship Id="rId19" Type="http://schemas.openxmlformats.org/officeDocument/2006/relationships/hyperlink" Target="https://www.who.int/health-topics/coronavirus/laboratory-diagnostics-for-novel-coronavirus" TargetMode="External"/><Relationship Id="rId20" Type="http://schemas.openxmlformats.org/officeDocument/2006/relationships/hyperlink" Target="https://www.who.int/publications-detail/clinical-management-of-severe-acute-respiratory-infection-when-novel-coronavirus-(ncov)-infection-is-suspected" TargetMode="External"/><Relationship Id="rId21" Type="http://schemas.openxmlformats.org/officeDocument/2006/relationships/hyperlink" Target="https://www.who.int/publications-detail/infection-prevention-and-control-during-health-care-when-novel-coronavirus-(ncov)-infection-is-suspected" TargetMode="External"/><Relationship Id="rId22" Type="http://schemas.openxmlformats.org/officeDocument/2006/relationships/hyperlink" Target="https://www.who.int/publications-detail/risk-communication-and-community-engagement-readiness-and-initial-response-for-novel-coronaviruses-(-ncov)" TargetMode="External"/><Relationship Id="rId23" Type="http://schemas.openxmlformats.org/officeDocument/2006/relationships/hyperlink" Target="https://www.who.int/publications-detail/disease-commodity-package---novel-coronavirus-(ncov)" TargetMode="External"/><Relationship Id="rId24" Type="http://schemas.openxmlformats.org/officeDocument/2006/relationships/hyperlink" Target="https://www.who.int/health-topics/coronavirus/who-recommendations-to-reduce-risk-of-transmission-of-emerging-pathogens-from-animals-to-humans-in-live-animal-markets" TargetMode="External"/><Relationship Id="rId25" Type="http://schemas.openxmlformats.org/officeDocument/2006/relationships/hyperlink" Target="https://www.who.int/ith/2019-nCoV_advice_for_international_traffic/en/" TargetMode="External"/><Relationship Id="rId26" Type="http://schemas.openxmlformats.org/officeDocument/2006/relationships/hyperlink" Target="https://openwho.org/courses/introduction-to-ncov" TargetMode="External"/><Relationship Id="rId27"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2020-03-10T16:46:27Z</dcterms:created>
  <dcterms:modified xsi:type="dcterms:W3CDTF">2020-03-10T16:46:27Z</dcterms:modified>
</cp:coreProperties>
</file>