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21</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10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90.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-87630</wp:posOffset>
                </wp:positionH>
                <wp:positionV relativeFrom="paragraph">
                  <wp:posOffset>75565</wp:posOffset>
                </wp:positionV>
                <wp:extent cx="5072380" cy="45720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572000"/>
                        </a:xfrm>
                        <a:prstGeom prst="rect">
                          <a:avLst/>
                        </a:prstGeom>
                        <a:solidFill>
                          <a:srgbClr val="FFFFFF"/>
                        </a:solidFill>
                      </wps:spPr>
                      <wps:bodyPr/>
                    </wps:wsp>
                  </a:graphicData>
                </a:graphic>
              </wp:anchor>
            </w:drawing>
          </mc:Choice>
          <mc:Fallback>
            <w:pict>
              <v:rect id="Shape 3" o:spid="_x0000_s1028" style="position:absolute;margin-left:-6.8999pt;margin-top:5.95pt;width:399.4pt;height:36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1"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54"/>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2019-nCoV in the past 24 hours.</w:t>
      </w:r>
    </w:p>
    <w:p>
      <w:pPr>
        <w:spacing w:after="0" w:line="330" w:lineRule="exact"/>
        <w:rPr>
          <w:rFonts w:ascii="Arial" w:cs="Arial" w:eastAsia="Arial" w:hAnsi="Arial"/>
          <w:sz w:val="22"/>
          <w:szCs w:val="22"/>
          <w:color w:val="auto"/>
        </w:rPr>
      </w:pPr>
    </w:p>
    <w:p>
      <w:pPr>
        <w:jc w:val="both"/>
        <w:ind w:left="720" w:hanging="354"/>
        <w:spacing w:after="0" w:line="244" w:lineRule="auto"/>
        <w:tabs>
          <w:tab w:leader="none" w:pos="72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 xml:space="preserve">The </w:t>
      </w:r>
      <w:hyperlink r:id="rId9">
        <w:r>
          <w:rPr>
            <w:rFonts w:ascii="Calibri" w:cs="Calibri" w:eastAsia="Calibri" w:hAnsi="Calibri"/>
            <w:sz w:val="21"/>
            <w:szCs w:val="21"/>
            <w:u w:val="single" w:color="auto"/>
            <w:color w:val="0000FF"/>
          </w:rPr>
          <w:t>WHO R&amp;D Blueprint</w:t>
        </w:r>
        <w:r>
          <w:rPr>
            <w:rFonts w:ascii="Calibri" w:cs="Calibri" w:eastAsia="Calibri" w:hAnsi="Calibri"/>
            <w:sz w:val="21"/>
            <w:szCs w:val="21"/>
            <w:u w:val="single" w:color="auto"/>
            <w:color w:val="auto"/>
          </w:rPr>
          <w:t xml:space="preserve"> </w:t>
        </w:r>
      </w:hyperlink>
      <w:r>
        <w:rPr>
          <w:rFonts w:ascii="Calibri" w:cs="Calibri" w:eastAsia="Calibri" w:hAnsi="Calibri"/>
          <w:sz w:val="21"/>
          <w:szCs w:val="21"/>
          <w:color w:val="auto"/>
        </w:rPr>
        <w:t>is a global strategy and preparedness plan that allows the rapid activation of R&amp;D activities during epidemics. On 11-12 February, WHO is convening a global research and innovation forum to mobilize international action and enable identification of key knowledge gaps and research priorities to contribute to the control of 2019-nCoV. The forum will include members of the scientific community, researchers from Member</w:t>
      </w:r>
    </w:p>
    <w:p>
      <w:pPr>
        <w:spacing w:after="0" w:line="46" w:lineRule="exact"/>
        <w:rPr>
          <w:rFonts w:ascii="Calibri" w:cs="Calibri" w:eastAsia="Calibri" w:hAnsi="Calibri"/>
          <w:sz w:val="21"/>
          <w:szCs w:val="21"/>
          <w:color w:val="auto"/>
        </w:rPr>
      </w:pPr>
    </w:p>
    <w:p>
      <w:pPr>
        <w:jc w:val="both"/>
        <w:ind w:left="720"/>
        <w:spacing w:after="0" w:line="225" w:lineRule="auto"/>
        <w:rPr>
          <w:rFonts w:ascii="Calibri" w:cs="Calibri" w:eastAsia="Calibri" w:hAnsi="Calibri"/>
          <w:sz w:val="21"/>
          <w:szCs w:val="21"/>
          <w:color w:val="auto"/>
        </w:rPr>
      </w:pPr>
      <w:r>
        <w:rPr>
          <w:rFonts w:ascii="Calibri" w:cs="Calibri" w:eastAsia="Calibri" w:hAnsi="Calibri"/>
          <w:sz w:val="22"/>
          <w:szCs w:val="22"/>
          <w:color w:val="auto"/>
        </w:rPr>
        <w:t>States’ public health agencies, regulatory experts, bioethicists with expertise in research in emergencies, and major funder of research related to 2019-nCoV.</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40 554 confirmed (3085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40 235 confirmed (3073 new)</w:t>
      </w:r>
    </w:p>
    <w:p>
      <w:pPr>
        <w:ind w:left="280"/>
        <w:spacing w:after="0"/>
        <w:rPr>
          <w:sz w:val="20"/>
          <w:szCs w:val="20"/>
          <w:color w:val="auto"/>
        </w:rPr>
      </w:pPr>
      <w:r>
        <w:rPr>
          <w:rFonts w:ascii="Calibri" w:cs="Calibri" w:eastAsia="Calibri" w:hAnsi="Calibri"/>
          <w:sz w:val="24"/>
          <w:szCs w:val="24"/>
          <w:color w:val="FF6600"/>
        </w:rPr>
        <w:t>6484 severe (296 new)</w:t>
      </w:r>
    </w:p>
    <w:p>
      <w:pPr>
        <w:ind w:left="380"/>
        <w:spacing w:after="0"/>
        <w:rPr>
          <w:sz w:val="20"/>
          <w:szCs w:val="20"/>
          <w:color w:val="auto"/>
        </w:rPr>
      </w:pPr>
      <w:r>
        <w:rPr>
          <w:rFonts w:ascii="Calibri" w:cs="Calibri" w:eastAsia="Calibri" w:hAnsi="Calibri"/>
          <w:sz w:val="24"/>
          <w:szCs w:val="24"/>
          <w:color w:val="FF6600"/>
        </w:rPr>
        <w:t>909 deaths (97 new)</w:t>
      </w:r>
    </w:p>
    <w:p>
      <w:pPr>
        <w:spacing w:after="0" w:line="295" w:lineRule="exact"/>
        <w:rPr>
          <w:sz w:val="24"/>
          <w:szCs w:val="24"/>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440"/>
        <w:spacing w:after="0"/>
        <w:rPr>
          <w:sz w:val="20"/>
          <w:szCs w:val="20"/>
          <w:color w:val="auto"/>
        </w:rPr>
      </w:pPr>
      <w:r>
        <w:rPr>
          <w:rFonts w:ascii="Calibri" w:cs="Calibri" w:eastAsia="Calibri" w:hAnsi="Calibri"/>
          <w:sz w:val="24"/>
          <w:szCs w:val="24"/>
          <w:color w:val="FF6600"/>
        </w:rPr>
        <w:t>319 confirmed (12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sz w:val="24"/>
          <w:szCs w:val="24"/>
          <w:color w:val="auto"/>
        </w:rPr>
      </w:pPr>
    </w:p>
    <w:p>
      <w:pPr>
        <w:jc w:val="center"/>
        <w:ind w:right="38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00" w:space="340"/>
            <w:col w:w="3000"/>
          </w:cols>
          <w:pgMar w:left="400" w:top="520" w:right="571"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2" w:lineRule="exact"/>
        <w:rPr>
          <w:sz w:val="24"/>
          <w:szCs w:val="24"/>
          <w:color w:val="auto"/>
        </w:r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2019-nCoV, 10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305435</wp:posOffset>
            </wp:positionH>
            <wp:positionV relativeFrom="paragraph">
              <wp:posOffset>224790</wp:posOffset>
            </wp:positionV>
            <wp:extent cx="6447790" cy="3627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0" w:lineRule="exact"/>
        <w:rPr>
          <w:sz w:val="24"/>
          <w:szCs w:val="24"/>
          <w:color w:val="auto"/>
        </w:rPr>
      </w:pPr>
    </w:p>
    <w:p>
      <w:pPr>
        <w:ind w:left="2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940"/>
          </w:cols>
          <w:pgMar w:left="400" w:top="520" w:right="57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10 February 2020</w:t>
      </w:r>
    </w:p>
    <w:p>
      <w:pPr>
        <w:spacing w:after="0" w:line="153" w:lineRule="exact"/>
        <w:rPr>
          <w:sz w:val="20"/>
          <w:szCs w:val="20"/>
          <w:color w:val="auto"/>
        </w:rPr>
      </w:pPr>
    </w:p>
    <w:tbl>
      <w:tblPr>
        <w:tblLayout w:type="fixed"/>
        <w:tblInd w:w="10" w:type="dxa"/>
        <w:tblCellMar>
          <w:top w:w="0" w:type="dxa"/>
          <w:left w:w="0" w:type="dxa"/>
          <w:bottom w:w="0" w:type="dxa"/>
          <w:right w:w="0" w:type="dxa"/>
        </w:tblCellMar>
      </w:tblPr>
      <w:tr>
        <w:trPr>
          <w:trHeight w:val="270"/>
        </w:trPr>
        <w:tc>
          <w:tcPr>
            <w:tcW w:w="4640" w:type="dxa"/>
            <w:vAlign w:val="bottom"/>
            <w:tcBorders>
              <w:left w:val="single" w:sz="8" w:color="4F81BD"/>
              <w:right w:val="single" w:sz="8" w:color="4F81BD"/>
            </w:tcBorders>
            <w:shd w:val="clear" w:color="auto" w:fill="4F81BD"/>
          </w:tcPr>
          <w:p>
            <w:pPr>
              <w:ind w:left="120"/>
              <w:spacing w:after="0"/>
              <w:rPr>
                <w:sz w:val="20"/>
                <w:szCs w:val="20"/>
                <w:color w:val="auto"/>
              </w:rPr>
            </w:pPr>
            <w:r>
              <w:rPr>
                <w:rFonts w:ascii="Arial" w:cs="Arial" w:eastAsia="Arial" w:hAnsi="Arial"/>
                <w:sz w:val="22"/>
                <w:szCs w:val="22"/>
                <w:b w:val="1"/>
                <w:bCs w:val="1"/>
                <w:color w:val="FFFFFF"/>
              </w:rPr>
              <w:t>Province/Region/City</w:t>
            </w:r>
          </w:p>
        </w:tc>
        <w:tc>
          <w:tcPr>
            <w:tcW w:w="4980" w:type="dxa"/>
            <w:vAlign w:val="bottom"/>
            <w:tcBorders>
              <w:right w:val="single" w:sz="8" w:color="4F81BD"/>
            </w:tcBorders>
            <w:shd w:val="clear" w:color="auto" w:fill="4F81BD"/>
          </w:tcPr>
          <w:p>
            <w:pPr>
              <w:ind w:left="1560"/>
              <w:spacing w:after="0"/>
              <w:rPr>
                <w:sz w:val="20"/>
                <w:szCs w:val="20"/>
                <w:color w:val="auto"/>
              </w:rPr>
            </w:pPr>
            <w:r>
              <w:rPr>
                <w:rFonts w:ascii="Arial" w:cs="Arial" w:eastAsia="Arial" w:hAnsi="Arial"/>
                <w:sz w:val="22"/>
                <w:szCs w:val="22"/>
                <w:b w:val="1"/>
                <w:bCs w:val="1"/>
                <w:color w:val="FFFFFF"/>
              </w:rPr>
              <w:t>Confirmed Cases</w:t>
            </w:r>
          </w:p>
        </w:tc>
      </w:tr>
      <w:tr>
        <w:trPr>
          <w:trHeight w:val="267"/>
        </w:trPr>
        <w:tc>
          <w:tcPr>
            <w:tcW w:w="4640" w:type="dxa"/>
            <w:vAlign w:val="bottom"/>
            <w:tcBorders>
              <w:left w:val="single" w:sz="8" w:color="95B3D7"/>
              <w:bottom w:val="single" w:sz="8" w:color="95B3D7"/>
              <w:right w:val="single" w:sz="8" w:color="95B3D7"/>
            </w:tcBorders>
            <w:shd w:val="clear" w:color="auto" w:fill="DBE5F1"/>
          </w:tcPr>
          <w:p>
            <w:pPr>
              <w:ind w:left="120"/>
              <w:spacing w:after="0" w:line="263" w:lineRule="exact"/>
              <w:rPr>
                <w:sz w:val="20"/>
                <w:szCs w:val="20"/>
                <w:color w:val="auto"/>
              </w:rPr>
            </w:pPr>
            <w:r>
              <w:rPr>
                <w:rFonts w:ascii="Calibri" w:cs="Calibri" w:eastAsia="Calibri" w:hAnsi="Calibri"/>
                <w:sz w:val="22"/>
                <w:szCs w:val="22"/>
                <w:color w:val="auto"/>
              </w:rPr>
              <w:t>Hubei</w:t>
            </w:r>
          </w:p>
        </w:tc>
        <w:tc>
          <w:tcPr>
            <w:tcW w:w="4980" w:type="dxa"/>
            <w:vAlign w:val="bottom"/>
            <w:tcBorders>
              <w:bottom w:val="single" w:sz="8" w:color="95B3D7"/>
              <w:right w:val="single" w:sz="8" w:color="95B3D7"/>
            </w:tcBorders>
            <w:shd w:val="clear" w:color="auto" w:fill="DBE5F1"/>
          </w:tcPr>
          <w:p>
            <w:pPr>
              <w:jc w:val="center"/>
              <w:spacing w:after="0" w:line="263" w:lineRule="exact"/>
              <w:rPr>
                <w:sz w:val="20"/>
                <w:szCs w:val="20"/>
                <w:color w:val="auto"/>
              </w:rPr>
            </w:pPr>
            <w:r>
              <w:rPr>
                <w:rFonts w:ascii="Calibri" w:cs="Calibri" w:eastAsia="Calibri" w:hAnsi="Calibri"/>
                <w:sz w:val="22"/>
                <w:szCs w:val="22"/>
                <w:color w:val="auto"/>
              </w:rPr>
              <w:t>29631</w:t>
            </w:r>
          </w:p>
        </w:tc>
      </w:tr>
      <w:tr>
        <w:trPr>
          <w:trHeight w:val="261"/>
        </w:trPr>
        <w:tc>
          <w:tcPr>
            <w:tcW w:w="4640" w:type="dxa"/>
            <w:vAlign w:val="bottom"/>
            <w:tcBorders>
              <w:left w:val="single" w:sz="8" w:color="95B3D7"/>
              <w:bottom w:val="single" w:sz="8" w:color="95B3D7"/>
              <w:right w:val="single" w:sz="8" w:color="95B3D7"/>
            </w:tcBorders>
          </w:tcPr>
          <w:p>
            <w:pPr>
              <w:ind w:left="120"/>
              <w:spacing w:after="0" w:line="258" w:lineRule="exact"/>
              <w:rPr>
                <w:sz w:val="20"/>
                <w:szCs w:val="20"/>
                <w:color w:val="auto"/>
              </w:rPr>
            </w:pPr>
            <w:r>
              <w:rPr>
                <w:rFonts w:ascii="Calibri" w:cs="Calibri" w:eastAsia="Calibri" w:hAnsi="Calibri"/>
                <w:sz w:val="22"/>
                <w:szCs w:val="22"/>
                <w:color w:val="auto"/>
              </w:rPr>
              <w:t>Guangdong</w:t>
            </w:r>
          </w:p>
        </w:tc>
        <w:tc>
          <w:tcPr>
            <w:tcW w:w="4980" w:type="dxa"/>
            <w:vAlign w:val="bottom"/>
            <w:tcBorders>
              <w:bottom w:val="single" w:sz="8" w:color="95B3D7"/>
              <w:right w:val="single" w:sz="8" w:color="95B3D7"/>
            </w:tcBorders>
          </w:tcPr>
          <w:p>
            <w:pPr>
              <w:jc w:val="center"/>
              <w:spacing w:after="0" w:line="258" w:lineRule="exact"/>
              <w:rPr>
                <w:sz w:val="20"/>
                <w:szCs w:val="20"/>
                <w:color w:val="auto"/>
              </w:rPr>
            </w:pPr>
            <w:r>
              <w:rPr>
                <w:rFonts w:ascii="Calibri" w:cs="Calibri" w:eastAsia="Calibri" w:hAnsi="Calibri"/>
                <w:sz w:val="22"/>
                <w:szCs w:val="22"/>
                <w:color w:val="auto"/>
              </w:rPr>
              <w:t>1151</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Zhejiang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1104</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Henan</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1073</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Hunan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879</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Anhui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830</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Jiangxi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771</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Jiangsu</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492</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Chongqing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468</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Shandong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459</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Sichuan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405</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Beijing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337</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Heilongjiang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331</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Shanghai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295</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Fujian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261</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Hebei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218</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Shaanxi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213</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7" w:lineRule="exact"/>
              <w:rPr>
                <w:sz w:val="20"/>
                <w:szCs w:val="20"/>
                <w:color w:val="auto"/>
              </w:rPr>
            </w:pPr>
            <w:r>
              <w:rPr>
                <w:rFonts w:ascii="Calibri" w:cs="Calibri" w:eastAsia="Calibri" w:hAnsi="Calibri"/>
                <w:sz w:val="22"/>
                <w:szCs w:val="22"/>
                <w:color w:val="auto"/>
              </w:rPr>
              <w:t>Guangxi</w:t>
            </w:r>
          </w:p>
        </w:tc>
        <w:tc>
          <w:tcPr>
            <w:tcW w:w="4980" w:type="dxa"/>
            <w:vAlign w:val="bottom"/>
            <w:tcBorders>
              <w:bottom w:val="single" w:sz="8" w:color="95B3D7"/>
              <w:right w:val="single" w:sz="8" w:color="95B3D7"/>
            </w:tcBorders>
          </w:tcPr>
          <w:p>
            <w:pPr>
              <w:jc w:val="center"/>
              <w:spacing w:after="0" w:line="257" w:lineRule="exact"/>
              <w:rPr>
                <w:sz w:val="20"/>
                <w:szCs w:val="20"/>
                <w:color w:val="auto"/>
              </w:rPr>
            </w:pPr>
            <w:r>
              <w:rPr>
                <w:rFonts w:ascii="Calibri" w:cs="Calibri" w:eastAsia="Calibri" w:hAnsi="Calibri"/>
                <w:sz w:val="22"/>
                <w:szCs w:val="22"/>
                <w:color w:val="auto"/>
              </w:rPr>
              <w:t>210</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Yunnan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141</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Hainan</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136</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Shanxi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119</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Guizhou</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109</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Liaoning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107</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Tianjin</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98"/>
              </w:rPr>
              <w:t>91</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Gansu</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85</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Jilin</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80</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Inner Mongolia</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58</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Ningxia</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49</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Xinjiang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49</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Hong Kong SAR</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36</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Qinghai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18</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Taipei and environs</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98"/>
              </w:rPr>
              <w:t>18</w:t>
            </w:r>
          </w:p>
        </w:tc>
      </w:tr>
      <w:tr>
        <w:trPr>
          <w:trHeight w:val="261"/>
        </w:trPr>
        <w:tc>
          <w:tcPr>
            <w:tcW w:w="4640" w:type="dxa"/>
            <w:vAlign w:val="bottom"/>
            <w:tcBorders>
              <w:left w:val="single" w:sz="8" w:color="95B3D7"/>
              <w:bottom w:val="single" w:sz="8" w:color="95B3D7"/>
              <w:right w:val="single" w:sz="8" w:color="95B3D7"/>
            </w:tcBorders>
            <w:shd w:val="clear" w:color="auto" w:fill="DBE5F1"/>
          </w:tcPr>
          <w:p>
            <w:pPr>
              <w:ind w:left="120"/>
              <w:spacing w:after="0" w:line="258" w:lineRule="exact"/>
              <w:rPr>
                <w:sz w:val="20"/>
                <w:szCs w:val="20"/>
                <w:color w:val="auto"/>
              </w:rPr>
            </w:pPr>
            <w:r>
              <w:rPr>
                <w:rFonts w:ascii="Calibri" w:cs="Calibri" w:eastAsia="Calibri" w:hAnsi="Calibri"/>
                <w:sz w:val="22"/>
                <w:szCs w:val="22"/>
                <w:color w:val="auto"/>
              </w:rPr>
              <w:t>Macao SAR</w:t>
            </w:r>
          </w:p>
        </w:tc>
        <w:tc>
          <w:tcPr>
            <w:tcW w:w="4980" w:type="dxa"/>
            <w:vAlign w:val="bottom"/>
            <w:tcBorders>
              <w:bottom w:val="single" w:sz="8" w:color="95B3D7"/>
              <w:right w:val="single" w:sz="8" w:color="95B3D7"/>
            </w:tcBorders>
            <w:shd w:val="clear" w:color="auto" w:fill="DBE5F1"/>
          </w:tcPr>
          <w:p>
            <w:pPr>
              <w:jc w:val="center"/>
              <w:spacing w:after="0" w:line="258" w:lineRule="exact"/>
              <w:rPr>
                <w:sz w:val="20"/>
                <w:szCs w:val="20"/>
                <w:color w:val="auto"/>
              </w:rPr>
            </w:pPr>
            <w:r>
              <w:rPr>
                <w:rFonts w:ascii="Calibri" w:cs="Calibri" w:eastAsia="Calibri" w:hAnsi="Calibri"/>
                <w:sz w:val="22"/>
                <w:szCs w:val="22"/>
                <w:color w:val="auto"/>
                <w:w w:val="98"/>
              </w:rPr>
              <w:t>10</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Xizang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b w:val="1"/>
                <w:bCs w:val="1"/>
                <w:color w:val="auto"/>
              </w:rPr>
              <w:t>Total</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b w:val="1"/>
                <w:bCs w:val="1"/>
                <w:color w:val="auto"/>
              </w:rPr>
              <w:t>40 235</w:t>
            </w:r>
          </w:p>
        </w:tc>
      </w:tr>
    </w:tbl>
    <w:p>
      <w:pPr>
        <w:sectPr>
          <w:pgSz w:w="11920" w:h="16841" w:orient="portrait"/>
          <w:cols w:equalWidth="0" w:num="1">
            <w:col w:w="9880"/>
          </w:cols>
          <w:pgMar w:left="720" w:top="899" w:right="1311" w:bottom="1440" w:gutter="0" w:footer="0" w:header="0"/>
        </w:sectPr>
      </w:pPr>
    </w:p>
    <w:bookmarkStart w:id="2" w:name="page3"/>
    <w:bookmarkEnd w:id="2"/>
    <w:p>
      <w:pPr>
        <w:ind w:left="360" w:right="1100"/>
        <w:spacing w:after="0" w:line="218"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10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cases with</w:t>
            </w:r>
          </w:p>
        </w:tc>
        <w:tc>
          <w:tcPr>
            <w:tcW w:w="154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20" w:type="dxa"/>
            <w:vAlign w:val="bottom"/>
            <w:tcBorders>
              <w:top w:val="single" w:sz="8" w:color="auto"/>
            </w:tcBorders>
          </w:tcPr>
          <w:p>
            <w:pPr>
              <w:spacing w:after="0"/>
              <w:rPr>
                <w:sz w:val="24"/>
                <w:szCs w:val="24"/>
                <w:color w:val="auto"/>
              </w:rPr>
            </w:pPr>
          </w:p>
        </w:tc>
        <w:tc>
          <w:tcPr>
            <w:tcW w:w="124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20" w:type="dxa"/>
            <w:vAlign w:val="bottom"/>
          </w:tcPr>
          <w:p>
            <w:pPr>
              <w:spacing w:after="0"/>
              <w:rPr>
                <w:sz w:val="23"/>
                <w:szCs w:val="23"/>
                <w:color w:val="auto"/>
              </w:rPr>
            </w:pPr>
          </w:p>
        </w:tc>
        <w:tc>
          <w:tcPr>
            <w:tcW w:w="124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shd w:val="clear" w:color="auto" w:fill="4F81BD"/>
          </w:tcPr>
          <w:p>
            <w:pPr>
              <w:ind w:left="100"/>
              <w:spacing w:after="0" w:line="275"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transmission</w:t>
            </w:r>
          </w:p>
        </w:tc>
        <w:tc>
          <w:tcPr>
            <w:tcW w:w="20" w:type="dxa"/>
            <w:vAlign w:val="bottom"/>
          </w:tcPr>
          <w:p>
            <w:pPr>
              <w:spacing w:after="0"/>
              <w:rPr>
                <w:sz w:val="23"/>
                <w:szCs w:val="23"/>
                <w:color w:val="auto"/>
              </w:rPr>
            </w:pPr>
          </w:p>
        </w:tc>
        <w:tc>
          <w:tcPr>
            <w:tcW w:w="12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under</w:t>
            </w:r>
          </w:p>
        </w:tc>
        <w:tc>
          <w:tcPr>
            <w:tcW w:w="20" w:type="dxa"/>
            <w:vAlign w:val="bottom"/>
            <w:vMerge w:val="restart"/>
          </w:tcPr>
          <w:p>
            <w:pPr>
              <w:spacing w:after="0"/>
              <w:rPr>
                <w:sz w:val="11"/>
                <w:szCs w:val="11"/>
                <w:color w:val="auto"/>
              </w:rPr>
            </w:pPr>
          </w:p>
        </w:tc>
        <w:tc>
          <w:tcPr>
            <w:tcW w:w="124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20" w:type="dxa"/>
            <w:vAlign w:val="bottom"/>
            <w:vMerge w:val="continue"/>
          </w:tcPr>
          <w:p>
            <w:pPr>
              <w:spacing w:after="0"/>
              <w:rPr>
                <w:sz w:val="11"/>
                <w:szCs w:val="11"/>
                <w:color w:val="auto"/>
              </w:rPr>
            </w:pPr>
          </w:p>
        </w:tc>
        <w:tc>
          <w:tcPr>
            <w:tcW w:w="124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shd w:val="clear" w:color="auto" w:fill="4F81BD"/>
              </w:rPr>
              <w:t>outside of China</w:t>
            </w:r>
            <w:r>
              <w:rPr>
                <w:rFonts w:ascii="Calibri" w:cs="Calibri" w:eastAsia="Calibri" w:hAnsi="Calibri"/>
                <w:sz w:val="27"/>
                <w:szCs w:val="27"/>
                <w:b w:val="1"/>
                <w:bCs w:val="1"/>
                <w:color w:val="FFFFFF"/>
                <w:w w:val="98"/>
                <w:vertAlign w:val="superscript"/>
                <w:shd w:val="clear" w:color="auto" w:fill="4F81BD"/>
              </w:rPr>
              <w:t>†</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20" w:type="dxa"/>
            <w:vAlign w:val="bottom"/>
          </w:tcPr>
          <w:p>
            <w:pPr>
              <w:spacing w:after="0"/>
              <w:rPr>
                <w:sz w:val="23"/>
                <w:szCs w:val="23"/>
                <w:color w:val="auto"/>
              </w:rPr>
            </w:pPr>
          </w:p>
        </w:tc>
        <w:tc>
          <w:tcPr>
            <w:tcW w:w="124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shd w:val="clear" w:color="auto" w:fill="4F81BD"/>
          </w:tcPr>
          <w:p>
            <w:pPr>
              <w:spacing w:after="0"/>
              <w:rPr>
                <w:sz w:val="24"/>
                <w:szCs w:val="24"/>
                <w:color w:val="auto"/>
              </w:rPr>
            </w:pPr>
          </w:p>
        </w:tc>
        <w:tc>
          <w:tcPr>
            <w:tcW w:w="1260" w:type="dxa"/>
            <w:vAlign w:val="bottom"/>
            <w:tcBorders>
              <w:bottom w:val="single" w:sz="8" w:color="auto"/>
              <w:right w:val="single" w:sz="8" w:color="auto"/>
            </w:tcBorders>
            <w:shd w:val="clear" w:color="auto" w:fill="4F81BD"/>
          </w:tcPr>
          <w:p>
            <w:pPr>
              <w:spacing w:after="0"/>
              <w:rPr>
                <w:sz w:val="24"/>
                <w:szCs w:val="24"/>
                <w:color w:val="auto"/>
              </w:rPr>
            </w:pPr>
          </w:p>
        </w:tc>
        <w:tc>
          <w:tcPr>
            <w:tcW w:w="100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w w:val="98"/>
              </w:rPr>
              <w:t>(new)</w:t>
            </w:r>
          </w:p>
        </w:tc>
        <w:tc>
          <w:tcPr>
            <w:tcW w:w="154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20" w:type="dxa"/>
            <w:vAlign w:val="bottom"/>
            <w:tcBorders>
              <w:bottom w:val="single" w:sz="8" w:color="auto"/>
            </w:tcBorders>
          </w:tcPr>
          <w:p>
            <w:pPr>
              <w:spacing w:after="0"/>
              <w:rPr>
                <w:sz w:val="24"/>
                <w:szCs w:val="24"/>
                <w:color w:val="auto"/>
              </w:rPr>
            </w:pPr>
          </w:p>
        </w:tc>
        <w:tc>
          <w:tcPr>
            <w:tcW w:w="1240" w:type="dxa"/>
            <w:vAlign w:val="bottom"/>
            <w:tcBorders>
              <w:bottom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shd w:val="clear" w:color="auto" w:fill="E9EDF4"/>
          </w:tcPr>
          <w:p>
            <w:pPr>
              <w:spacing w:after="0" w:line="279" w:lineRule="exact"/>
              <w:rPr>
                <w:sz w:val="20"/>
                <w:szCs w:val="20"/>
                <w:color w:val="auto"/>
              </w:rPr>
            </w:pPr>
            <w:r>
              <w:rPr>
                <w:rFonts w:ascii="Calibri" w:cs="Calibri" w:eastAsia="Calibri" w:hAnsi="Calibri"/>
                <w:sz w:val="22"/>
                <w:szCs w:val="22"/>
                <w:color w:val="auto"/>
              </w:rPr>
              <w:t>China</w:t>
            </w:r>
            <w:r>
              <w:rPr>
                <w:rFonts w:ascii="Calibri" w:cs="Calibri" w:eastAsia="Calibri" w:hAnsi="Calibri"/>
                <w:sz w:val="27"/>
                <w:szCs w:val="27"/>
                <w:color w:val="auto"/>
                <w:vertAlign w:val="superscript"/>
              </w:rPr>
              <w:t>‡</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shd w:val="clear" w:color="auto" w:fill="E9EDF4"/>
              </w:rPr>
              <w:t>40 235 (3073)</w:t>
            </w:r>
          </w:p>
        </w:tc>
        <w:tc>
          <w:tcPr>
            <w:tcW w:w="1000" w:type="dxa"/>
            <w:vAlign w:val="bottom"/>
            <w:tcBorders>
              <w:bottom w:val="single" w:sz="8" w:color="auto"/>
              <w:right w:val="single" w:sz="8" w:color="auto"/>
            </w:tcBorders>
            <w:shd w:val="clear" w:color="auto" w:fill="E9EDF4"/>
          </w:tcPr>
          <w:p>
            <w:pPr>
              <w:spacing w:after="0"/>
              <w:rPr>
                <w:sz w:val="24"/>
                <w:szCs w:val="24"/>
                <w:color w:val="auto"/>
              </w:rPr>
            </w:pPr>
          </w:p>
        </w:tc>
        <w:tc>
          <w:tcPr>
            <w:tcW w:w="1620" w:type="dxa"/>
            <w:vAlign w:val="bottom"/>
            <w:tcBorders>
              <w:bottom w:val="single" w:sz="8" w:color="auto"/>
              <w:right w:val="single" w:sz="8" w:color="auto"/>
            </w:tcBorders>
            <w:shd w:val="clear" w:color="auto" w:fill="E9EDF4"/>
          </w:tcPr>
          <w:p>
            <w:pPr>
              <w:spacing w:after="0"/>
              <w:rPr>
                <w:sz w:val="24"/>
                <w:szCs w:val="24"/>
                <w:color w:val="auto"/>
              </w:rPr>
            </w:pPr>
          </w:p>
        </w:tc>
        <w:tc>
          <w:tcPr>
            <w:tcW w:w="1540" w:type="dxa"/>
            <w:vAlign w:val="bottom"/>
            <w:tcBorders>
              <w:bottom w:val="single" w:sz="8" w:color="auto"/>
              <w:right w:val="single" w:sz="8" w:color="auto"/>
            </w:tcBorders>
            <w:shd w:val="clear" w:color="auto" w:fill="E9EDF4"/>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4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9"/>
              </w:rPr>
              <w:t>909 (97)</w:t>
            </w:r>
          </w:p>
        </w:tc>
        <w:tc>
          <w:tcPr>
            <w:tcW w:w="0" w:type="dxa"/>
            <w:vAlign w:val="bottom"/>
          </w:tcPr>
          <w:p>
            <w:pPr>
              <w:spacing w:after="0"/>
              <w:rPr>
                <w:sz w:val="1"/>
                <w:szCs w:val="1"/>
                <w:color w:val="auto"/>
              </w:rPr>
            </w:pPr>
          </w:p>
        </w:tc>
      </w:tr>
      <w:tr>
        <w:trPr>
          <w:trHeight w:val="299"/>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43 (3)</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(3)</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vMerge w:val="continue"/>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27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12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 (0)</w:t>
            </w:r>
          </w:p>
        </w:tc>
        <w:tc>
          <w:tcPr>
            <w:tcW w:w="1260" w:type="dxa"/>
            <w:vAlign w:val="bottom"/>
            <w:tcBorders>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58"/>
        </w:trPr>
        <w:tc>
          <w:tcPr>
            <w:tcW w:w="2280" w:type="dxa"/>
            <w:vAlign w:val="bottom"/>
            <w:tcBorders>
              <w:left w:val="single" w:sz="8" w:color="auto"/>
              <w:right w:val="single" w:sz="8" w:color="auto"/>
            </w:tcBorders>
            <w:shd w:val="clear" w:color="auto" w:fill="4F81BD"/>
          </w:tcPr>
          <w:p>
            <w:pPr>
              <w:spacing w:after="0"/>
              <w:rPr>
                <w:sz w:val="13"/>
                <w:szCs w:val="13"/>
                <w:color w:val="auto"/>
              </w:rPr>
            </w:pPr>
          </w:p>
        </w:tc>
        <w:tc>
          <w:tcPr>
            <w:tcW w:w="2240" w:type="dxa"/>
            <w:vAlign w:val="bottom"/>
            <w:tcBorders>
              <w:right w:val="single" w:sz="8" w:color="auto"/>
            </w:tcBorders>
            <w:vMerge w:val="continue"/>
          </w:tcPr>
          <w:p>
            <w:pPr>
              <w:spacing w:after="0"/>
              <w:rPr>
                <w:sz w:val="13"/>
                <w:szCs w:val="13"/>
                <w:color w:val="auto"/>
              </w:rPr>
            </w:pPr>
          </w:p>
        </w:tc>
        <w:tc>
          <w:tcPr>
            <w:tcW w:w="1260" w:type="dxa"/>
            <w:vAlign w:val="bottom"/>
            <w:tcBorders>
              <w:right w:val="single" w:sz="8" w:color="auto"/>
            </w:tcBorders>
            <w:vMerge w:val="continue"/>
          </w:tcPr>
          <w:p>
            <w:pPr>
              <w:spacing w:after="0"/>
              <w:rPr>
                <w:sz w:val="13"/>
                <w:szCs w:val="13"/>
                <w:color w:val="auto"/>
              </w:rPr>
            </w:pPr>
          </w:p>
        </w:tc>
        <w:tc>
          <w:tcPr>
            <w:tcW w:w="1000" w:type="dxa"/>
            <w:vAlign w:val="bottom"/>
            <w:tcBorders>
              <w:right w:val="single" w:sz="8" w:color="auto"/>
            </w:tcBorders>
            <w:vMerge w:val="continue"/>
          </w:tcPr>
          <w:p>
            <w:pPr>
              <w:spacing w:after="0"/>
              <w:rPr>
                <w:sz w:val="13"/>
                <w:szCs w:val="13"/>
                <w:color w:val="auto"/>
              </w:rPr>
            </w:pPr>
          </w:p>
        </w:tc>
        <w:tc>
          <w:tcPr>
            <w:tcW w:w="1620" w:type="dxa"/>
            <w:vAlign w:val="bottom"/>
            <w:tcBorders>
              <w:right w:val="single" w:sz="8" w:color="auto"/>
            </w:tcBorders>
            <w:vMerge w:val="continue"/>
          </w:tcPr>
          <w:p>
            <w:pPr>
              <w:spacing w:after="0"/>
              <w:rPr>
                <w:sz w:val="13"/>
                <w:szCs w:val="13"/>
                <w:color w:val="auto"/>
              </w:rPr>
            </w:pPr>
          </w:p>
        </w:tc>
        <w:tc>
          <w:tcPr>
            <w:tcW w:w="1540" w:type="dxa"/>
            <w:vAlign w:val="bottom"/>
            <w:tcBorders>
              <w:right w:val="single" w:sz="8" w:color="auto"/>
            </w:tcBorders>
            <w:vMerge w:val="continue"/>
          </w:tcPr>
          <w:p>
            <w:pPr>
              <w:spacing w:after="0"/>
              <w:rPr>
                <w:sz w:val="13"/>
                <w:szCs w:val="13"/>
                <w:color w:val="auto"/>
              </w:rPr>
            </w:pPr>
          </w:p>
        </w:tc>
        <w:tc>
          <w:tcPr>
            <w:tcW w:w="1260" w:type="dxa"/>
            <w:vAlign w:val="bottom"/>
            <w:tcBorders>
              <w:right w:val="single" w:sz="8" w:color="auto"/>
            </w:tcBorders>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26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4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5"/>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18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10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4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87"/>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14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8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0"/>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95"/>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73"/>
        </w:trPr>
        <w:tc>
          <w:tcPr>
            <w:tcW w:w="2280" w:type="dxa"/>
            <w:vAlign w:val="bottom"/>
            <w:tcBorders>
              <w:left w:val="single" w:sz="8" w:color="auto"/>
              <w:right w:val="single" w:sz="8" w:color="auto"/>
            </w:tcBorders>
            <w:shd w:val="clear" w:color="auto" w:fill="4F81BD"/>
          </w:tcPr>
          <w:p>
            <w:pPr>
              <w:spacing w:after="0"/>
              <w:rPr>
                <w:sz w:val="15"/>
                <w:szCs w:val="15"/>
                <w:color w:val="auto"/>
              </w:rPr>
            </w:pPr>
          </w:p>
        </w:tc>
        <w:tc>
          <w:tcPr>
            <w:tcW w:w="22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1000" w:type="dxa"/>
            <w:vAlign w:val="bottom"/>
            <w:tcBorders>
              <w:right w:val="single" w:sz="8" w:color="auto"/>
            </w:tcBorders>
            <w:vMerge w:val="continue"/>
          </w:tcPr>
          <w:p>
            <w:pPr>
              <w:spacing w:after="0"/>
              <w:rPr>
                <w:sz w:val="15"/>
                <w:szCs w:val="15"/>
                <w:color w:val="auto"/>
              </w:rPr>
            </w:pPr>
          </w:p>
        </w:tc>
        <w:tc>
          <w:tcPr>
            <w:tcW w:w="1620" w:type="dxa"/>
            <w:vAlign w:val="bottom"/>
            <w:tcBorders>
              <w:right w:val="single" w:sz="8" w:color="auto"/>
            </w:tcBorders>
            <w:vMerge w:val="continue"/>
          </w:tcPr>
          <w:p>
            <w:pPr>
              <w:spacing w:after="0"/>
              <w:rPr>
                <w:sz w:val="15"/>
                <w:szCs w:val="15"/>
                <w:color w:val="auto"/>
              </w:rPr>
            </w:pPr>
          </w:p>
        </w:tc>
        <w:tc>
          <w:tcPr>
            <w:tcW w:w="15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69"/>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rPr>
                <w:sz w:val="23"/>
                <w:szCs w:val="23"/>
                <w:color w:val="auto"/>
              </w:rPr>
            </w:pPr>
          </w:p>
        </w:tc>
        <w:tc>
          <w:tcPr>
            <w:tcW w:w="1000" w:type="dxa"/>
            <w:vAlign w:val="bottom"/>
            <w:tcBorders>
              <w:top w:val="single" w:sz="8" w:color="auto"/>
              <w:right w:val="single" w:sz="8" w:color="auto"/>
            </w:tcBorders>
          </w:tcPr>
          <w:p>
            <w:pPr>
              <w:spacing w:after="0"/>
              <w:rPr>
                <w:sz w:val="23"/>
                <w:szCs w:val="23"/>
                <w:color w:val="auto"/>
              </w:rPr>
            </w:pPr>
          </w:p>
        </w:tc>
        <w:tc>
          <w:tcPr>
            <w:tcW w:w="1620" w:type="dxa"/>
            <w:vAlign w:val="bottom"/>
            <w:tcBorders>
              <w:top w:val="single" w:sz="8" w:color="auto"/>
              <w:right w:val="single" w:sz="8" w:color="auto"/>
            </w:tcBorders>
          </w:tcPr>
          <w:p>
            <w:pPr>
              <w:spacing w:after="0"/>
              <w:rPr>
                <w:sz w:val="23"/>
                <w:szCs w:val="23"/>
                <w:color w:val="auto"/>
              </w:rPr>
            </w:pPr>
          </w:p>
        </w:tc>
        <w:tc>
          <w:tcPr>
            <w:tcW w:w="1540" w:type="dxa"/>
            <w:vAlign w:val="bottom"/>
            <w:tcBorders>
              <w:top w:val="single" w:sz="8" w:color="auto"/>
              <w:right w:val="single" w:sz="8" w:color="auto"/>
            </w:tcBorders>
          </w:tcPr>
          <w:p>
            <w:pPr>
              <w:spacing w:after="0"/>
              <w:rPr>
                <w:sz w:val="23"/>
                <w:szCs w:val="23"/>
                <w:color w:val="auto"/>
              </w:rPr>
            </w:pPr>
          </w:p>
        </w:tc>
        <w:tc>
          <w:tcPr>
            <w:tcW w:w="20" w:type="dxa"/>
            <w:vAlign w:val="bottom"/>
            <w:tcBorders>
              <w:top w:val="single" w:sz="8" w:color="auto"/>
            </w:tcBorders>
          </w:tcPr>
          <w:p>
            <w:pPr>
              <w:spacing w:after="0"/>
              <w:rPr>
                <w:sz w:val="23"/>
                <w:szCs w:val="23"/>
                <w:color w:val="auto"/>
              </w:rPr>
            </w:pPr>
          </w:p>
        </w:tc>
        <w:tc>
          <w:tcPr>
            <w:tcW w:w="124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10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14 (0)</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4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line="308" w:lineRule="exact"/>
              <w:rPr>
                <w:sz w:val="20"/>
                <w:szCs w:val="20"/>
                <w:color w:val="auto"/>
              </w:rPr>
            </w:pPr>
            <w:r>
              <w:rPr>
                <w:rFonts w:ascii="Calibri" w:cs="Calibri" w:eastAsia="Calibri" w:hAnsi="Calibri"/>
                <w:sz w:val="22"/>
                <w:szCs w:val="22"/>
                <w:color w:val="auto"/>
                <w:w w:val="91"/>
              </w:rPr>
              <w:t>3</w:t>
            </w:r>
            <w:r>
              <w:rPr>
                <w:rFonts w:ascii="Calibri" w:cs="Calibri" w:eastAsia="Calibri" w:hAnsi="Calibri"/>
                <w:sz w:val="27"/>
                <w:szCs w:val="27"/>
                <w:color w:val="auto"/>
                <w:w w:val="91"/>
                <w:vertAlign w:val="superscript"/>
              </w:rPr>
              <w:t>***</w:t>
            </w:r>
            <w:r>
              <w:rPr>
                <w:rFonts w:ascii="Calibri" w:cs="Calibri" w:eastAsia="Calibri" w:hAnsi="Calibri"/>
                <w:sz w:val="22"/>
                <w:szCs w:val="22"/>
                <w:color w:val="auto"/>
                <w:w w:val="91"/>
              </w:rPr>
              <w:t xml:space="preserve"> (1)</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5"/>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bottom w:val="single" w:sz="8" w:color="auto"/>
              <w:right w:val="single" w:sz="8" w:color="auto"/>
            </w:tcBorders>
          </w:tcPr>
          <w:p>
            <w:pPr>
              <w:jc w:val="center"/>
              <w:spacing w:after="0" w:line="308" w:lineRule="exact"/>
              <w:rPr>
                <w:sz w:val="20"/>
                <w:szCs w:val="20"/>
                <w:color w:val="auto"/>
              </w:rPr>
            </w:pPr>
            <w:r>
              <w:rPr>
                <w:rFonts w:ascii="Calibri" w:cs="Calibri" w:eastAsia="Calibri" w:hAnsi="Calibri"/>
                <w:sz w:val="22"/>
                <w:szCs w:val="22"/>
                <w:color w:val="auto"/>
                <w:w w:val="96"/>
              </w:rPr>
              <w:t>2</w:t>
            </w:r>
            <w:r>
              <w:rPr>
                <w:rFonts w:ascii="Calibri" w:cs="Calibri" w:eastAsia="Calibri" w:hAnsi="Calibri"/>
                <w:sz w:val="27"/>
                <w:szCs w:val="27"/>
                <w:color w:val="auto"/>
                <w:w w:val="96"/>
                <w:vertAlign w:val="superscript"/>
              </w:rPr>
              <w:t>§</w:t>
            </w:r>
            <w:r>
              <w:rPr>
                <w:rFonts w:ascii="Calibri" w:cs="Calibri" w:eastAsia="Calibri" w:hAnsi="Calibri"/>
                <w:sz w:val="22"/>
                <w:szCs w:val="22"/>
                <w:color w:val="auto"/>
                <w:w w:val="96"/>
              </w:rPr>
              <w:t xml:space="preserve"> (1)</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gridSpan w:val="2"/>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13"/>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91"/>
        </w:trPr>
        <w:tc>
          <w:tcPr>
            <w:tcW w:w="2280" w:type="dxa"/>
            <w:vAlign w:val="bottom"/>
            <w:tcBorders>
              <w:top w:val="single" w:sz="8" w:color="auto"/>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20" w:type="dxa"/>
            <w:vAlign w:val="bottom"/>
            <w:tcBorders>
              <w:top w:val="single" w:sz="8" w:color="auto"/>
            </w:tcBorders>
            <w:shd w:val="clear" w:color="auto" w:fill="000000"/>
          </w:tcPr>
          <w:p>
            <w:pPr>
              <w:spacing w:after="0"/>
              <w:rPr>
                <w:sz w:val="24"/>
                <w:szCs w:val="24"/>
                <w:color w:val="auto"/>
              </w:rPr>
            </w:pPr>
          </w:p>
        </w:tc>
        <w:tc>
          <w:tcPr>
            <w:tcW w:w="124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21"/>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20" w:type="dxa"/>
            <w:vAlign w:val="bottom"/>
            <w:tcBorders>
              <w:bottom w:val="single" w:sz="8" w:color="auto"/>
            </w:tcBorders>
            <w:shd w:val="clear" w:color="auto" w:fill="000000"/>
          </w:tcPr>
          <w:p>
            <w:pPr>
              <w:spacing w:after="0"/>
              <w:rPr>
                <w:sz w:val="24"/>
                <w:szCs w:val="24"/>
                <w:color w:val="auto"/>
              </w:rPr>
            </w:pPr>
          </w:p>
        </w:tc>
        <w:tc>
          <w:tcPr>
            <w:tcW w:w="12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4"/>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4"/>
              </w:rPr>
              <w:t>70</w:t>
            </w:r>
            <w:r>
              <w:rPr>
                <w:rFonts w:ascii="Calibri" w:cs="Calibri" w:eastAsia="Calibri" w:hAnsi="Calibri"/>
                <w:sz w:val="27"/>
                <w:szCs w:val="27"/>
                <w:color w:val="auto"/>
                <w:w w:val="94"/>
                <w:vertAlign w:val="superscript"/>
              </w:rPr>
              <w:t>**</w:t>
            </w:r>
            <w:r>
              <w:rPr>
                <w:rFonts w:ascii="Calibri" w:cs="Calibri" w:eastAsia="Calibri" w:hAnsi="Calibri"/>
                <w:sz w:val="22"/>
                <w:szCs w:val="22"/>
                <w:color w:val="auto"/>
                <w:w w:val="94"/>
              </w:rPr>
              <w:t xml:space="preserve"> (6)</w:t>
            </w: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20" w:type="dxa"/>
            <w:vAlign w:val="bottom"/>
            <w:tcBorders>
              <w:top w:val="single" w:sz="8" w:color="auto"/>
            </w:tcBorders>
            <w:shd w:val="clear" w:color="auto" w:fill="000000"/>
          </w:tcPr>
          <w:p>
            <w:pPr>
              <w:spacing w:after="0"/>
              <w:rPr>
                <w:sz w:val="24"/>
                <w:szCs w:val="24"/>
                <w:color w:val="auto"/>
              </w:rPr>
            </w:pPr>
          </w:p>
        </w:tc>
        <w:tc>
          <w:tcPr>
            <w:tcW w:w="124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70 (6)</w:t>
            </w:r>
          </w:p>
        </w:tc>
        <w:tc>
          <w:tcPr>
            <w:tcW w:w="20" w:type="dxa"/>
            <w:vAlign w:val="bottom"/>
            <w:shd w:val="clear" w:color="auto" w:fill="000000"/>
          </w:tcPr>
          <w:p>
            <w:pPr>
              <w:spacing w:after="0"/>
              <w:rPr>
                <w:sz w:val="9"/>
                <w:szCs w:val="9"/>
                <w:color w:val="auto"/>
              </w:rPr>
            </w:pPr>
          </w:p>
        </w:tc>
        <w:tc>
          <w:tcPr>
            <w:tcW w:w="12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82"/>
        </w:trPr>
        <w:tc>
          <w:tcPr>
            <w:tcW w:w="2280" w:type="dxa"/>
            <w:vAlign w:val="bottom"/>
            <w:tcBorders>
              <w:left w:val="single" w:sz="8" w:color="auto"/>
              <w:bottom w:val="single" w:sz="8" w:color="auto"/>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20" w:type="dxa"/>
            <w:vAlign w:val="bottom"/>
            <w:tcBorders>
              <w:bottom w:val="single" w:sz="8" w:color="auto"/>
            </w:tcBorders>
            <w:shd w:val="clear" w:color="auto" w:fill="000000"/>
          </w:tcPr>
          <w:p>
            <w:pPr>
              <w:spacing w:after="0"/>
              <w:rPr>
                <w:sz w:val="15"/>
                <w:szCs w:val="15"/>
                <w:color w:val="auto"/>
              </w:rPr>
            </w:pPr>
          </w:p>
        </w:tc>
        <w:tc>
          <w:tcPr>
            <w:tcW w:w="124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3658235</wp:posOffset>
                </wp:positionH>
                <wp:positionV relativeFrom="paragraph">
                  <wp:posOffset>-814070</wp:posOffset>
                </wp:positionV>
                <wp:extent cx="12065" cy="1524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5" o:spid="_x0000_s1030" style="position:absolute;margin-left:288.0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6290945</wp:posOffset>
                </wp:positionH>
                <wp:positionV relativeFrom="paragraph">
                  <wp:posOffset>-814070</wp:posOffset>
                </wp:positionV>
                <wp:extent cx="12065" cy="1524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6" o:spid="_x0000_s1031" style="position:absolute;margin-left:495.3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6"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1">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ind w:left="360" w:right="36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35" w:lineRule="exact"/>
        <w:rPr>
          <w:sz w:val="20"/>
          <w:szCs w:val="20"/>
          <w:color w:val="auto"/>
        </w:rPr>
      </w:pPr>
    </w:p>
    <w:p>
      <w:pPr>
        <w:ind w:left="360" w:right="360"/>
        <w:spacing w:after="0" w:line="18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(36 confirmed cases, 1 death), Macao SAR (10 confirmed cases) and Taipei and environs (18 confirmed cases).</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both case occurred outside of Spain.</w:t>
      </w:r>
    </w:p>
    <w:p>
      <w:pPr>
        <w:ind w:left="360"/>
        <w:spacing w:after="0" w:line="181"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two of the three cases occurred outside of the United Kingdom.</w:t>
      </w:r>
    </w:p>
    <w:p>
      <w:pPr>
        <w:sectPr>
          <w:pgSz w:w="11920" w:h="16841" w:orient="portrait"/>
          <w:cols w:equalWidth="0" w:num="1">
            <w:col w:w="11180"/>
          </w:cols>
          <w:pgMar w:left="360" w:top="943" w:right="371" w:bottom="1440" w:gutter="0" w:footer="0" w:header="0"/>
        </w:sectPr>
      </w:pPr>
    </w:p>
    <w:bookmarkStart w:id="3" w:name="page4"/>
    <w:bookmarkEnd w:id="3"/>
    <w:p>
      <w:pPr>
        <w:ind w:right="32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(n=144) identified outside of China, by date of onset of symptoms and travel history, 10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8450" cy="3057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6648450" cy="3057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line="236" w:lineRule="auto"/>
        <w:rPr>
          <w:sz w:val="20"/>
          <w:szCs w:val="20"/>
          <w:color w:val="auto"/>
        </w:rPr>
      </w:pPr>
      <w:r>
        <w:rPr>
          <w:rFonts w:ascii="Calibri" w:cs="Calibri" w:eastAsia="Calibri" w:hAnsi="Calibri"/>
          <w:sz w:val="22"/>
          <w:szCs w:val="22"/>
          <w:color w:val="auto"/>
        </w:rPr>
        <w:t>Note for figure 2: Of the 319 cases reported outside China, 16 were detected while asymptomatic. For the remaining 303 cases, information on date of onset is available only for the 144 cases presented in the epidemiologic curve.</w:t>
      </w:r>
    </w:p>
    <w:p>
      <w:pPr>
        <w:spacing w:after="0" w:line="200" w:lineRule="exact"/>
        <w:rPr>
          <w:sz w:val="20"/>
          <w:szCs w:val="20"/>
          <w:color w:val="auto"/>
        </w:rPr>
      </w:pPr>
    </w:p>
    <w:p>
      <w:pPr>
        <w:spacing w:after="0" w:line="395"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(n=319) identified outside of China, by date of reporting and travel history, 10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3810</wp:posOffset>
            </wp:positionV>
            <wp:extent cx="6648450" cy="3304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6648450" cy="3304540"/>
                    </a:xfrm>
                    <a:prstGeom prst="rect">
                      <a:avLst/>
                    </a:prstGeom>
                    <a:noFill/>
                  </pic:spPr>
                </pic:pic>
              </a:graphicData>
            </a:graphic>
          </wp:anchor>
        </w:drawing>
      </w:r>
    </w:p>
    <w:p>
      <w:pPr>
        <w:sectPr>
          <w:pgSz w:w="11920" w:h="16841" w:orient="portrait"/>
          <w:cols w:equalWidth="0" w:num="1">
            <w:col w:w="10420"/>
          </w:cols>
          <w:pgMar w:left="720" w:top="943" w:right="771" w:bottom="1440" w:gutter="0" w:footer="0" w:header="0"/>
        </w:sectPr>
      </w:pPr>
    </w:p>
    <w:bookmarkStart w:id="4" w:name="page5"/>
    <w:bookmarkEnd w:id="4"/>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80" w:hanging="351"/>
        <w:spacing w:after="0" w:line="225"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40" w:hanging="351"/>
        <w:spacing w:after="0" w:line="218"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2019-nCoV, please go to </w:t>
      </w:r>
      <w:hyperlink r:id="rId14">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jc w:val="both"/>
        <w:ind w:left="360" w:right="840" w:hanging="360"/>
        <w:spacing w:after="0" w:line="254"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5">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6" w:lineRule="exact"/>
        <w:rPr>
          <w:rFonts w:ascii="Calibri" w:cs="Calibri" w:eastAsia="Calibri" w:hAnsi="Calibri"/>
          <w:sz w:val="22"/>
          <w:szCs w:val="22"/>
          <w:color w:val="auto"/>
        </w:rPr>
      </w:pPr>
    </w:p>
    <w:p>
      <w:pPr>
        <w:ind w:left="360" w:right="200" w:hanging="360"/>
        <w:spacing w:after="0" w:line="264"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6">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60" w:hanging="360"/>
        <w:spacing w:after="0" w:line="236"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right="20" w:hanging="360"/>
        <w:spacing w:after="0" w:line="265"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7">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8">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9">
        <w:r>
          <w:rPr>
            <w:rFonts w:ascii="Calibri" w:cs="Calibri" w:eastAsia="Calibri" w:hAnsi="Calibri"/>
            <w:sz w:val="22"/>
            <w:szCs w:val="22"/>
            <w:u w:val="single" w:color="auto"/>
            <w:color w:val="0000FF"/>
          </w:rPr>
          <w:t>clinical management</w:t>
        </w:r>
      </w:hyperlink>
      <w:hyperlink r:id="rId20">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1">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1">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6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00" w:hanging="360"/>
        <w:spacing w:after="0" w:line="23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4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6">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360" w:hanging="360"/>
        <w:spacing w:after="0" w:line="254"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-2973070</wp:posOffset>
                </wp:positionV>
                <wp:extent cx="31750" cy="1333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13" o:spid="_x0000_s1038" style="position:absolute;margin-left:202.95pt;margin-top:-234.09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60"/>
          </w:cols>
          <w:pgMar w:left="720" w:top="1440" w:right="731" w:bottom="246" w:gutter="0" w:footer="0" w:header="0"/>
        </w:sectPr>
      </w:pPr>
    </w:p>
    <w:bookmarkStart w:id="5" w:name="page6"/>
    <w:bookmarkEnd w:id="5"/>
    <w:p>
      <w:pPr>
        <w:ind w:left="36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27">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360" w:right="32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2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5" w:lineRule="exact"/>
        <w:rPr>
          <w:sz w:val="20"/>
          <w:szCs w:val="20"/>
          <w:color w:val="auto"/>
        </w:rPr>
      </w:pPr>
    </w:p>
    <w:p>
      <w:pPr>
        <w:ind w:right="56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6" w:lineRule="exact"/>
        <w:rPr>
          <w:sz w:val="20"/>
          <w:szCs w:val="20"/>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7" w:lineRule="exact"/>
        <w:rPr>
          <w:rFonts w:ascii="Arial" w:cs="Arial" w:eastAsia="Arial" w:hAnsi="Arial"/>
          <w:sz w:val="22"/>
          <w:szCs w:val="22"/>
          <w:color w:val="auto"/>
        </w:rPr>
      </w:pPr>
    </w:p>
    <w:p>
      <w:pPr>
        <w:ind w:left="360" w:right="22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2"/>
          <w:szCs w:val="22"/>
          <w:color w:val="auto"/>
        </w:rPr>
      </w:pPr>
    </w:p>
    <w:p>
      <w:pPr>
        <w:ind w:left="360" w:right="120" w:hanging="360"/>
        <w:spacing w:after="0" w:line="23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0" w:lineRule="exact"/>
        <w:rPr>
          <w:sz w:val="20"/>
          <w:szCs w:val="20"/>
          <w:color w:val="auto"/>
        </w:rPr>
      </w:pPr>
    </w:p>
    <w:p>
      <w:pPr>
        <w:jc w:val="both"/>
        <w:ind w:right="20"/>
        <w:spacing w:after="0" w:line="254"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1"/>
      <w:numFmt w:val="decimal"/>
      <w:start w:val="24"/>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9" Type="http://schemas.openxmlformats.org/officeDocument/2006/relationships/hyperlink" Target="https://www.who.int/blueprint/about/en/" TargetMode="External"/><Relationship Id="rId11"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who.int/emergencies/diseases/novel-coronavirus-2019/technical-guidance" TargetMode="External"/><Relationship Id="rId15" Type="http://schemas.openxmlformats.org/officeDocument/2006/relationships/hyperlink" Target="https://www.iata.org/en/programs/safety/health/diseases/#tab-2" TargetMode="External"/><Relationship Id="rId16" Type="http://schemas.openxmlformats.org/officeDocument/2006/relationships/hyperlink" Target="https://www.who.int/publications-detail/the-first-few-x-(ffx)-cases-and-contact-investigation-protocol-for-2019-novel-coronavirus-(2019-ncov)-infection" TargetMode="External"/><Relationship Id="rId17" Type="http://schemas.openxmlformats.org/officeDocument/2006/relationships/hyperlink" Target="https://www.who.int/emergencies/diseases/novel-coronavirus-2019/technical-guidance/laboratory-guidance" TargetMode="External"/><Relationship Id="rId18" Type="http://schemas.openxmlformats.org/officeDocument/2006/relationships/hyperlink" Target="https://www.who.int/publications-detail/advice-on-the-use-of-masks-the-community-during-home-care-and-in-health-care-settings-in-the-context-of-the-novel-coronavirus-(2019-ncov)-outbreak" TargetMode="External"/><Relationship Id="rId19"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publications-detail/infection-prevention-and-control-during-health-care-when-novel-coronavirus-(ncov)-infection-is-suspected" TargetMode="Externa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2020-03-10T16:45:50Z</dcterms:created>
  <dcterms:modified xsi:type="dcterms:W3CDTF">2020-03-10T16:45:50Z</dcterms:modified>
</cp:coreProperties>
</file>