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0"/>
        <w:spacing w:after="0"/>
        <w:rPr>
          <w:sz w:val="20"/>
          <w:szCs w:val="20"/>
          <w:color w:val="auto"/>
        </w:rPr>
      </w:pPr>
      <w:r>
        <w:rPr>
          <w:rFonts w:ascii="Arial" w:cs="Arial" w:eastAsia="Arial" w:hAnsi="Arial"/>
          <w:sz w:val="48"/>
          <w:szCs w:val="48"/>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t>Novel Coronavirus(2019-nCoV)</w:t>
      </w:r>
    </w:p>
    <w:p>
      <w:pPr>
        <w:ind w:left="200"/>
        <w:spacing w:after="0"/>
        <w:rPr>
          <w:sz w:val="20"/>
          <w:szCs w:val="20"/>
          <w:color w:val="auto"/>
        </w:rPr>
      </w:pPr>
      <w:r>
        <w:rPr>
          <w:rFonts w:ascii="Arial" w:cs="Arial" w:eastAsia="Arial" w:hAnsi="Arial"/>
          <w:sz w:val="34"/>
          <w:szCs w:val="34"/>
          <w:b w:val="1"/>
          <w:bCs w:val="1"/>
          <w:color w:val="FFFFFF"/>
        </w:rPr>
        <w:t>Situation Report – 22</w:t>
      </w:r>
    </w:p>
    <w:p>
      <w:pPr>
        <w:spacing w:after="0" w:line="224"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11 February 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4954270</wp:posOffset>
                </wp:positionH>
                <wp:positionV relativeFrom="paragraph">
                  <wp:posOffset>76200</wp:posOffset>
                </wp:positionV>
                <wp:extent cx="2305050" cy="415544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5050" cy="4155440"/>
                        </a:xfrm>
                        <a:prstGeom prst="rect">
                          <a:avLst/>
                        </a:prstGeom>
                        <a:solidFill>
                          <a:srgbClr val="E9E6D7"/>
                        </a:solidFill>
                      </wps:spPr>
                      <wps:bodyPr/>
                    </wps:wsp>
                  </a:graphicData>
                </a:graphic>
              </wp:anchor>
            </w:drawing>
          </mc:Choice>
          <mc:Fallback>
            <w:pict>
              <v:rect id="Shape 2" o:spid="_x0000_s1027" style="position:absolute;margin-left:390.1pt;margin-top:6pt;width:181.5pt;height:32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mc:AlternateContent>
          <mc:Choice Requires="wps">
            <w:drawing>
              <wp:anchor simplePos="0" relativeHeight="251657728" behindDoc="1" locked="0" layoutInCell="0" allowOverlap="1">
                <wp:simplePos x="0" y="0"/>
                <wp:positionH relativeFrom="column">
                  <wp:posOffset>-92075</wp:posOffset>
                </wp:positionH>
                <wp:positionV relativeFrom="paragraph">
                  <wp:posOffset>78105</wp:posOffset>
                </wp:positionV>
                <wp:extent cx="5072380" cy="498157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2380" cy="4981575"/>
                        </a:xfrm>
                        <a:prstGeom prst="rect">
                          <a:avLst/>
                        </a:prstGeom>
                        <a:solidFill>
                          <a:srgbClr val="FFFFFF"/>
                        </a:solidFill>
                      </wps:spPr>
                      <wps:bodyPr/>
                    </wps:wsp>
                  </a:graphicData>
                </a:graphic>
              </wp:anchor>
            </w:drawing>
          </mc:Choice>
          <mc:Fallback>
            <w:pict>
              <v:rect id="Shape 3" o:spid="_x0000_s1028" style="position:absolute;margin-left:-7.2499pt;margin-top:6.15pt;width:399.4pt;height:39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176"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83" w:lineRule="exact"/>
        <w:rPr>
          <w:sz w:val="24"/>
          <w:szCs w:val="24"/>
          <w:color w:val="auto"/>
        </w:rPr>
      </w:pPr>
    </w:p>
    <w:p>
      <w:pPr>
        <w:ind w:left="720" w:hanging="362"/>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No new countries reported cases of 2019-nCoV in the past 24 hours.</w:t>
      </w:r>
    </w:p>
    <w:p>
      <w:pPr>
        <w:spacing w:after="0" w:line="200" w:lineRule="exact"/>
        <w:rPr>
          <w:rFonts w:ascii="Arial" w:cs="Arial" w:eastAsia="Arial" w:hAnsi="Arial"/>
          <w:sz w:val="22"/>
          <w:szCs w:val="22"/>
          <w:color w:val="auto"/>
        </w:rPr>
      </w:pPr>
    </w:p>
    <w:p>
      <w:pPr>
        <w:spacing w:after="0" w:line="271" w:lineRule="exact"/>
        <w:rPr>
          <w:rFonts w:ascii="Arial" w:cs="Arial" w:eastAsia="Arial" w:hAnsi="Arial"/>
          <w:sz w:val="22"/>
          <w:szCs w:val="22"/>
          <w:color w:val="auto"/>
        </w:rPr>
      </w:pPr>
    </w:p>
    <w:p>
      <w:pPr>
        <w:jc w:val="both"/>
        <w:ind w:left="720" w:hanging="362"/>
        <w:spacing w:after="0" w:line="236"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An advanced team is currently in Beijing to prepare an international mission and to determine the questions the international team will want to learn more about: from characteristics of the virus to public health response China put in place to try to contain the virus. The group of international experts, with a range of specializations, will work with Chinese counterparts on increasing understanding of the outbreak to guide global response efforts. Since being notified of the outbreak on 31 December, the WHO Country Office in China, supported by the regional and international offices, has worked to support China, and indeed the world, to scale up the response. A small mission was sent to Wuhan mid-January, and the Director-General visited in January.</w:t>
      </w:r>
    </w:p>
    <w:p>
      <w:pPr>
        <w:spacing w:after="0" w:line="200" w:lineRule="exact"/>
        <w:rPr>
          <w:rFonts w:ascii="Arial" w:cs="Arial" w:eastAsia="Arial" w:hAnsi="Arial"/>
          <w:sz w:val="22"/>
          <w:szCs w:val="22"/>
          <w:color w:val="auto"/>
        </w:rPr>
      </w:pPr>
    </w:p>
    <w:p>
      <w:pPr>
        <w:spacing w:after="0" w:line="272" w:lineRule="exact"/>
        <w:rPr>
          <w:rFonts w:ascii="Arial" w:cs="Arial" w:eastAsia="Arial" w:hAnsi="Arial"/>
          <w:sz w:val="22"/>
          <w:szCs w:val="22"/>
          <w:color w:val="auto"/>
        </w:rPr>
      </w:pPr>
    </w:p>
    <w:p>
      <w:pPr>
        <w:jc w:val="both"/>
        <w:ind w:left="720" w:hanging="362"/>
        <w:spacing w:after="0" w:line="231"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Following WHO </w:t>
      </w:r>
      <w:hyperlink r:id="rId9">
        <w:r>
          <w:rPr>
            <w:rFonts w:ascii="Calibri" w:cs="Calibri" w:eastAsia="Calibri" w:hAnsi="Calibri"/>
            <w:sz w:val="22"/>
            <w:szCs w:val="22"/>
            <w:u w:val="single" w:color="auto"/>
            <w:color w:val="0000FF"/>
          </w:rPr>
          <w:t>best practices</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for naming of new human infectious diseases, which were developed in consultation and collaboration with the World Organisation for Animal Health (OIE) and the Food and Agriculture Organization of the United Nations (FAO), WHO has named the disease COVID-19, short for “coronavirus disease 2019.”</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5"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8" w:lineRule="exact"/>
        <w:rPr>
          <w:sz w:val="24"/>
          <w:szCs w:val="24"/>
          <w:color w:val="auto"/>
        </w:rPr>
      </w:pPr>
    </w:p>
    <w:p>
      <w:pPr>
        <w:ind w:right="200"/>
        <w:spacing w:after="0" w:line="234"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6"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ind w:left="120"/>
        <w:spacing w:after="0"/>
        <w:rPr>
          <w:sz w:val="20"/>
          <w:szCs w:val="20"/>
          <w:color w:val="auto"/>
        </w:rPr>
      </w:pPr>
      <w:r>
        <w:rPr>
          <w:rFonts w:ascii="Calibri" w:cs="Calibri" w:eastAsia="Calibri" w:hAnsi="Calibri"/>
          <w:sz w:val="24"/>
          <w:szCs w:val="24"/>
          <w:color w:val="FF6600"/>
        </w:rPr>
        <w:t>43 103 confirmed (2560 new)</w:t>
      </w:r>
    </w:p>
    <w:p>
      <w:pPr>
        <w:spacing w:after="0" w:line="292"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ind w:left="120"/>
        <w:spacing w:after="0"/>
        <w:rPr>
          <w:sz w:val="20"/>
          <w:szCs w:val="20"/>
          <w:color w:val="auto"/>
        </w:rPr>
      </w:pPr>
      <w:r>
        <w:rPr>
          <w:rFonts w:ascii="Calibri" w:cs="Calibri" w:eastAsia="Calibri" w:hAnsi="Calibri"/>
          <w:sz w:val="24"/>
          <w:szCs w:val="24"/>
          <w:color w:val="FF6600"/>
        </w:rPr>
        <w:t>42 708 confirmed (2484 new)</w:t>
      </w:r>
    </w:p>
    <w:p>
      <w:pPr>
        <w:ind w:left="280"/>
        <w:spacing w:after="0"/>
        <w:rPr>
          <w:sz w:val="20"/>
          <w:szCs w:val="20"/>
          <w:color w:val="auto"/>
        </w:rPr>
      </w:pPr>
      <w:r>
        <w:rPr>
          <w:rFonts w:ascii="Calibri" w:cs="Calibri" w:eastAsia="Calibri" w:hAnsi="Calibri"/>
          <w:sz w:val="24"/>
          <w:szCs w:val="24"/>
          <w:color w:val="FF6600"/>
        </w:rPr>
        <w:t>7333 severe (849 new)</w:t>
      </w:r>
    </w:p>
    <w:p>
      <w:pPr>
        <w:ind w:left="380"/>
        <w:spacing w:after="0"/>
        <w:rPr>
          <w:sz w:val="20"/>
          <w:szCs w:val="20"/>
          <w:color w:val="auto"/>
        </w:rPr>
      </w:pPr>
      <w:r>
        <w:rPr>
          <w:rFonts w:ascii="Calibri" w:cs="Calibri" w:eastAsia="Calibri" w:hAnsi="Calibri"/>
          <w:sz w:val="24"/>
          <w:szCs w:val="24"/>
          <w:color w:val="FF6600"/>
        </w:rPr>
        <w:t>1017 deaths (108 new)</w:t>
      </w:r>
    </w:p>
    <w:p>
      <w:pPr>
        <w:spacing w:after="0" w:line="295" w:lineRule="exact"/>
        <w:rPr>
          <w:sz w:val="24"/>
          <w:szCs w:val="24"/>
          <w:color w:val="auto"/>
        </w:rPr>
      </w:pPr>
    </w:p>
    <w:p>
      <w:pPr>
        <w:ind w:left="180"/>
        <w:spacing w:after="0"/>
        <w:rPr>
          <w:sz w:val="20"/>
          <w:szCs w:val="20"/>
          <w:color w:val="auto"/>
        </w:rPr>
      </w:pPr>
      <w:r>
        <w:rPr>
          <w:rFonts w:ascii="Calibri" w:cs="Calibri" w:eastAsia="Calibri" w:hAnsi="Calibri"/>
          <w:sz w:val="24"/>
          <w:szCs w:val="24"/>
          <w:b w:val="1"/>
          <w:bCs w:val="1"/>
          <w:color w:val="FF6600"/>
        </w:rPr>
        <w:t>Outside of China</w:t>
      </w:r>
    </w:p>
    <w:p>
      <w:pPr>
        <w:ind w:left="440"/>
        <w:spacing w:after="0"/>
        <w:rPr>
          <w:sz w:val="20"/>
          <w:szCs w:val="20"/>
          <w:color w:val="auto"/>
        </w:rPr>
      </w:pPr>
      <w:r>
        <w:rPr>
          <w:rFonts w:ascii="Calibri" w:cs="Calibri" w:eastAsia="Calibri" w:hAnsi="Calibri"/>
          <w:sz w:val="24"/>
          <w:szCs w:val="24"/>
          <w:color w:val="FF6600"/>
        </w:rPr>
        <w:t>395 confirmed (76 new)</w:t>
      </w:r>
    </w:p>
    <w:p>
      <w:pPr>
        <w:ind w:left="840" w:hanging="288"/>
        <w:spacing w:after="0"/>
        <w:tabs>
          <w:tab w:leader="none" w:pos="840" w:val="left"/>
        </w:tabs>
        <w:numPr>
          <w:ilvl w:val="0"/>
          <w:numId w:val="2"/>
        </w:numPr>
        <w:rPr>
          <w:rFonts w:ascii="Calibri" w:cs="Calibri" w:eastAsia="Calibri" w:hAnsi="Calibri"/>
          <w:sz w:val="24"/>
          <w:szCs w:val="24"/>
          <w:color w:val="FF6600"/>
        </w:rPr>
      </w:pPr>
      <w:r>
        <w:rPr>
          <w:rFonts w:ascii="Calibri" w:cs="Calibri" w:eastAsia="Calibri" w:hAnsi="Calibri"/>
          <w:sz w:val="24"/>
          <w:szCs w:val="24"/>
          <w:color w:val="FF6600"/>
        </w:rPr>
        <w:t>countries</w:t>
      </w:r>
    </w:p>
    <w:p>
      <w:pPr>
        <w:ind w:left="720"/>
        <w:spacing w:after="0"/>
        <w:rPr>
          <w:rFonts w:ascii="Calibri" w:cs="Calibri" w:eastAsia="Calibri" w:hAnsi="Calibri"/>
          <w:sz w:val="24"/>
          <w:szCs w:val="24"/>
          <w:color w:val="FF6600"/>
        </w:rPr>
      </w:pPr>
      <w:r>
        <w:rPr>
          <w:rFonts w:ascii="Calibri" w:cs="Calibri" w:eastAsia="Calibri" w:hAnsi="Calibri"/>
          <w:sz w:val="24"/>
          <w:szCs w:val="24"/>
          <w:color w:val="FF6600"/>
        </w:rPr>
        <w:t>1 death</w:t>
      </w:r>
    </w:p>
    <w:p>
      <w:pPr>
        <w:spacing w:after="0" w:line="292" w:lineRule="exact"/>
        <w:rPr>
          <w:sz w:val="24"/>
          <w:szCs w:val="24"/>
          <w:color w:val="auto"/>
        </w:rPr>
      </w:pPr>
    </w:p>
    <w:p>
      <w:pPr>
        <w:jc w:val="center"/>
        <w:ind w:right="38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sz w:val="24"/>
          <w:szCs w:val="24"/>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sz w:val="24"/>
          <w:szCs w:val="24"/>
          <w:color w:val="auto"/>
        </w:rPr>
      </w:pPr>
    </w:p>
    <w:p>
      <w:pPr>
        <w:sectPr>
          <w:pgSz w:w="11920" w:h="16841" w:orient="portrait"/>
          <w:cols w:equalWidth="0" w:num="2">
            <w:col w:w="7600" w:space="340"/>
            <w:col w:w="3000"/>
          </w:cols>
          <w:pgMar w:left="400" w:top="520" w:right="571"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2" w:lineRule="exact"/>
        <w:rPr>
          <w:sz w:val="24"/>
          <w:szCs w:val="24"/>
          <w:color w:val="auto"/>
        </w:rPr>
      </w:pPr>
    </w:p>
    <w:p>
      <w:pPr>
        <w:ind w:left="480"/>
        <w:spacing w:after="0"/>
        <w:rPr>
          <w:sz w:val="20"/>
          <w:szCs w:val="20"/>
          <w:color w:val="auto"/>
        </w:rPr>
      </w:pPr>
      <w:r>
        <w:rPr>
          <w:rFonts w:ascii="Calibri" w:cs="Calibri" w:eastAsia="Calibri" w:hAnsi="Calibri"/>
          <w:sz w:val="22"/>
          <w:szCs w:val="22"/>
          <w:b w:val="1"/>
          <w:bCs w:val="1"/>
          <w:color w:val="007AB0"/>
        </w:rPr>
        <w:t>Figure 1. Countries, territories or areas with reported confirmed cases of 2019-nCoV, 11 February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305435</wp:posOffset>
            </wp:positionH>
            <wp:positionV relativeFrom="paragraph">
              <wp:posOffset>224790</wp:posOffset>
            </wp:positionV>
            <wp:extent cx="6447155" cy="36302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6447155" cy="36302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0" w:lineRule="exact"/>
        <w:rPr>
          <w:sz w:val="24"/>
          <w:szCs w:val="24"/>
          <w:color w:val="auto"/>
        </w:rPr>
      </w:pPr>
    </w:p>
    <w:p>
      <w:pPr>
        <w:ind w:left="280"/>
        <w:spacing w:after="0"/>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w:t>
      </w:r>
    </w:p>
    <w:p>
      <w:pPr>
        <w:sectPr>
          <w:pgSz w:w="11920" w:h="16841" w:orient="portrait"/>
          <w:cols w:equalWidth="0" w:num="1">
            <w:col w:w="10940"/>
          </w:cols>
          <w:pgMar w:left="400" w:top="520" w:right="571" w:bottom="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TECHNICAL FOCUS: Zoonotic component of 2019-nCoV and human-animal interface</w:t>
      </w:r>
    </w:p>
    <w:p>
      <w:pPr>
        <w:spacing w:after="0" w:line="296" w:lineRule="exact"/>
        <w:rPr>
          <w:sz w:val="20"/>
          <w:szCs w:val="20"/>
          <w:color w:val="auto"/>
        </w:rPr>
      </w:pPr>
    </w:p>
    <w:p>
      <w:pPr>
        <w:ind w:right="60"/>
        <w:spacing w:after="0" w:line="232" w:lineRule="auto"/>
        <w:rPr>
          <w:sz w:val="20"/>
          <w:szCs w:val="20"/>
          <w:color w:val="auto"/>
        </w:rPr>
      </w:pPr>
      <w:r>
        <w:rPr>
          <w:rFonts w:ascii="Calibri" w:cs="Calibri" w:eastAsia="Calibri" w:hAnsi="Calibri"/>
          <w:sz w:val="22"/>
          <w:szCs w:val="22"/>
          <w:color w:val="auto"/>
        </w:rPr>
        <w:t>Increasing evidences demonstrate the link between the 2019-nCoV and other similar known coronaviruses (CoV) circulating in bats, and more specifically those of the Rhinolophus bat sub-species. These sub-species are abundant and widely present in Southern China, and across Asia, the Middle East, Africa and Europe. Recent studies indicate that more than 500 CoVs have been identified in bats in China. To be noted that serological studies conducted in rural population living close to bats natural habitat in caves revealed a 2.9% bat-CoV seroprevalence, demonstrating that humans exposure to bat-CoVs might be common.</w:t>
      </w:r>
      <w:r>
        <w:rPr>
          <w:rFonts w:ascii="Calibri" w:cs="Calibri" w:eastAsia="Calibri" w:hAnsi="Calibri"/>
          <w:sz w:val="27"/>
          <w:szCs w:val="27"/>
          <w:color w:val="auto"/>
          <w:vertAlign w:val="superscript"/>
        </w:rPr>
        <w:t>1</w:t>
      </w:r>
    </w:p>
    <w:p>
      <w:pPr>
        <w:spacing w:after="0" w:line="265" w:lineRule="exact"/>
        <w:rPr>
          <w:sz w:val="20"/>
          <w:szCs w:val="20"/>
          <w:color w:val="auto"/>
        </w:rPr>
      </w:pPr>
    </w:p>
    <w:p>
      <w:pPr>
        <w:ind w:right="100"/>
        <w:spacing w:after="0" w:line="209" w:lineRule="auto"/>
        <w:rPr>
          <w:sz w:val="20"/>
          <w:szCs w:val="20"/>
          <w:color w:val="auto"/>
        </w:rPr>
      </w:pPr>
      <w:r>
        <w:rPr>
          <w:rFonts w:ascii="Calibri" w:cs="Calibri" w:eastAsia="Calibri" w:hAnsi="Calibri"/>
          <w:sz w:val="22"/>
          <w:szCs w:val="22"/>
          <w:color w:val="auto"/>
        </w:rPr>
        <w:t>However, the route of transmission to humans at the start of this event remains unclear. Bats are rare in markets in China but hunted and sold directly to restaurants for food.</w:t>
      </w:r>
      <w:r>
        <w:rPr>
          <w:rFonts w:ascii="Calibri" w:cs="Calibri" w:eastAsia="Calibri" w:hAnsi="Calibri"/>
          <w:sz w:val="27"/>
          <w:szCs w:val="27"/>
          <w:color w:val="auto"/>
          <w:vertAlign w:val="superscript"/>
        </w:rPr>
        <w:t>2</w:t>
      </w:r>
      <w:r>
        <w:rPr>
          <w:rFonts w:ascii="Calibri" w:cs="Calibri" w:eastAsia="Calibri" w:hAnsi="Calibri"/>
          <w:sz w:val="22"/>
          <w:szCs w:val="22"/>
          <w:color w:val="auto"/>
        </w:rPr>
        <w:t xml:space="preserve"> The current most likely hypothesis is that an intermediary host animal has played a role in the transmission.</w:t>
      </w:r>
    </w:p>
    <w:p>
      <w:pPr>
        <w:spacing w:after="0" w:line="318" w:lineRule="exact"/>
        <w:rPr>
          <w:sz w:val="20"/>
          <w:szCs w:val="20"/>
          <w:color w:val="auto"/>
        </w:rPr>
      </w:pPr>
    </w:p>
    <w:p>
      <w:pPr>
        <w:spacing w:after="0" w:line="234" w:lineRule="auto"/>
        <w:rPr>
          <w:sz w:val="20"/>
          <w:szCs w:val="20"/>
          <w:color w:val="auto"/>
        </w:rPr>
      </w:pPr>
      <w:r>
        <w:rPr>
          <w:rFonts w:ascii="Calibri" w:cs="Calibri" w:eastAsia="Calibri" w:hAnsi="Calibri"/>
          <w:sz w:val="22"/>
          <w:szCs w:val="22"/>
          <w:color w:val="auto"/>
        </w:rPr>
        <w:t>Both Chinese and external expert groups are working in trying to identify the animal source of this new virus. Identifying the animal source of the 2019-nCoV would help to ensure that there will be no further future similar outbreaks with the same virus and will also help understanding the initial spread of the disease in the Wuhan area. It would also increase our understanding of the virus and help us understand how these viruses jump from animals to humans. Thus, providing critical knowledge on how to protect us from future similar events. In this regard, strengthening food control and market hygiene activities in live food market will be essential to protect people from similar and other zoonotic diseases.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5734050</wp:posOffset>
                </wp:positionV>
                <wp:extent cx="18294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1.5pt" to="144.05pt,451.5pt" o:allowincell="f" strokecolor="#000000" strokeweight="0.5999pt"/>
            </w:pict>
          </mc:Fallback>
        </mc:AlternateContent>
      </w:r>
    </w:p>
    <w:p>
      <w:pPr>
        <w:sectPr>
          <w:pgSz w:w="11920" w:h="16841" w:orient="portrait"/>
          <w:cols w:equalWidth="0" w:num="1">
            <w:col w:w="10420"/>
          </w:cols>
          <w:pgMar w:left="720" w:top="899" w:right="771" w:bottom="15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right="80"/>
        <w:spacing w:after="0" w:line="207" w:lineRule="auto"/>
        <w:tabs>
          <w:tab w:leader="none" w:pos="96" w:val="left"/>
        </w:tabs>
        <w:numPr>
          <w:ilvl w:val="0"/>
          <w:numId w:val="3"/>
        </w:numPr>
        <w:rPr>
          <w:rFonts w:ascii="Arial" w:cs="Arial" w:eastAsia="Arial" w:hAnsi="Arial"/>
          <w:sz w:val="20"/>
          <w:szCs w:val="20"/>
          <w:color w:val="auto"/>
          <w:vertAlign w:val="superscript"/>
        </w:rPr>
      </w:pPr>
      <w:r>
        <w:rPr>
          <w:rFonts w:ascii="Arial" w:cs="Arial" w:eastAsia="Arial" w:hAnsi="Arial"/>
          <w:sz w:val="16"/>
          <w:szCs w:val="16"/>
          <w:color w:val="222222"/>
        </w:rPr>
        <w:t xml:space="preserve">Wang, N., Li, S.Y., Yang, X.L., Huang, H.M., Zhang, Y.J., Guo, H., Luo, C.M., Miller, M., Zhu, G., Chmura, A.A. and Hagan, E., 2018. Serological evidence of bat SARS-related coronavirus infection in humans, China. </w:t>
      </w:r>
      <w:r>
        <w:rPr>
          <w:rFonts w:ascii="Arial" w:cs="Arial" w:eastAsia="Arial" w:hAnsi="Arial"/>
          <w:sz w:val="16"/>
          <w:szCs w:val="16"/>
          <w:i w:val="1"/>
          <w:iCs w:val="1"/>
          <w:color w:val="222222"/>
        </w:rPr>
        <w:t>Virologica Sinica</w:t>
      </w:r>
      <w:r>
        <w:rPr>
          <w:rFonts w:ascii="Arial" w:cs="Arial" w:eastAsia="Arial" w:hAnsi="Arial"/>
          <w:sz w:val="16"/>
          <w:szCs w:val="16"/>
          <w:color w:val="222222"/>
        </w:rPr>
        <w:t xml:space="preserve">, </w:t>
      </w:r>
      <w:r>
        <w:rPr>
          <w:rFonts w:ascii="Arial" w:cs="Arial" w:eastAsia="Arial" w:hAnsi="Arial"/>
          <w:sz w:val="16"/>
          <w:szCs w:val="16"/>
          <w:i w:val="1"/>
          <w:iCs w:val="1"/>
          <w:color w:val="222222"/>
        </w:rPr>
        <w:t>33</w:t>
      </w:r>
      <w:r>
        <w:rPr>
          <w:rFonts w:ascii="Arial" w:cs="Arial" w:eastAsia="Arial" w:hAnsi="Arial"/>
          <w:sz w:val="16"/>
          <w:szCs w:val="16"/>
          <w:color w:val="222222"/>
        </w:rPr>
        <w:t>(1), pp.104-107.</w:t>
      </w:r>
    </w:p>
    <w:p>
      <w:pPr>
        <w:spacing w:after="0" w:line="10" w:lineRule="exact"/>
        <w:rPr>
          <w:rFonts w:ascii="Arial" w:cs="Arial" w:eastAsia="Arial" w:hAnsi="Arial"/>
          <w:sz w:val="20"/>
          <w:szCs w:val="20"/>
          <w:color w:val="auto"/>
          <w:vertAlign w:val="superscript"/>
        </w:rPr>
      </w:pPr>
    </w:p>
    <w:p>
      <w:pPr>
        <w:ind w:right="600"/>
        <w:spacing w:after="0" w:line="209" w:lineRule="auto"/>
        <w:tabs>
          <w:tab w:leader="none" w:pos="101" w:val="left"/>
        </w:tabs>
        <w:numPr>
          <w:ilvl w:val="0"/>
          <w:numId w:val="3"/>
        </w:numPr>
        <w:rPr>
          <w:rFonts w:ascii="Arial" w:cs="Arial" w:eastAsia="Arial" w:hAnsi="Arial"/>
          <w:sz w:val="20"/>
          <w:szCs w:val="20"/>
          <w:color w:val="auto"/>
          <w:vertAlign w:val="superscript"/>
        </w:rPr>
      </w:pPr>
      <w:r>
        <w:rPr>
          <w:rFonts w:ascii="Arial" w:cs="Arial" w:eastAsia="Arial" w:hAnsi="Arial"/>
          <w:sz w:val="16"/>
          <w:szCs w:val="16"/>
          <w:color w:val="222222"/>
        </w:rPr>
        <w:t xml:space="preserve">Li, H., Mendelsohn, E., Zong, C., Zhang, W., Hagan, E., Wang, N., Li, S., Yan, H., Huang, H., Zhu, G. and Ross, N., 2019. Human-animal interactions and bat coronavirus spillover potential among rural residents in Southern China. </w:t>
      </w:r>
      <w:r>
        <w:rPr>
          <w:rFonts w:ascii="Arial" w:cs="Arial" w:eastAsia="Arial" w:hAnsi="Arial"/>
          <w:sz w:val="16"/>
          <w:szCs w:val="16"/>
          <w:i w:val="1"/>
          <w:iCs w:val="1"/>
          <w:color w:val="222222"/>
        </w:rPr>
        <w:t>Biosafety and Health</w:t>
      </w:r>
      <w:r>
        <w:rPr>
          <w:rFonts w:ascii="Arial" w:cs="Arial" w:eastAsia="Arial" w:hAnsi="Arial"/>
          <w:sz w:val="16"/>
          <w:szCs w:val="16"/>
          <w:color w:val="222222"/>
        </w:rPr>
        <w:t xml:space="preserve">, </w:t>
      </w:r>
      <w:r>
        <w:rPr>
          <w:rFonts w:ascii="Arial" w:cs="Arial" w:eastAsia="Arial" w:hAnsi="Arial"/>
          <w:sz w:val="16"/>
          <w:szCs w:val="16"/>
          <w:i w:val="1"/>
          <w:iCs w:val="1"/>
          <w:color w:val="222222"/>
        </w:rPr>
        <w:t>1</w:t>
      </w:r>
      <w:r>
        <w:rPr>
          <w:rFonts w:ascii="Arial" w:cs="Arial" w:eastAsia="Arial" w:hAnsi="Arial"/>
          <w:sz w:val="16"/>
          <w:szCs w:val="16"/>
          <w:color w:val="222222"/>
        </w:rPr>
        <w:t>(2), pp.84-90.</w:t>
      </w:r>
    </w:p>
    <w:p>
      <w:pPr>
        <w:sectPr>
          <w:pgSz w:w="11920" w:h="16841" w:orient="portrait"/>
          <w:cols w:equalWidth="0" w:num="1">
            <w:col w:w="10420"/>
          </w:cols>
          <w:pgMar w:left="720" w:top="899" w:right="771" w:bottom="155" w:gutter="0" w:footer="0" w:header="0"/>
          <w:type w:val="continuous"/>
        </w:sectPr>
      </w:pPr>
    </w:p>
    <w:bookmarkStart w:id="2" w:name="page3"/>
    <w:bookmarkEnd w:id="2"/>
    <w:p>
      <w:pPr>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spacing w:after="0" w:line="218" w:lineRule="auto"/>
        <w:rPr>
          <w:sz w:val="20"/>
          <w:szCs w:val="20"/>
          <w:color w:val="auto"/>
        </w:rPr>
      </w:pPr>
      <w:r>
        <w:rPr>
          <w:rFonts w:ascii="Calibri" w:cs="Calibri" w:eastAsia="Calibri" w:hAnsi="Calibri"/>
          <w:sz w:val="22"/>
          <w:szCs w:val="22"/>
          <w:b w:val="1"/>
          <w:bCs w:val="1"/>
          <w:color w:val="007AB0"/>
        </w:rPr>
        <w:t>Table 1. Confirmed cases of 2019-nCoV acute respiratory disease reported by provinces, regions and cities in China, 11 February 2020</w:t>
      </w:r>
    </w:p>
    <w:p>
      <w:pPr>
        <w:spacing w:after="0" w:line="153" w:lineRule="exact"/>
        <w:rPr>
          <w:sz w:val="20"/>
          <w:szCs w:val="20"/>
          <w:color w:val="auto"/>
        </w:rPr>
      </w:pPr>
    </w:p>
    <w:tbl>
      <w:tblPr>
        <w:tblLayout w:type="fixed"/>
        <w:tblInd w:w="10" w:type="dxa"/>
        <w:tblCellMar>
          <w:top w:w="0" w:type="dxa"/>
          <w:left w:w="0" w:type="dxa"/>
          <w:bottom w:w="0" w:type="dxa"/>
          <w:right w:w="0" w:type="dxa"/>
        </w:tblCellMar>
      </w:tblPr>
      <w:tr>
        <w:trPr>
          <w:trHeight w:val="270"/>
        </w:trPr>
        <w:tc>
          <w:tcPr>
            <w:tcW w:w="4640" w:type="dxa"/>
            <w:vAlign w:val="bottom"/>
            <w:tcBorders>
              <w:left w:val="single" w:sz="8" w:color="4F81BD"/>
              <w:right w:val="single" w:sz="8" w:color="4F81BD"/>
            </w:tcBorders>
            <w:shd w:val="clear" w:color="auto" w:fill="4F81BD"/>
          </w:tcPr>
          <w:p>
            <w:pPr>
              <w:ind w:left="120"/>
              <w:spacing w:after="0"/>
              <w:rPr>
                <w:sz w:val="20"/>
                <w:szCs w:val="20"/>
                <w:color w:val="auto"/>
              </w:rPr>
            </w:pPr>
            <w:r>
              <w:rPr>
                <w:rFonts w:ascii="Arial" w:cs="Arial" w:eastAsia="Arial" w:hAnsi="Arial"/>
                <w:sz w:val="22"/>
                <w:szCs w:val="22"/>
                <w:b w:val="1"/>
                <w:bCs w:val="1"/>
                <w:color w:val="FFFFFF"/>
              </w:rPr>
              <w:t>Province/Region/City</w:t>
            </w:r>
          </w:p>
        </w:tc>
        <w:tc>
          <w:tcPr>
            <w:tcW w:w="4980" w:type="dxa"/>
            <w:vAlign w:val="bottom"/>
            <w:tcBorders>
              <w:right w:val="single" w:sz="8" w:color="4F81BD"/>
            </w:tcBorders>
            <w:shd w:val="clear" w:color="auto" w:fill="4F81BD"/>
          </w:tcPr>
          <w:p>
            <w:pPr>
              <w:ind w:left="1560"/>
              <w:spacing w:after="0"/>
              <w:rPr>
                <w:sz w:val="20"/>
                <w:szCs w:val="20"/>
                <w:color w:val="auto"/>
              </w:rPr>
            </w:pPr>
            <w:r>
              <w:rPr>
                <w:rFonts w:ascii="Arial" w:cs="Arial" w:eastAsia="Arial" w:hAnsi="Arial"/>
                <w:sz w:val="22"/>
                <w:szCs w:val="22"/>
                <w:b w:val="1"/>
                <w:bCs w:val="1"/>
                <w:color w:val="FFFFFF"/>
              </w:rPr>
              <w:t>Confirmed Cases</w:t>
            </w:r>
          </w:p>
        </w:tc>
      </w:tr>
      <w:tr>
        <w:trPr>
          <w:trHeight w:val="267"/>
        </w:trPr>
        <w:tc>
          <w:tcPr>
            <w:tcW w:w="4640" w:type="dxa"/>
            <w:vAlign w:val="bottom"/>
            <w:tcBorders>
              <w:left w:val="single" w:sz="8" w:color="95B3D7"/>
              <w:bottom w:val="single" w:sz="8" w:color="95B3D7"/>
              <w:right w:val="single" w:sz="8" w:color="95B3D7"/>
            </w:tcBorders>
            <w:shd w:val="clear" w:color="auto" w:fill="DBE5F1"/>
          </w:tcPr>
          <w:p>
            <w:pPr>
              <w:ind w:left="120"/>
              <w:spacing w:after="0" w:line="263" w:lineRule="exact"/>
              <w:rPr>
                <w:sz w:val="20"/>
                <w:szCs w:val="20"/>
                <w:color w:val="auto"/>
              </w:rPr>
            </w:pPr>
            <w:r>
              <w:rPr>
                <w:rFonts w:ascii="Calibri" w:cs="Calibri" w:eastAsia="Calibri" w:hAnsi="Calibri"/>
                <w:sz w:val="22"/>
                <w:szCs w:val="22"/>
                <w:color w:val="auto"/>
              </w:rPr>
              <w:t>Hubei</w:t>
            </w:r>
          </w:p>
        </w:tc>
        <w:tc>
          <w:tcPr>
            <w:tcW w:w="4980" w:type="dxa"/>
            <w:vAlign w:val="bottom"/>
            <w:tcBorders>
              <w:bottom w:val="single" w:sz="8" w:color="95B3D7"/>
              <w:right w:val="single" w:sz="8" w:color="95B3D7"/>
            </w:tcBorders>
            <w:shd w:val="clear" w:color="auto" w:fill="DBE5F1"/>
          </w:tcPr>
          <w:p>
            <w:pPr>
              <w:jc w:val="center"/>
              <w:spacing w:after="0" w:line="263" w:lineRule="exact"/>
              <w:rPr>
                <w:sz w:val="20"/>
                <w:szCs w:val="20"/>
                <w:color w:val="auto"/>
              </w:rPr>
            </w:pPr>
            <w:r>
              <w:rPr>
                <w:rFonts w:ascii="Calibri" w:cs="Calibri" w:eastAsia="Calibri" w:hAnsi="Calibri"/>
                <w:sz w:val="22"/>
                <w:szCs w:val="22"/>
                <w:color w:val="auto"/>
              </w:rPr>
              <w:t>31728</w:t>
            </w:r>
          </w:p>
        </w:tc>
      </w:tr>
      <w:tr>
        <w:trPr>
          <w:trHeight w:val="261"/>
        </w:trPr>
        <w:tc>
          <w:tcPr>
            <w:tcW w:w="4640" w:type="dxa"/>
            <w:vAlign w:val="bottom"/>
            <w:tcBorders>
              <w:left w:val="single" w:sz="8" w:color="95B3D7"/>
              <w:bottom w:val="single" w:sz="8" w:color="95B3D7"/>
              <w:right w:val="single" w:sz="8" w:color="95B3D7"/>
            </w:tcBorders>
          </w:tcPr>
          <w:p>
            <w:pPr>
              <w:ind w:left="120"/>
              <w:spacing w:after="0" w:line="258" w:lineRule="exact"/>
              <w:rPr>
                <w:sz w:val="20"/>
                <w:szCs w:val="20"/>
                <w:color w:val="auto"/>
              </w:rPr>
            </w:pPr>
            <w:r>
              <w:rPr>
                <w:rFonts w:ascii="Calibri" w:cs="Calibri" w:eastAsia="Calibri" w:hAnsi="Calibri"/>
                <w:sz w:val="22"/>
                <w:szCs w:val="22"/>
                <w:color w:val="auto"/>
              </w:rPr>
              <w:t>Guangdong</w:t>
            </w:r>
          </w:p>
        </w:tc>
        <w:tc>
          <w:tcPr>
            <w:tcW w:w="4980" w:type="dxa"/>
            <w:vAlign w:val="bottom"/>
            <w:tcBorders>
              <w:bottom w:val="single" w:sz="8" w:color="95B3D7"/>
              <w:right w:val="single" w:sz="8" w:color="95B3D7"/>
            </w:tcBorders>
          </w:tcPr>
          <w:p>
            <w:pPr>
              <w:jc w:val="center"/>
              <w:spacing w:after="0" w:line="258" w:lineRule="exact"/>
              <w:rPr>
                <w:sz w:val="20"/>
                <w:szCs w:val="20"/>
                <w:color w:val="auto"/>
              </w:rPr>
            </w:pPr>
            <w:r>
              <w:rPr>
                <w:rFonts w:ascii="Calibri" w:cs="Calibri" w:eastAsia="Calibri" w:hAnsi="Calibri"/>
                <w:sz w:val="22"/>
                <w:szCs w:val="22"/>
                <w:color w:val="auto"/>
              </w:rPr>
              <w:t>1177</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Zhejiang</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1117</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Henan</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1105</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Hunan</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912</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Anhui</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860</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Jiangxi</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804</w:t>
            </w:r>
          </w:p>
        </w:tc>
      </w:tr>
      <w:tr>
        <w:trPr>
          <w:trHeight w:val="257"/>
        </w:trPr>
        <w:tc>
          <w:tcPr>
            <w:tcW w:w="4640" w:type="dxa"/>
            <w:vAlign w:val="bottom"/>
            <w:tcBorders>
              <w:left w:val="single" w:sz="8" w:color="95B3D7"/>
              <w:bottom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Jiangsu</w:t>
            </w:r>
          </w:p>
        </w:tc>
        <w:tc>
          <w:tcPr>
            <w:tcW w:w="4980" w:type="dxa"/>
            <w:vAlign w:val="bottom"/>
            <w:tcBorders>
              <w:bottom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515</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Chongqing</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486</w:t>
            </w:r>
          </w:p>
        </w:tc>
      </w:tr>
      <w:tr>
        <w:trPr>
          <w:trHeight w:val="259"/>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Shandong</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486</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Sichuan</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417</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Heilongjiang</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360</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Beijing</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342</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Shanghai</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302</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Fujian</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267</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Hebei</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239</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Shaanxi</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219</w:t>
            </w:r>
          </w:p>
        </w:tc>
      </w:tr>
      <w:tr>
        <w:trPr>
          <w:trHeight w:val="259"/>
        </w:trPr>
        <w:tc>
          <w:tcPr>
            <w:tcW w:w="4640" w:type="dxa"/>
            <w:vAlign w:val="bottom"/>
            <w:tcBorders>
              <w:left w:val="single" w:sz="8" w:color="95B3D7"/>
              <w:bottom w:val="single" w:sz="8" w:color="95B3D7"/>
              <w:right w:val="single" w:sz="8" w:color="95B3D7"/>
            </w:tcBorders>
          </w:tcPr>
          <w:p>
            <w:pPr>
              <w:ind w:left="120"/>
              <w:spacing w:after="0" w:line="257" w:lineRule="exact"/>
              <w:rPr>
                <w:sz w:val="20"/>
                <w:szCs w:val="20"/>
                <w:color w:val="auto"/>
              </w:rPr>
            </w:pPr>
            <w:r>
              <w:rPr>
                <w:rFonts w:ascii="Calibri" w:cs="Calibri" w:eastAsia="Calibri" w:hAnsi="Calibri"/>
                <w:sz w:val="22"/>
                <w:szCs w:val="22"/>
                <w:color w:val="auto"/>
              </w:rPr>
              <w:t>Guangxi</w:t>
            </w:r>
          </w:p>
        </w:tc>
        <w:tc>
          <w:tcPr>
            <w:tcW w:w="4980" w:type="dxa"/>
            <w:vAlign w:val="bottom"/>
            <w:tcBorders>
              <w:bottom w:val="single" w:sz="8" w:color="95B3D7"/>
              <w:right w:val="single" w:sz="8" w:color="95B3D7"/>
            </w:tcBorders>
          </w:tcPr>
          <w:p>
            <w:pPr>
              <w:jc w:val="center"/>
              <w:spacing w:after="0" w:line="257" w:lineRule="exact"/>
              <w:rPr>
                <w:sz w:val="20"/>
                <w:szCs w:val="20"/>
                <w:color w:val="auto"/>
              </w:rPr>
            </w:pPr>
            <w:r>
              <w:rPr>
                <w:rFonts w:ascii="Calibri" w:cs="Calibri" w:eastAsia="Calibri" w:hAnsi="Calibri"/>
                <w:sz w:val="22"/>
                <w:szCs w:val="22"/>
                <w:color w:val="auto"/>
              </w:rPr>
              <w:t>215</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Yunnan</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149</w:t>
            </w:r>
          </w:p>
        </w:tc>
      </w:tr>
      <w:tr>
        <w:trPr>
          <w:trHeight w:val="257"/>
        </w:trPr>
        <w:tc>
          <w:tcPr>
            <w:tcW w:w="4640" w:type="dxa"/>
            <w:vAlign w:val="bottom"/>
            <w:tcBorders>
              <w:left w:val="single" w:sz="8" w:color="95B3D7"/>
              <w:bottom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Hainan</w:t>
            </w:r>
          </w:p>
        </w:tc>
        <w:tc>
          <w:tcPr>
            <w:tcW w:w="4980" w:type="dxa"/>
            <w:vAlign w:val="bottom"/>
            <w:tcBorders>
              <w:bottom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142</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Shanxi</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122</w:t>
            </w:r>
          </w:p>
        </w:tc>
      </w:tr>
      <w:tr>
        <w:trPr>
          <w:trHeight w:val="259"/>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Guizhou</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118</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Liaoning</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108</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Tianjin</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w w:val="98"/>
              </w:rPr>
              <w:t>96</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Gansu</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w w:val="98"/>
              </w:rPr>
              <w:t>86</w:t>
            </w:r>
          </w:p>
        </w:tc>
      </w:tr>
      <w:tr>
        <w:trPr>
          <w:trHeight w:val="257"/>
        </w:trPr>
        <w:tc>
          <w:tcPr>
            <w:tcW w:w="4640" w:type="dxa"/>
            <w:vAlign w:val="bottom"/>
            <w:tcBorders>
              <w:left w:val="single" w:sz="8" w:color="95B3D7"/>
              <w:bottom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Jilin</w:t>
            </w:r>
          </w:p>
        </w:tc>
        <w:tc>
          <w:tcPr>
            <w:tcW w:w="4980" w:type="dxa"/>
            <w:vAlign w:val="bottom"/>
            <w:tcBorders>
              <w:bottom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81</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Inner Mongolia</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w w:val="98"/>
              </w:rPr>
              <w:t>58</w:t>
            </w:r>
          </w:p>
        </w:tc>
      </w:tr>
      <w:tr>
        <w:trPr>
          <w:trHeight w:val="257"/>
        </w:trPr>
        <w:tc>
          <w:tcPr>
            <w:tcW w:w="4640" w:type="dxa"/>
            <w:vAlign w:val="bottom"/>
            <w:tcBorders>
              <w:left w:val="single" w:sz="8" w:color="95B3D7"/>
              <w:bottom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Xinjiang</w:t>
            </w:r>
          </w:p>
        </w:tc>
        <w:tc>
          <w:tcPr>
            <w:tcW w:w="4980" w:type="dxa"/>
            <w:vAlign w:val="bottom"/>
            <w:tcBorders>
              <w:bottom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55</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Ningxia</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w w:val="98"/>
              </w:rPr>
              <w:t>53</w:t>
            </w:r>
          </w:p>
        </w:tc>
      </w:tr>
      <w:tr>
        <w:trPr>
          <w:trHeight w:val="257"/>
        </w:trPr>
        <w:tc>
          <w:tcPr>
            <w:tcW w:w="4640" w:type="dxa"/>
            <w:vAlign w:val="bottom"/>
            <w:tcBorders>
              <w:left w:val="single" w:sz="8" w:color="95B3D7"/>
              <w:bottom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Hong Kong SAR</w:t>
            </w:r>
          </w:p>
        </w:tc>
        <w:tc>
          <w:tcPr>
            <w:tcW w:w="4980" w:type="dxa"/>
            <w:vAlign w:val="bottom"/>
            <w:tcBorders>
              <w:bottom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42</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Qinghai</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w w:val="98"/>
              </w:rPr>
              <w:t>18</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Taipei and environs</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w w:val="98"/>
              </w:rPr>
              <w:t>18</w:t>
            </w:r>
          </w:p>
        </w:tc>
      </w:tr>
      <w:tr>
        <w:trPr>
          <w:trHeight w:val="261"/>
        </w:trPr>
        <w:tc>
          <w:tcPr>
            <w:tcW w:w="4640" w:type="dxa"/>
            <w:vAlign w:val="bottom"/>
            <w:tcBorders>
              <w:left w:val="single" w:sz="8" w:color="95B3D7"/>
              <w:bottom w:val="single" w:sz="8" w:color="95B3D7"/>
              <w:right w:val="single" w:sz="8" w:color="95B3D7"/>
            </w:tcBorders>
            <w:shd w:val="clear" w:color="auto" w:fill="DBE5F1"/>
          </w:tcPr>
          <w:p>
            <w:pPr>
              <w:ind w:left="120"/>
              <w:spacing w:after="0" w:line="258" w:lineRule="exact"/>
              <w:rPr>
                <w:sz w:val="20"/>
                <w:szCs w:val="20"/>
                <w:color w:val="auto"/>
              </w:rPr>
            </w:pPr>
            <w:r>
              <w:rPr>
                <w:rFonts w:ascii="Calibri" w:cs="Calibri" w:eastAsia="Calibri" w:hAnsi="Calibri"/>
                <w:sz w:val="22"/>
                <w:szCs w:val="22"/>
                <w:color w:val="auto"/>
              </w:rPr>
              <w:t>Macao SAR</w:t>
            </w:r>
          </w:p>
        </w:tc>
        <w:tc>
          <w:tcPr>
            <w:tcW w:w="4980" w:type="dxa"/>
            <w:vAlign w:val="bottom"/>
            <w:tcBorders>
              <w:bottom w:val="single" w:sz="8" w:color="95B3D7"/>
              <w:right w:val="single" w:sz="8" w:color="95B3D7"/>
            </w:tcBorders>
            <w:shd w:val="clear" w:color="auto" w:fill="DBE5F1"/>
          </w:tcPr>
          <w:p>
            <w:pPr>
              <w:jc w:val="center"/>
              <w:spacing w:after="0" w:line="258" w:lineRule="exact"/>
              <w:rPr>
                <w:sz w:val="20"/>
                <w:szCs w:val="20"/>
                <w:color w:val="auto"/>
              </w:rPr>
            </w:pPr>
            <w:r>
              <w:rPr>
                <w:rFonts w:ascii="Calibri" w:cs="Calibri" w:eastAsia="Calibri" w:hAnsi="Calibri"/>
                <w:sz w:val="22"/>
                <w:szCs w:val="22"/>
                <w:color w:val="auto"/>
                <w:w w:val="98"/>
              </w:rPr>
              <w:t>10</w:t>
            </w:r>
          </w:p>
        </w:tc>
      </w:tr>
      <w:tr>
        <w:trPr>
          <w:trHeight w:val="259"/>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Xizang</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b w:val="1"/>
                <w:bCs w:val="1"/>
                <w:color w:val="auto"/>
              </w:rPr>
              <w:t>Total</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b w:val="1"/>
                <w:bCs w:val="1"/>
                <w:color w:val="auto"/>
              </w:rPr>
              <w:t>42 708</w:t>
            </w:r>
          </w:p>
        </w:tc>
      </w:tr>
    </w:tbl>
    <w:p>
      <w:pPr>
        <w:sectPr>
          <w:pgSz w:w="11920" w:h="16841" w:orient="portrait"/>
          <w:cols w:equalWidth="0" w:num="1">
            <w:col w:w="9880"/>
          </w:cols>
          <w:pgMar w:left="720" w:top="899" w:right="1311" w:bottom="1440" w:gutter="0" w:footer="0" w:header="0"/>
        </w:sectPr>
      </w:pPr>
    </w:p>
    <w:bookmarkStart w:id="3" w:name="page4"/>
    <w:bookmarkEnd w:id="3"/>
    <w:p>
      <w:pPr>
        <w:ind w:left="360" w:right="1100"/>
        <w:spacing w:after="0" w:line="218" w:lineRule="auto"/>
        <w:rPr>
          <w:sz w:val="20"/>
          <w:szCs w:val="20"/>
          <w:color w:val="auto"/>
        </w:rPr>
      </w:pPr>
      <w:r>
        <w:rPr>
          <w:rFonts w:ascii="Calibri" w:cs="Calibri" w:eastAsia="Calibri" w:hAnsi="Calibri"/>
          <w:sz w:val="22"/>
          <w:szCs w:val="22"/>
          <w:b w:val="1"/>
          <w:bCs w:val="1"/>
          <w:color w:val="007AB0"/>
        </w:rPr>
        <w:t>Table 2. Countries, territories or areas with reported confirmed 2019-nCoV cases and deaths. Data as of 11 February 2020</w:t>
      </w:r>
    </w:p>
    <w:p>
      <w:pPr>
        <w:spacing w:after="0" w:line="256" w:lineRule="exact"/>
        <w:rPr>
          <w:sz w:val="20"/>
          <w:szCs w:val="20"/>
          <w:color w:val="auto"/>
        </w:rPr>
      </w:pPr>
    </w:p>
    <w:tbl>
      <w:tblPr>
        <w:tblLayout w:type="fixed"/>
        <w:tblInd w:w="10" w:type="dxa"/>
        <w:tblCellMar>
          <w:top w:w="0" w:type="dxa"/>
          <w:left w:w="0" w:type="dxa"/>
          <w:bottom w:w="0" w:type="dxa"/>
          <w:right w:w="0" w:type="dxa"/>
        </w:tblCellMar>
      </w:tblPr>
      <w:tr>
        <w:trPr>
          <w:trHeight w:val="287"/>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shd w:val="clear" w:color="auto" w:fill="4F81BD"/>
          </w:tcPr>
          <w:p>
            <w:pPr>
              <w:spacing w:after="0"/>
              <w:rPr>
                <w:sz w:val="24"/>
                <w:szCs w:val="24"/>
                <w:color w:val="auto"/>
              </w:rPr>
            </w:pP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100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Total</w:t>
            </w:r>
          </w:p>
        </w:tc>
        <w:tc>
          <w:tcPr>
            <w:tcW w:w="162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Total cases with</w:t>
            </w:r>
          </w:p>
        </w:tc>
        <w:tc>
          <w:tcPr>
            <w:tcW w:w="154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Total cases with</w:t>
            </w:r>
          </w:p>
        </w:tc>
        <w:tc>
          <w:tcPr>
            <w:tcW w:w="20" w:type="dxa"/>
            <w:vAlign w:val="bottom"/>
            <w:tcBorders>
              <w:top w:val="single" w:sz="8" w:color="auto"/>
            </w:tcBorders>
          </w:tcPr>
          <w:p>
            <w:pPr>
              <w:spacing w:after="0"/>
              <w:rPr>
                <w:sz w:val="24"/>
                <w:szCs w:val="24"/>
                <w:color w:val="auto"/>
              </w:rPr>
            </w:pPr>
          </w:p>
        </w:tc>
        <w:tc>
          <w:tcPr>
            <w:tcW w:w="1240" w:type="dxa"/>
            <w:vAlign w:val="bottom"/>
            <w:tcBorders>
              <w:top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shd w:val="clear" w:color="auto" w:fill="4F81BD"/>
          </w:tcPr>
          <w:p>
            <w:pPr>
              <w:spacing w:after="0"/>
              <w:rPr>
                <w:sz w:val="23"/>
                <w:szCs w:val="23"/>
                <w:color w:val="auto"/>
              </w:rPr>
            </w:pPr>
          </w:p>
        </w:tc>
        <w:tc>
          <w:tcPr>
            <w:tcW w:w="1260" w:type="dxa"/>
            <w:vAlign w:val="bottom"/>
            <w:tcBorders>
              <w:right w:val="single" w:sz="8" w:color="auto"/>
            </w:tcBorders>
            <w:shd w:val="clear" w:color="auto" w:fill="4F81BD"/>
          </w:tcPr>
          <w:p>
            <w:pPr>
              <w:spacing w:after="0"/>
              <w:rPr>
                <w:sz w:val="23"/>
                <w:szCs w:val="23"/>
                <w:color w:val="auto"/>
              </w:rPr>
            </w:pP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shd w:val="clear" w:color="auto" w:fill="4F81BD"/>
              </w:rPr>
              <w:t>cases with</w:t>
            </w:r>
          </w:p>
        </w:tc>
        <w:tc>
          <w:tcPr>
            <w:tcW w:w="162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possible or</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site of</w:t>
            </w:r>
          </w:p>
        </w:tc>
        <w:tc>
          <w:tcPr>
            <w:tcW w:w="20" w:type="dxa"/>
            <w:vAlign w:val="bottom"/>
          </w:tcPr>
          <w:p>
            <w:pPr>
              <w:spacing w:after="0"/>
              <w:rPr>
                <w:sz w:val="23"/>
                <w:szCs w:val="23"/>
                <w:color w:val="auto"/>
              </w:rPr>
            </w:pPr>
          </w:p>
        </w:tc>
        <w:tc>
          <w:tcPr>
            <w:tcW w:w="1240" w:type="dxa"/>
            <w:vAlign w:val="bottom"/>
            <w:tcBorders>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75"/>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WHO Region</w:t>
            </w:r>
          </w:p>
        </w:tc>
        <w:tc>
          <w:tcPr>
            <w:tcW w:w="2240" w:type="dxa"/>
            <w:vAlign w:val="bottom"/>
            <w:tcBorders>
              <w:right w:val="single" w:sz="8" w:color="auto"/>
            </w:tcBorders>
            <w:vMerge w:val="restart"/>
            <w:shd w:val="clear" w:color="auto" w:fill="4F81BD"/>
          </w:tcPr>
          <w:p>
            <w:pPr>
              <w:ind w:left="20"/>
              <w:spacing w:after="0"/>
              <w:rPr>
                <w:sz w:val="20"/>
                <w:szCs w:val="20"/>
                <w:color w:val="auto"/>
              </w:rPr>
            </w:pPr>
            <w:r>
              <w:rPr>
                <w:rFonts w:ascii="Calibri" w:cs="Calibri" w:eastAsia="Calibri" w:hAnsi="Calibri"/>
                <w:sz w:val="22"/>
                <w:szCs w:val="22"/>
                <w:b w:val="1"/>
                <w:bCs w:val="1"/>
                <w:color w:val="FFFFFF"/>
                <w:shd w:val="clear" w:color="auto" w:fill="4F81BD"/>
              </w:rPr>
              <w:t>Country/Territory/Area</w:t>
            </w:r>
          </w:p>
        </w:tc>
        <w:tc>
          <w:tcPr>
            <w:tcW w:w="1260" w:type="dxa"/>
            <w:vAlign w:val="bottom"/>
            <w:tcBorders>
              <w:right w:val="single" w:sz="8" w:color="auto"/>
            </w:tcBorders>
            <w:shd w:val="clear" w:color="auto" w:fill="4F81BD"/>
          </w:tcPr>
          <w:p>
            <w:pPr>
              <w:ind w:left="100"/>
              <w:spacing w:after="0" w:line="275" w:lineRule="exact"/>
              <w:rPr>
                <w:sz w:val="20"/>
                <w:szCs w:val="20"/>
                <w:color w:val="auto"/>
              </w:rPr>
            </w:pPr>
            <w:r>
              <w:rPr>
                <w:rFonts w:ascii="Calibri" w:cs="Calibri" w:eastAsia="Calibri" w:hAnsi="Calibri"/>
                <w:sz w:val="22"/>
                <w:szCs w:val="22"/>
                <w:b w:val="1"/>
                <w:bCs w:val="1"/>
                <w:color w:val="FFFFFF"/>
                <w:shd w:val="clear" w:color="auto" w:fill="4F81BD"/>
              </w:rPr>
              <w:t>Confirmed</w:t>
            </w:r>
            <w:r>
              <w:rPr>
                <w:rFonts w:ascii="Calibri" w:cs="Calibri" w:eastAsia="Calibri" w:hAnsi="Calibri"/>
                <w:sz w:val="27"/>
                <w:szCs w:val="27"/>
                <w:b w:val="1"/>
                <w:bCs w:val="1"/>
                <w:color w:val="FFFFFF"/>
                <w:vertAlign w:val="superscript"/>
                <w:shd w:val="clear" w:color="auto" w:fill="4F81BD"/>
              </w:rPr>
              <w:t>*</w:t>
            </w: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travel</w:t>
            </w:r>
          </w:p>
        </w:tc>
        <w:tc>
          <w:tcPr>
            <w:tcW w:w="162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confirmed</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transmission</w:t>
            </w:r>
          </w:p>
        </w:tc>
        <w:tc>
          <w:tcPr>
            <w:tcW w:w="20" w:type="dxa"/>
            <w:vAlign w:val="bottom"/>
          </w:tcPr>
          <w:p>
            <w:pPr>
              <w:spacing w:after="0"/>
              <w:rPr>
                <w:sz w:val="23"/>
                <w:szCs w:val="23"/>
                <w:color w:val="auto"/>
              </w:rPr>
            </w:pPr>
          </w:p>
        </w:tc>
        <w:tc>
          <w:tcPr>
            <w:tcW w:w="12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Total deaths</w:t>
            </w:r>
          </w:p>
        </w:tc>
        <w:tc>
          <w:tcPr>
            <w:tcW w:w="0" w:type="dxa"/>
            <w:vAlign w:val="bottom"/>
          </w:tcPr>
          <w:p>
            <w:pPr>
              <w:spacing w:after="0"/>
              <w:rPr>
                <w:sz w:val="1"/>
                <w:szCs w:val="1"/>
                <w:color w:val="auto"/>
              </w:rPr>
            </w:pPr>
          </w:p>
        </w:tc>
      </w:tr>
      <w:tr>
        <w:trPr>
          <w:trHeight w:val="128"/>
        </w:trPr>
        <w:tc>
          <w:tcPr>
            <w:tcW w:w="2280" w:type="dxa"/>
            <w:vAlign w:val="bottom"/>
            <w:tcBorders>
              <w:left w:val="single" w:sz="8" w:color="auto"/>
              <w:right w:val="single" w:sz="8" w:color="auto"/>
            </w:tcBorders>
            <w:vMerge w:val="continue"/>
            <w:shd w:val="clear" w:color="auto" w:fill="4F81BD"/>
          </w:tcPr>
          <w:p>
            <w:pPr>
              <w:spacing w:after="0"/>
              <w:rPr>
                <w:sz w:val="11"/>
                <w:szCs w:val="11"/>
                <w:color w:val="auto"/>
              </w:rPr>
            </w:pPr>
          </w:p>
        </w:tc>
        <w:tc>
          <w:tcPr>
            <w:tcW w:w="22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ind w:left="80"/>
              <w:spacing w:after="0" w:line="262" w:lineRule="exact"/>
              <w:rPr>
                <w:sz w:val="20"/>
                <w:szCs w:val="20"/>
                <w:color w:val="auto"/>
              </w:rPr>
            </w:pPr>
            <w:r>
              <w:rPr>
                <w:rFonts w:ascii="Calibri" w:cs="Calibri" w:eastAsia="Calibri" w:hAnsi="Calibri"/>
                <w:sz w:val="22"/>
                <w:szCs w:val="22"/>
                <w:b w:val="1"/>
                <w:bCs w:val="1"/>
                <w:color w:val="FFFFFF"/>
              </w:rPr>
              <w:t>cases (new)</w:t>
            </w:r>
          </w:p>
        </w:tc>
        <w:tc>
          <w:tcPr>
            <w:tcW w:w="100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shd w:val="clear" w:color="auto" w:fill="4F81BD"/>
              </w:rPr>
              <w:t>history to</w:t>
            </w:r>
          </w:p>
        </w:tc>
        <w:tc>
          <w:tcPr>
            <w:tcW w:w="162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rPr>
              <w:t>transmission</w:t>
            </w:r>
          </w:p>
        </w:tc>
        <w:tc>
          <w:tcPr>
            <w:tcW w:w="154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rPr>
              <w:t>under</w:t>
            </w:r>
          </w:p>
        </w:tc>
        <w:tc>
          <w:tcPr>
            <w:tcW w:w="20" w:type="dxa"/>
            <w:vAlign w:val="bottom"/>
            <w:vMerge w:val="restart"/>
          </w:tcPr>
          <w:p>
            <w:pPr>
              <w:spacing w:after="0"/>
              <w:rPr>
                <w:sz w:val="11"/>
                <w:szCs w:val="11"/>
                <w:color w:val="auto"/>
              </w:rPr>
            </w:pPr>
          </w:p>
        </w:tc>
        <w:tc>
          <w:tcPr>
            <w:tcW w:w="124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(new)</w:t>
            </w: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vMerge w:val="continue"/>
            <w:shd w:val="clear" w:color="auto" w:fill="4F81BD"/>
          </w:tcPr>
          <w:p>
            <w:pPr>
              <w:spacing w:after="0"/>
              <w:rPr>
                <w:sz w:val="11"/>
                <w:szCs w:val="11"/>
                <w:color w:val="auto"/>
              </w:rPr>
            </w:pPr>
          </w:p>
        </w:tc>
        <w:tc>
          <w:tcPr>
            <w:tcW w:w="20" w:type="dxa"/>
            <w:vAlign w:val="bottom"/>
            <w:vMerge w:val="continue"/>
          </w:tcPr>
          <w:p>
            <w:pPr>
              <w:spacing w:after="0"/>
              <w:rPr>
                <w:sz w:val="11"/>
                <w:szCs w:val="11"/>
                <w:color w:val="auto"/>
              </w:rPr>
            </w:pPr>
          </w:p>
        </w:tc>
        <w:tc>
          <w:tcPr>
            <w:tcW w:w="1240" w:type="dxa"/>
            <w:vAlign w:val="bottom"/>
            <w:tcBorders>
              <w:right w:val="single" w:sz="8" w:color="auto"/>
            </w:tcBorders>
            <w:vMerge w:val="continue"/>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75"/>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shd w:val="clear" w:color="auto" w:fill="4F81BD"/>
          </w:tcPr>
          <w:p>
            <w:pPr>
              <w:spacing w:after="0"/>
              <w:rPr>
                <w:sz w:val="23"/>
                <w:szCs w:val="23"/>
                <w:color w:val="auto"/>
              </w:rPr>
            </w:pPr>
          </w:p>
        </w:tc>
        <w:tc>
          <w:tcPr>
            <w:tcW w:w="1260" w:type="dxa"/>
            <w:vAlign w:val="bottom"/>
            <w:tcBorders>
              <w:right w:val="single" w:sz="8" w:color="auto"/>
            </w:tcBorders>
            <w:shd w:val="clear" w:color="auto" w:fill="4F81BD"/>
          </w:tcPr>
          <w:p>
            <w:pPr>
              <w:spacing w:after="0"/>
              <w:rPr>
                <w:sz w:val="23"/>
                <w:szCs w:val="23"/>
                <w:color w:val="auto"/>
              </w:rPr>
            </w:pP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China</w:t>
            </w:r>
          </w:p>
        </w:tc>
        <w:tc>
          <w:tcPr>
            <w:tcW w:w="1620" w:type="dxa"/>
            <w:vAlign w:val="bottom"/>
            <w:tcBorders>
              <w:right w:val="single" w:sz="8" w:color="auto"/>
            </w:tcBorders>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shd w:val="clear" w:color="auto" w:fill="4F81BD"/>
              </w:rPr>
              <w:t>outside of China</w:t>
            </w:r>
            <w:r>
              <w:rPr>
                <w:rFonts w:ascii="Calibri" w:cs="Calibri" w:eastAsia="Calibri" w:hAnsi="Calibri"/>
                <w:sz w:val="27"/>
                <w:szCs w:val="27"/>
                <w:b w:val="1"/>
                <w:bCs w:val="1"/>
                <w:color w:val="FFFFFF"/>
                <w:w w:val="98"/>
                <w:vertAlign w:val="superscript"/>
                <w:shd w:val="clear" w:color="auto" w:fill="4F81BD"/>
              </w:rPr>
              <w:t>†</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investigation</w:t>
            </w:r>
          </w:p>
        </w:tc>
        <w:tc>
          <w:tcPr>
            <w:tcW w:w="20" w:type="dxa"/>
            <w:vAlign w:val="bottom"/>
          </w:tcPr>
          <w:p>
            <w:pPr>
              <w:spacing w:after="0"/>
              <w:rPr>
                <w:sz w:val="23"/>
                <w:szCs w:val="23"/>
                <w:color w:val="auto"/>
              </w:rPr>
            </w:pPr>
          </w:p>
        </w:tc>
        <w:tc>
          <w:tcPr>
            <w:tcW w:w="1240" w:type="dxa"/>
            <w:vAlign w:val="bottom"/>
            <w:tcBorders>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73"/>
        </w:trPr>
        <w:tc>
          <w:tcPr>
            <w:tcW w:w="2280" w:type="dxa"/>
            <w:vAlign w:val="bottom"/>
            <w:tcBorders>
              <w:left w:val="single" w:sz="8" w:color="auto"/>
              <w:bottom w:val="single" w:sz="8" w:color="auto"/>
              <w:right w:val="single" w:sz="8" w:color="auto"/>
            </w:tcBorders>
            <w:shd w:val="clear" w:color="auto" w:fill="4F81BD"/>
          </w:tcPr>
          <w:p>
            <w:pPr>
              <w:spacing w:after="0"/>
              <w:rPr>
                <w:sz w:val="23"/>
                <w:szCs w:val="23"/>
                <w:color w:val="auto"/>
              </w:rPr>
            </w:pPr>
          </w:p>
        </w:tc>
        <w:tc>
          <w:tcPr>
            <w:tcW w:w="2240" w:type="dxa"/>
            <w:vAlign w:val="bottom"/>
            <w:tcBorders>
              <w:bottom w:val="single" w:sz="8" w:color="auto"/>
              <w:right w:val="single" w:sz="8" w:color="auto"/>
            </w:tcBorders>
            <w:shd w:val="clear" w:color="auto" w:fill="4F81BD"/>
          </w:tcPr>
          <w:p>
            <w:pPr>
              <w:spacing w:after="0"/>
              <w:rPr>
                <w:sz w:val="23"/>
                <w:szCs w:val="23"/>
                <w:color w:val="auto"/>
              </w:rPr>
            </w:pPr>
          </w:p>
        </w:tc>
        <w:tc>
          <w:tcPr>
            <w:tcW w:w="1260" w:type="dxa"/>
            <w:vAlign w:val="bottom"/>
            <w:tcBorders>
              <w:bottom w:val="single" w:sz="8" w:color="auto"/>
              <w:right w:val="single" w:sz="8" w:color="auto"/>
            </w:tcBorders>
            <w:shd w:val="clear" w:color="auto" w:fill="4F81BD"/>
          </w:tcPr>
          <w:p>
            <w:pPr>
              <w:spacing w:after="0"/>
              <w:rPr>
                <w:sz w:val="23"/>
                <w:szCs w:val="23"/>
                <w:color w:val="auto"/>
              </w:rPr>
            </w:pPr>
          </w:p>
        </w:tc>
        <w:tc>
          <w:tcPr>
            <w:tcW w:w="1000" w:type="dxa"/>
            <w:vAlign w:val="bottom"/>
            <w:tcBorders>
              <w:bottom w:val="single" w:sz="8" w:color="auto"/>
              <w:right w:val="single" w:sz="8" w:color="auto"/>
            </w:tcBorders>
            <w:shd w:val="clear" w:color="auto" w:fill="4F81BD"/>
          </w:tcPr>
          <w:p>
            <w:pPr>
              <w:jc w:val="center"/>
              <w:spacing w:after="0" w:line="260" w:lineRule="exact"/>
              <w:rPr>
                <w:sz w:val="20"/>
                <w:szCs w:val="20"/>
                <w:color w:val="auto"/>
              </w:rPr>
            </w:pPr>
            <w:r>
              <w:rPr>
                <w:rFonts w:ascii="Calibri" w:cs="Calibri" w:eastAsia="Calibri" w:hAnsi="Calibri"/>
                <w:sz w:val="22"/>
                <w:szCs w:val="22"/>
                <w:b w:val="1"/>
                <w:bCs w:val="1"/>
                <w:color w:val="FFFFFF"/>
              </w:rPr>
              <w:t>(new)</w:t>
            </w:r>
          </w:p>
        </w:tc>
        <w:tc>
          <w:tcPr>
            <w:tcW w:w="1620" w:type="dxa"/>
            <w:vAlign w:val="bottom"/>
            <w:tcBorders>
              <w:bottom w:val="single" w:sz="8" w:color="auto"/>
              <w:right w:val="single" w:sz="8" w:color="auto"/>
            </w:tcBorders>
            <w:shd w:val="clear" w:color="auto" w:fill="4F81BD"/>
          </w:tcPr>
          <w:p>
            <w:pPr>
              <w:jc w:val="center"/>
              <w:spacing w:after="0" w:line="260" w:lineRule="exact"/>
              <w:rPr>
                <w:sz w:val="20"/>
                <w:szCs w:val="20"/>
                <w:color w:val="auto"/>
              </w:rPr>
            </w:pPr>
            <w:r>
              <w:rPr>
                <w:rFonts w:ascii="Calibri" w:cs="Calibri" w:eastAsia="Calibri" w:hAnsi="Calibri"/>
                <w:sz w:val="22"/>
                <w:szCs w:val="22"/>
                <w:b w:val="1"/>
                <w:bCs w:val="1"/>
                <w:color w:val="FFFFFF"/>
                <w:w w:val="98"/>
              </w:rPr>
              <w:t>(new)</w:t>
            </w:r>
          </w:p>
        </w:tc>
        <w:tc>
          <w:tcPr>
            <w:tcW w:w="1540" w:type="dxa"/>
            <w:vAlign w:val="bottom"/>
            <w:tcBorders>
              <w:bottom w:val="single" w:sz="8" w:color="auto"/>
              <w:right w:val="single" w:sz="8" w:color="auto"/>
            </w:tcBorders>
            <w:shd w:val="clear" w:color="auto" w:fill="4F81BD"/>
          </w:tcPr>
          <w:p>
            <w:pPr>
              <w:jc w:val="center"/>
              <w:spacing w:after="0" w:line="260" w:lineRule="exact"/>
              <w:rPr>
                <w:sz w:val="20"/>
                <w:szCs w:val="20"/>
                <w:color w:val="auto"/>
              </w:rPr>
            </w:pPr>
            <w:r>
              <w:rPr>
                <w:rFonts w:ascii="Calibri" w:cs="Calibri" w:eastAsia="Calibri" w:hAnsi="Calibri"/>
                <w:sz w:val="22"/>
                <w:szCs w:val="22"/>
                <w:b w:val="1"/>
                <w:bCs w:val="1"/>
                <w:color w:val="FFFFFF"/>
              </w:rPr>
              <w:t>(new)</w:t>
            </w:r>
          </w:p>
        </w:tc>
        <w:tc>
          <w:tcPr>
            <w:tcW w:w="20" w:type="dxa"/>
            <w:vAlign w:val="bottom"/>
            <w:tcBorders>
              <w:bottom w:val="single" w:sz="8" w:color="auto"/>
            </w:tcBorders>
          </w:tcPr>
          <w:p>
            <w:pPr>
              <w:spacing w:after="0"/>
              <w:rPr>
                <w:sz w:val="23"/>
                <w:szCs w:val="23"/>
                <w:color w:val="auto"/>
              </w:rPr>
            </w:pPr>
          </w:p>
        </w:tc>
        <w:tc>
          <w:tcPr>
            <w:tcW w:w="1240" w:type="dxa"/>
            <w:vAlign w:val="bottom"/>
            <w:tcBorders>
              <w:bottom w:val="single" w:sz="8" w:color="auto"/>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317"/>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line="316" w:lineRule="exact"/>
              <w:rPr>
                <w:sz w:val="20"/>
                <w:szCs w:val="20"/>
                <w:color w:val="auto"/>
              </w:rPr>
            </w:pPr>
            <w:r>
              <w:rPr>
                <w:rFonts w:ascii="Calibri" w:cs="Calibri" w:eastAsia="Calibri" w:hAnsi="Calibri"/>
                <w:sz w:val="22"/>
                <w:szCs w:val="22"/>
                <w:color w:val="auto"/>
              </w:rPr>
              <w:t>China</w:t>
            </w:r>
            <w:r>
              <w:rPr>
                <w:rFonts w:ascii="Calibri" w:cs="Calibri" w:eastAsia="Calibri" w:hAnsi="Calibri"/>
                <w:sz w:val="27"/>
                <w:szCs w:val="27"/>
                <w:color w:val="auto"/>
                <w:vertAlign w:val="superscript"/>
              </w:rPr>
              <w:t>‡</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42 708 (2484)</w:t>
            </w:r>
          </w:p>
        </w:tc>
        <w:tc>
          <w:tcPr>
            <w:tcW w:w="100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540" w:type="dxa"/>
            <w:vAlign w:val="bottom"/>
            <w:tcBorders>
              <w:bottom w:val="single" w:sz="8" w:color="auto"/>
              <w:right w:val="single" w:sz="8" w:color="auto"/>
            </w:tcBorders>
          </w:tcPr>
          <w:p>
            <w:pPr>
              <w:spacing w:after="0"/>
              <w:rPr>
                <w:sz w:val="24"/>
                <w:szCs w:val="24"/>
                <w:color w:val="auto"/>
              </w:rPr>
            </w:pPr>
          </w:p>
        </w:tc>
        <w:tc>
          <w:tcPr>
            <w:tcW w:w="1260" w:type="dxa"/>
            <w:vAlign w:val="bottom"/>
            <w:tcBorders>
              <w:bottom w:val="single" w:sz="8" w:color="auto"/>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1017 (108)</w:t>
            </w:r>
          </w:p>
        </w:tc>
        <w:tc>
          <w:tcPr>
            <w:tcW w:w="0" w:type="dxa"/>
            <w:vAlign w:val="bottom"/>
          </w:tcPr>
          <w:p>
            <w:pPr>
              <w:spacing w:after="0"/>
              <w:rPr>
                <w:sz w:val="1"/>
                <w:szCs w:val="1"/>
                <w:color w:val="auto"/>
              </w:rPr>
            </w:pPr>
          </w:p>
        </w:tc>
      </w:tr>
      <w:tr>
        <w:trPr>
          <w:trHeight w:val="288"/>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Western Pacific 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Singapore</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45 (2)</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22 (1)</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23</w:t>
            </w:r>
            <w:r>
              <w:rPr>
                <w:rFonts w:ascii="Calibri" w:cs="Calibri" w:eastAsia="Calibri" w:hAnsi="Calibri"/>
                <w:sz w:val="12"/>
                <w:szCs w:val="12"/>
                <w:b w:val="1"/>
                <w:bCs w:val="1"/>
                <w:color w:val="auto"/>
              </w:rPr>
              <w:t>††</w:t>
            </w:r>
            <w:r>
              <w:rPr>
                <w:rFonts w:ascii="Calibri" w:cs="Calibri" w:eastAsia="Calibri" w:hAnsi="Calibri"/>
                <w:sz w:val="22"/>
                <w:szCs w:val="22"/>
                <w:color w:val="auto"/>
              </w:rPr>
              <w:t xml:space="preserve"> (1)</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vMerge w:val="continue"/>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28"/>
        </w:trPr>
        <w:tc>
          <w:tcPr>
            <w:tcW w:w="2280" w:type="dxa"/>
            <w:vAlign w:val="bottom"/>
            <w:tcBorders>
              <w:left w:val="single" w:sz="8" w:color="auto"/>
              <w:right w:val="single" w:sz="8" w:color="auto"/>
            </w:tcBorders>
            <w:vMerge w:val="continue"/>
            <w:shd w:val="clear" w:color="auto" w:fill="4F81BD"/>
          </w:tcPr>
          <w:p>
            <w:pPr>
              <w:spacing w:after="0"/>
              <w:rPr>
                <w:sz w:val="11"/>
                <w:szCs w:val="11"/>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Republic of Korea</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28 (1)</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13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12</w:t>
            </w:r>
            <w:r>
              <w:rPr>
                <w:rFonts w:ascii="Calibri" w:cs="Calibri" w:eastAsia="Calibri" w:hAnsi="Calibri"/>
                <w:sz w:val="12"/>
                <w:szCs w:val="12"/>
                <w:color w:val="auto"/>
              </w:rPr>
              <w:t>§§</w:t>
            </w:r>
            <w:r>
              <w:rPr>
                <w:rFonts w:ascii="Calibri" w:cs="Calibri" w:eastAsia="Calibri" w:hAnsi="Calibri"/>
                <w:sz w:val="22"/>
                <w:szCs w:val="22"/>
                <w:color w:val="auto"/>
              </w:rPr>
              <w:t xml:space="preserve">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3 (1)</w:t>
            </w:r>
          </w:p>
        </w:tc>
        <w:tc>
          <w:tcPr>
            <w:tcW w:w="1260" w:type="dxa"/>
            <w:vAlign w:val="bottom"/>
            <w:tcBorders>
              <w:right w:val="single" w:sz="8" w:color="auto"/>
            </w:tcBorders>
            <w:gridSpan w:val="2"/>
            <w:vMerge w:val="restart"/>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58"/>
        </w:trPr>
        <w:tc>
          <w:tcPr>
            <w:tcW w:w="2280" w:type="dxa"/>
            <w:vAlign w:val="bottom"/>
            <w:tcBorders>
              <w:left w:val="single" w:sz="8" w:color="auto"/>
              <w:right w:val="single" w:sz="8" w:color="auto"/>
            </w:tcBorders>
            <w:shd w:val="clear" w:color="auto" w:fill="4F81BD"/>
          </w:tcPr>
          <w:p>
            <w:pPr>
              <w:spacing w:after="0"/>
              <w:rPr>
                <w:sz w:val="13"/>
                <w:szCs w:val="13"/>
                <w:color w:val="auto"/>
              </w:rPr>
            </w:pPr>
          </w:p>
        </w:tc>
        <w:tc>
          <w:tcPr>
            <w:tcW w:w="2240" w:type="dxa"/>
            <w:vAlign w:val="bottom"/>
            <w:tcBorders>
              <w:right w:val="single" w:sz="8" w:color="auto"/>
            </w:tcBorders>
            <w:vMerge w:val="continue"/>
          </w:tcPr>
          <w:p>
            <w:pPr>
              <w:spacing w:after="0"/>
              <w:rPr>
                <w:sz w:val="13"/>
                <w:szCs w:val="13"/>
                <w:color w:val="auto"/>
              </w:rPr>
            </w:pPr>
          </w:p>
        </w:tc>
        <w:tc>
          <w:tcPr>
            <w:tcW w:w="1260" w:type="dxa"/>
            <w:vAlign w:val="bottom"/>
            <w:tcBorders>
              <w:right w:val="single" w:sz="8" w:color="auto"/>
            </w:tcBorders>
            <w:vMerge w:val="continue"/>
          </w:tcPr>
          <w:p>
            <w:pPr>
              <w:spacing w:after="0"/>
              <w:rPr>
                <w:sz w:val="13"/>
                <w:szCs w:val="13"/>
                <w:color w:val="auto"/>
              </w:rPr>
            </w:pPr>
          </w:p>
        </w:tc>
        <w:tc>
          <w:tcPr>
            <w:tcW w:w="1000" w:type="dxa"/>
            <w:vAlign w:val="bottom"/>
            <w:tcBorders>
              <w:right w:val="single" w:sz="8" w:color="auto"/>
            </w:tcBorders>
            <w:vMerge w:val="continue"/>
          </w:tcPr>
          <w:p>
            <w:pPr>
              <w:spacing w:after="0"/>
              <w:rPr>
                <w:sz w:val="13"/>
                <w:szCs w:val="13"/>
                <w:color w:val="auto"/>
              </w:rPr>
            </w:pPr>
          </w:p>
        </w:tc>
        <w:tc>
          <w:tcPr>
            <w:tcW w:w="1620" w:type="dxa"/>
            <w:vAlign w:val="bottom"/>
            <w:tcBorders>
              <w:right w:val="single" w:sz="8" w:color="auto"/>
            </w:tcBorders>
            <w:vMerge w:val="continue"/>
          </w:tcPr>
          <w:p>
            <w:pPr>
              <w:spacing w:after="0"/>
              <w:rPr>
                <w:sz w:val="13"/>
                <w:szCs w:val="13"/>
                <w:color w:val="auto"/>
              </w:rPr>
            </w:pPr>
          </w:p>
        </w:tc>
        <w:tc>
          <w:tcPr>
            <w:tcW w:w="1540" w:type="dxa"/>
            <w:vAlign w:val="bottom"/>
            <w:tcBorders>
              <w:right w:val="single" w:sz="8" w:color="auto"/>
            </w:tcBorders>
            <w:vMerge w:val="continue"/>
          </w:tcPr>
          <w:p>
            <w:pPr>
              <w:spacing w:after="0"/>
              <w:rPr>
                <w:sz w:val="13"/>
                <w:szCs w:val="13"/>
                <w:color w:val="auto"/>
              </w:rPr>
            </w:pPr>
          </w:p>
        </w:tc>
        <w:tc>
          <w:tcPr>
            <w:tcW w:w="1260" w:type="dxa"/>
            <w:vAlign w:val="bottom"/>
            <w:tcBorders>
              <w:right w:val="single" w:sz="8" w:color="auto"/>
            </w:tcBorders>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Japan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26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4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5"/>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Malaysia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18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15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w:t>
            </w:r>
            <w:r>
              <w:rPr>
                <w:rFonts w:ascii="Calibri" w:cs="Calibri" w:eastAsia="Calibri" w:hAnsi="Calibri"/>
                <w:sz w:val="12"/>
                <w:szCs w:val="12"/>
                <w:color w:val="auto"/>
                <w:w w:val="98"/>
              </w:rPr>
              <w:t>‡‡</w:t>
            </w:r>
            <w:r>
              <w:rPr>
                <w:rFonts w:ascii="Calibri" w:cs="Calibri" w:eastAsia="Calibri" w:hAnsi="Calibri"/>
                <w:sz w:val="22"/>
                <w:szCs w:val="22"/>
                <w:color w:val="auto"/>
                <w:w w:val="98"/>
              </w:rPr>
              <w:t xml:space="preserve">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4"/>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87"/>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Australia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15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15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Viet Nam</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15 (1)</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8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6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(1)</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Philippines</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1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0"/>
        </w:trPr>
        <w:tc>
          <w:tcPr>
            <w:tcW w:w="2280" w:type="dxa"/>
            <w:vAlign w:val="bottom"/>
            <w:tcBorders>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Cambodia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95"/>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Thailand</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33 (1)</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23 (1)</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6</w:t>
            </w:r>
            <w:r>
              <w:rPr>
                <w:rFonts w:ascii="Calibri" w:cs="Calibri" w:eastAsia="Calibri" w:hAnsi="Calibri"/>
                <w:sz w:val="12"/>
                <w:szCs w:val="12"/>
                <w:b w:val="1"/>
                <w:bCs w:val="1"/>
                <w:color w:val="auto"/>
              </w:rPr>
              <w:t>†††</w:t>
            </w:r>
            <w:r>
              <w:rPr>
                <w:rFonts w:ascii="Calibri" w:cs="Calibri" w:eastAsia="Calibri" w:hAnsi="Calibri"/>
                <w:sz w:val="22"/>
                <w:szCs w:val="22"/>
                <w:color w:val="auto"/>
              </w:rPr>
              <w:t xml:space="preserve">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4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South-East Asia Region</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India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13"/>
        </w:trPr>
        <w:tc>
          <w:tcPr>
            <w:tcW w:w="2280" w:type="dxa"/>
            <w:vAlign w:val="bottom"/>
            <w:tcBorders>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Nepal</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vMerge w:val="restart"/>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73"/>
        </w:trPr>
        <w:tc>
          <w:tcPr>
            <w:tcW w:w="2280" w:type="dxa"/>
            <w:vAlign w:val="bottom"/>
            <w:tcBorders>
              <w:left w:val="single" w:sz="8" w:color="auto"/>
              <w:right w:val="single" w:sz="8" w:color="auto"/>
            </w:tcBorders>
            <w:shd w:val="clear" w:color="auto" w:fill="4F81BD"/>
          </w:tcPr>
          <w:p>
            <w:pPr>
              <w:spacing w:after="0"/>
              <w:rPr>
                <w:sz w:val="15"/>
                <w:szCs w:val="15"/>
                <w:color w:val="auto"/>
              </w:rPr>
            </w:pPr>
          </w:p>
        </w:tc>
        <w:tc>
          <w:tcPr>
            <w:tcW w:w="2240" w:type="dxa"/>
            <w:vAlign w:val="bottom"/>
            <w:tcBorders>
              <w:right w:val="single" w:sz="8" w:color="auto"/>
            </w:tcBorders>
            <w:vMerge w:val="continue"/>
          </w:tcPr>
          <w:p>
            <w:pPr>
              <w:spacing w:after="0"/>
              <w:rPr>
                <w:sz w:val="15"/>
                <w:szCs w:val="15"/>
                <w:color w:val="auto"/>
              </w:rPr>
            </w:pPr>
          </w:p>
        </w:tc>
        <w:tc>
          <w:tcPr>
            <w:tcW w:w="1260" w:type="dxa"/>
            <w:vAlign w:val="bottom"/>
            <w:tcBorders>
              <w:right w:val="single" w:sz="8" w:color="auto"/>
            </w:tcBorders>
            <w:vMerge w:val="continue"/>
          </w:tcPr>
          <w:p>
            <w:pPr>
              <w:spacing w:after="0"/>
              <w:rPr>
                <w:sz w:val="15"/>
                <w:szCs w:val="15"/>
                <w:color w:val="auto"/>
              </w:rPr>
            </w:pPr>
          </w:p>
        </w:tc>
        <w:tc>
          <w:tcPr>
            <w:tcW w:w="1000" w:type="dxa"/>
            <w:vAlign w:val="bottom"/>
            <w:tcBorders>
              <w:right w:val="single" w:sz="8" w:color="auto"/>
            </w:tcBorders>
            <w:vMerge w:val="continue"/>
          </w:tcPr>
          <w:p>
            <w:pPr>
              <w:spacing w:after="0"/>
              <w:rPr>
                <w:sz w:val="15"/>
                <w:szCs w:val="15"/>
                <w:color w:val="auto"/>
              </w:rPr>
            </w:pPr>
          </w:p>
        </w:tc>
        <w:tc>
          <w:tcPr>
            <w:tcW w:w="1620" w:type="dxa"/>
            <w:vAlign w:val="bottom"/>
            <w:tcBorders>
              <w:right w:val="single" w:sz="8" w:color="auto"/>
            </w:tcBorders>
            <w:vMerge w:val="continue"/>
          </w:tcPr>
          <w:p>
            <w:pPr>
              <w:spacing w:after="0"/>
              <w:rPr>
                <w:sz w:val="15"/>
                <w:szCs w:val="15"/>
                <w:color w:val="auto"/>
              </w:rPr>
            </w:pPr>
          </w:p>
        </w:tc>
        <w:tc>
          <w:tcPr>
            <w:tcW w:w="1540" w:type="dxa"/>
            <w:vAlign w:val="bottom"/>
            <w:tcBorders>
              <w:right w:val="single" w:sz="8" w:color="auto"/>
            </w:tcBorders>
            <w:vMerge w:val="continue"/>
          </w:tcPr>
          <w:p>
            <w:pPr>
              <w:spacing w:after="0"/>
              <w:rPr>
                <w:sz w:val="15"/>
                <w:szCs w:val="15"/>
                <w:color w:val="auto"/>
              </w:rPr>
            </w:pPr>
          </w:p>
        </w:tc>
        <w:tc>
          <w:tcPr>
            <w:tcW w:w="1260" w:type="dxa"/>
            <w:vAlign w:val="bottom"/>
            <w:tcBorders>
              <w:right w:val="single" w:sz="8" w:color="auto"/>
            </w:tcBorders>
            <w:gridSpan w:val="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6"/>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Sri Lanka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69"/>
        </w:trPr>
        <w:tc>
          <w:tcPr>
            <w:tcW w:w="2280" w:type="dxa"/>
            <w:vAlign w:val="bottom"/>
            <w:tcBorders>
              <w:top w:val="single" w:sz="8" w:color="auto"/>
              <w:left w:val="single" w:sz="8" w:color="auto"/>
              <w:right w:val="single" w:sz="8" w:color="auto"/>
            </w:tcBorders>
            <w:shd w:val="clear" w:color="auto" w:fill="4F81BD"/>
          </w:tcPr>
          <w:p>
            <w:pPr>
              <w:spacing w:after="0"/>
              <w:rPr>
                <w:sz w:val="23"/>
                <w:szCs w:val="23"/>
                <w:color w:val="auto"/>
              </w:rPr>
            </w:pP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United States of</w:t>
            </w:r>
          </w:p>
        </w:tc>
        <w:tc>
          <w:tcPr>
            <w:tcW w:w="1260" w:type="dxa"/>
            <w:vAlign w:val="bottom"/>
            <w:tcBorders>
              <w:top w:val="single" w:sz="8" w:color="auto"/>
              <w:right w:val="single" w:sz="8" w:color="auto"/>
            </w:tcBorders>
          </w:tcPr>
          <w:p>
            <w:pPr>
              <w:spacing w:after="0"/>
              <w:rPr>
                <w:sz w:val="23"/>
                <w:szCs w:val="23"/>
                <w:color w:val="auto"/>
              </w:rPr>
            </w:pPr>
          </w:p>
        </w:tc>
        <w:tc>
          <w:tcPr>
            <w:tcW w:w="1000" w:type="dxa"/>
            <w:vAlign w:val="bottom"/>
            <w:tcBorders>
              <w:top w:val="single" w:sz="8" w:color="auto"/>
              <w:right w:val="single" w:sz="8" w:color="auto"/>
            </w:tcBorders>
          </w:tcPr>
          <w:p>
            <w:pPr>
              <w:spacing w:after="0"/>
              <w:rPr>
                <w:sz w:val="23"/>
                <w:szCs w:val="23"/>
                <w:color w:val="auto"/>
              </w:rPr>
            </w:pPr>
          </w:p>
        </w:tc>
        <w:tc>
          <w:tcPr>
            <w:tcW w:w="1620" w:type="dxa"/>
            <w:vAlign w:val="bottom"/>
            <w:tcBorders>
              <w:top w:val="single" w:sz="8" w:color="auto"/>
              <w:right w:val="single" w:sz="8" w:color="auto"/>
            </w:tcBorders>
          </w:tcPr>
          <w:p>
            <w:pPr>
              <w:spacing w:after="0"/>
              <w:rPr>
                <w:sz w:val="23"/>
                <w:szCs w:val="23"/>
                <w:color w:val="auto"/>
              </w:rPr>
            </w:pPr>
          </w:p>
        </w:tc>
        <w:tc>
          <w:tcPr>
            <w:tcW w:w="1540" w:type="dxa"/>
            <w:vAlign w:val="bottom"/>
            <w:tcBorders>
              <w:top w:val="single" w:sz="8" w:color="auto"/>
              <w:right w:val="single" w:sz="8" w:color="auto"/>
            </w:tcBorders>
          </w:tcPr>
          <w:p>
            <w:pPr>
              <w:spacing w:after="0"/>
              <w:rPr>
                <w:sz w:val="23"/>
                <w:szCs w:val="23"/>
                <w:color w:val="auto"/>
              </w:rPr>
            </w:pPr>
          </w:p>
        </w:tc>
        <w:tc>
          <w:tcPr>
            <w:tcW w:w="20" w:type="dxa"/>
            <w:vAlign w:val="bottom"/>
            <w:tcBorders>
              <w:top w:val="single" w:sz="8" w:color="auto"/>
            </w:tcBorders>
          </w:tcPr>
          <w:p>
            <w:pPr>
              <w:spacing w:after="0"/>
              <w:rPr>
                <w:sz w:val="23"/>
                <w:szCs w:val="23"/>
                <w:color w:val="auto"/>
              </w:rPr>
            </w:pPr>
          </w:p>
        </w:tc>
        <w:tc>
          <w:tcPr>
            <w:tcW w:w="124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89"/>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Region of the Americas</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America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13 (1)</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11 (1)</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Canada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7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6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86"/>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Germany</w:t>
            </w:r>
          </w:p>
        </w:tc>
        <w:tc>
          <w:tcPr>
            <w:tcW w:w="126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14 (0)</w:t>
            </w:r>
          </w:p>
        </w:tc>
        <w:tc>
          <w:tcPr>
            <w:tcW w:w="100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12</w:t>
            </w:r>
            <w:r>
              <w:rPr>
                <w:rFonts w:ascii="Calibri" w:cs="Calibri" w:eastAsia="Calibri" w:hAnsi="Calibri"/>
                <w:sz w:val="12"/>
                <w:szCs w:val="12"/>
                <w:color w:val="auto"/>
              </w:rPr>
              <w:t>††</w:t>
            </w:r>
            <w:r>
              <w:rPr>
                <w:rFonts w:ascii="Calibri" w:cs="Calibri" w:eastAsia="Calibri" w:hAnsi="Calibri"/>
                <w:sz w:val="22"/>
                <w:szCs w:val="22"/>
                <w:color w:val="auto"/>
              </w:rPr>
              <w:t xml:space="preserve"> (0)</w:t>
            </w:r>
          </w:p>
        </w:tc>
        <w:tc>
          <w:tcPr>
            <w:tcW w:w="154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top w:val="single" w:sz="8" w:color="auto"/>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France</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5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6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The United Kingdom</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8 (4)</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line="308" w:lineRule="exact"/>
              <w:rPr>
                <w:sz w:val="20"/>
                <w:szCs w:val="20"/>
                <w:color w:val="auto"/>
              </w:rPr>
            </w:pPr>
            <w:r>
              <w:rPr>
                <w:rFonts w:ascii="Calibri" w:cs="Calibri" w:eastAsia="Calibri" w:hAnsi="Calibri"/>
                <w:sz w:val="22"/>
                <w:szCs w:val="22"/>
                <w:color w:val="auto"/>
                <w:w w:val="91"/>
              </w:rPr>
              <w:t>7</w:t>
            </w:r>
            <w:r>
              <w:rPr>
                <w:rFonts w:ascii="Calibri" w:cs="Calibri" w:eastAsia="Calibri" w:hAnsi="Calibri"/>
                <w:sz w:val="27"/>
                <w:szCs w:val="27"/>
                <w:color w:val="auto"/>
                <w:w w:val="91"/>
                <w:vertAlign w:val="superscript"/>
              </w:rPr>
              <w:t>***</w:t>
            </w:r>
            <w:r>
              <w:rPr>
                <w:rFonts w:ascii="Calibri" w:cs="Calibri" w:eastAsia="Calibri" w:hAnsi="Calibri"/>
                <w:sz w:val="22"/>
                <w:szCs w:val="22"/>
                <w:color w:val="auto"/>
                <w:w w:val="91"/>
              </w:rPr>
              <w:t xml:space="preserve"> (4)</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Italy</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5"/>
        </w:trPr>
        <w:tc>
          <w:tcPr>
            <w:tcW w:w="2280" w:type="dxa"/>
            <w:vAlign w:val="bottom"/>
            <w:tcBorders>
              <w:left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European 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Russian Federation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4"/>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Spain</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bottom w:val="single" w:sz="8" w:color="auto"/>
              <w:right w:val="single" w:sz="8" w:color="auto"/>
            </w:tcBorders>
          </w:tcPr>
          <w:p>
            <w:pPr>
              <w:jc w:val="center"/>
              <w:spacing w:after="0" w:line="308" w:lineRule="exact"/>
              <w:rPr>
                <w:sz w:val="20"/>
                <w:szCs w:val="20"/>
                <w:color w:val="auto"/>
              </w:rPr>
            </w:pPr>
            <w:r>
              <w:rPr>
                <w:rFonts w:ascii="Calibri" w:cs="Calibri" w:eastAsia="Calibri" w:hAnsi="Calibri"/>
                <w:sz w:val="22"/>
                <w:szCs w:val="22"/>
                <w:color w:val="auto"/>
                <w:w w:val="96"/>
              </w:rPr>
              <w:t>2</w:t>
            </w:r>
            <w:r>
              <w:rPr>
                <w:rFonts w:ascii="Calibri" w:cs="Calibri" w:eastAsia="Calibri" w:hAnsi="Calibri"/>
                <w:sz w:val="27"/>
                <w:szCs w:val="27"/>
                <w:color w:val="auto"/>
                <w:w w:val="96"/>
                <w:vertAlign w:val="superscript"/>
              </w:rPr>
              <w:t>§</w:t>
            </w:r>
            <w:r>
              <w:rPr>
                <w:rFonts w:ascii="Calibri" w:cs="Calibri" w:eastAsia="Calibri" w:hAnsi="Calibri"/>
                <w:sz w:val="22"/>
                <w:szCs w:val="22"/>
                <w:color w:val="auto"/>
                <w:w w:val="96"/>
              </w:rPr>
              <w:t xml:space="preserve">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Belgium</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Finland</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13"/>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Sweden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91"/>
        </w:trPr>
        <w:tc>
          <w:tcPr>
            <w:tcW w:w="2280" w:type="dxa"/>
            <w:vAlign w:val="bottom"/>
            <w:tcBorders>
              <w:top w:val="single" w:sz="8" w:color="auto"/>
              <w:left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Eastern Mediterranean</w:t>
            </w:r>
          </w:p>
        </w:tc>
        <w:tc>
          <w:tcPr>
            <w:tcW w:w="2240" w:type="dxa"/>
            <w:vAlign w:val="bottom"/>
            <w:tcBorders>
              <w:top w:val="single" w:sz="8" w:color="auto"/>
              <w:right w:val="single" w:sz="8" w:color="auto"/>
            </w:tcBorders>
          </w:tcPr>
          <w:p>
            <w:pPr>
              <w:spacing w:after="0"/>
              <w:rPr>
                <w:sz w:val="24"/>
                <w:szCs w:val="24"/>
                <w:color w:val="auto"/>
              </w:rPr>
            </w:pPr>
          </w:p>
        </w:tc>
        <w:tc>
          <w:tcPr>
            <w:tcW w:w="1260" w:type="dxa"/>
            <w:vAlign w:val="bottom"/>
            <w:tcBorders>
              <w:top w:val="single" w:sz="8" w:color="auto"/>
              <w:right w:val="single" w:sz="8" w:color="auto"/>
            </w:tcBorders>
          </w:tcPr>
          <w:p>
            <w:pPr>
              <w:spacing w:after="0"/>
              <w:rPr>
                <w:sz w:val="24"/>
                <w:szCs w:val="24"/>
                <w:color w:val="auto"/>
              </w:rPr>
            </w:pPr>
          </w:p>
        </w:tc>
        <w:tc>
          <w:tcPr>
            <w:tcW w:w="1000" w:type="dxa"/>
            <w:vAlign w:val="bottom"/>
            <w:tcBorders>
              <w:top w:val="single" w:sz="8" w:color="auto"/>
              <w:right w:val="single" w:sz="8" w:color="auto"/>
            </w:tcBorders>
          </w:tcPr>
          <w:p>
            <w:pPr>
              <w:spacing w:after="0"/>
              <w:rPr>
                <w:sz w:val="24"/>
                <w:szCs w:val="24"/>
                <w:color w:val="auto"/>
              </w:rPr>
            </w:pPr>
          </w:p>
        </w:tc>
        <w:tc>
          <w:tcPr>
            <w:tcW w:w="1620" w:type="dxa"/>
            <w:vAlign w:val="bottom"/>
            <w:tcBorders>
              <w:top w:val="single" w:sz="8" w:color="auto"/>
              <w:right w:val="single" w:sz="8" w:color="auto"/>
            </w:tcBorders>
          </w:tcPr>
          <w:p>
            <w:pPr>
              <w:spacing w:after="0"/>
              <w:rPr>
                <w:sz w:val="24"/>
                <w:szCs w:val="24"/>
                <w:color w:val="auto"/>
              </w:rPr>
            </w:pPr>
          </w:p>
        </w:tc>
        <w:tc>
          <w:tcPr>
            <w:tcW w:w="1540" w:type="dxa"/>
            <w:vAlign w:val="bottom"/>
            <w:tcBorders>
              <w:top w:val="single" w:sz="8" w:color="auto"/>
              <w:right w:val="single" w:sz="8" w:color="auto"/>
            </w:tcBorders>
          </w:tcPr>
          <w:p>
            <w:pPr>
              <w:spacing w:after="0"/>
              <w:rPr>
                <w:sz w:val="24"/>
                <w:szCs w:val="24"/>
                <w:color w:val="auto"/>
              </w:rPr>
            </w:pPr>
          </w:p>
        </w:tc>
        <w:tc>
          <w:tcPr>
            <w:tcW w:w="20" w:type="dxa"/>
            <w:vAlign w:val="bottom"/>
            <w:tcBorders>
              <w:top w:val="single" w:sz="8" w:color="auto"/>
            </w:tcBorders>
            <w:shd w:val="clear" w:color="auto" w:fill="000000"/>
          </w:tcPr>
          <w:p>
            <w:pPr>
              <w:spacing w:after="0"/>
              <w:rPr>
                <w:sz w:val="24"/>
                <w:szCs w:val="24"/>
                <w:color w:val="auto"/>
              </w:rPr>
            </w:pPr>
          </w:p>
        </w:tc>
        <w:tc>
          <w:tcPr>
            <w:tcW w:w="124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21"/>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United Arab Emirates</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8 (1)</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6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(1)</w:t>
            </w:r>
          </w:p>
        </w:tc>
        <w:tc>
          <w:tcPr>
            <w:tcW w:w="20" w:type="dxa"/>
            <w:vAlign w:val="bottom"/>
            <w:tcBorders>
              <w:bottom w:val="single" w:sz="8" w:color="auto"/>
            </w:tcBorders>
            <w:shd w:val="clear" w:color="auto" w:fill="000000"/>
          </w:tcPr>
          <w:p>
            <w:pPr>
              <w:spacing w:after="0"/>
              <w:rPr>
                <w:sz w:val="24"/>
                <w:szCs w:val="24"/>
                <w:color w:val="auto"/>
              </w:rPr>
            </w:pPr>
          </w:p>
        </w:tc>
        <w:tc>
          <w:tcPr>
            <w:tcW w:w="12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24"/>
        </w:trPr>
        <w:tc>
          <w:tcPr>
            <w:tcW w:w="2280" w:type="dxa"/>
            <w:vAlign w:val="bottom"/>
            <w:tcBorders>
              <w:top w:val="single" w:sz="8" w:color="auto"/>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7"/>
              </w:rPr>
              <w:t>Other</w:t>
            </w: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International</w:t>
            </w:r>
          </w:p>
        </w:tc>
        <w:tc>
          <w:tcPr>
            <w:tcW w:w="126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5"/>
              </w:rPr>
              <w:t>135</w:t>
            </w:r>
            <w:r>
              <w:rPr>
                <w:rFonts w:ascii="Calibri" w:cs="Calibri" w:eastAsia="Calibri" w:hAnsi="Calibri"/>
                <w:sz w:val="27"/>
                <w:szCs w:val="27"/>
                <w:color w:val="auto"/>
                <w:w w:val="95"/>
                <w:vertAlign w:val="superscript"/>
              </w:rPr>
              <w:t>**</w:t>
            </w:r>
            <w:r>
              <w:rPr>
                <w:rFonts w:ascii="Calibri" w:cs="Calibri" w:eastAsia="Calibri" w:hAnsi="Calibri"/>
                <w:sz w:val="22"/>
                <w:szCs w:val="22"/>
                <w:color w:val="auto"/>
                <w:w w:val="95"/>
              </w:rPr>
              <w:t xml:space="preserve"> (65)</w:t>
            </w:r>
          </w:p>
        </w:tc>
        <w:tc>
          <w:tcPr>
            <w:tcW w:w="1000" w:type="dxa"/>
            <w:vAlign w:val="bottom"/>
            <w:tcBorders>
              <w:top w:val="single" w:sz="8" w:color="auto"/>
              <w:right w:val="single" w:sz="8" w:color="auto"/>
            </w:tcBorders>
          </w:tcPr>
          <w:p>
            <w:pPr>
              <w:spacing w:after="0"/>
              <w:rPr>
                <w:sz w:val="24"/>
                <w:szCs w:val="24"/>
                <w:color w:val="auto"/>
              </w:rPr>
            </w:pPr>
          </w:p>
        </w:tc>
        <w:tc>
          <w:tcPr>
            <w:tcW w:w="1620" w:type="dxa"/>
            <w:vAlign w:val="bottom"/>
            <w:tcBorders>
              <w:top w:val="single" w:sz="8" w:color="auto"/>
              <w:right w:val="single" w:sz="8" w:color="auto"/>
            </w:tcBorders>
          </w:tcPr>
          <w:p>
            <w:pPr>
              <w:spacing w:after="0"/>
              <w:rPr>
                <w:sz w:val="24"/>
                <w:szCs w:val="24"/>
                <w:color w:val="auto"/>
              </w:rPr>
            </w:pPr>
          </w:p>
        </w:tc>
        <w:tc>
          <w:tcPr>
            <w:tcW w:w="1540" w:type="dxa"/>
            <w:vAlign w:val="bottom"/>
            <w:tcBorders>
              <w:top w:val="single" w:sz="8" w:color="auto"/>
              <w:right w:val="single" w:sz="8" w:color="auto"/>
            </w:tcBorders>
          </w:tcPr>
          <w:p>
            <w:pPr>
              <w:spacing w:after="0"/>
              <w:rPr>
                <w:sz w:val="24"/>
                <w:szCs w:val="24"/>
                <w:color w:val="auto"/>
              </w:rPr>
            </w:pPr>
          </w:p>
        </w:tc>
        <w:tc>
          <w:tcPr>
            <w:tcW w:w="20" w:type="dxa"/>
            <w:vAlign w:val="bottom"/>
            <w:tcBorders>
              <w:top w:val="single" w:sz="8" w:color="auto"/>
            </w:tcBorders>
            <w:shd w:val="clear" w:color="auto" w:fill="000000"/>
          </w:tcPr>
          <w:p>
            <w:pPr>
              <w:spacing w:after="0"/>
              <w:rPr>
                <w:sz w:val="24"/>
                <w:szCs w:val="24"/>
                <w:color w:val="auto"/>
              </w:rPr>
            </w:pPr>
          </w:p>
        </w:tc>
        <w:tc>
          <w:tcPr>
            <w:tcW w:w="124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2280" w:type="dxa"/>
            <w:vAlign w:val="bottom"/>
            <w:tcBorders>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conveyance (Japan)</w:t>
            </w:r>
          </w:p>
        </w:tc>
        <w:tc>
          <w:tcPr>
            <w:tcW w:w="1260" w:type="dxa"/>
            <w:vAlign w:val="bottom"/>
            <w:tcBorders>
              <w:right w:val="single" w:sz="8" w:color="auto"/>
            </w:tcBorders>
            <w:vMerge w:val="continue"/>
          </w:tcPr>
          <w:p>
            <w:pPr>
              <w:spacing w:after="0"/>
              <w:rPr>
                <w:sz w:val="9"/>
                <w:szCs w:val="9"/>
                <w:color w:val="auto"/>
              </w:rPr>
            </w:pP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9"/>
              </w:rPr>
              <w:t>135 (65)</w:t>
            </w:r>
          </w:p>
        </w:tc>
        <w:tc>
          <w:tcPr>
            <w:tcW w:w="20" w:type="dxa"/>
            <w:vAlign w:val="bottom"/>
            <w:shd w:val="clear" w:color="auto" w:fill="000000"/>
          </w:tcPr>
          <w:p>
            <w:pPr>
              <w:spacing w:after="0"/>
              <w:rPr>
                <w:sz w:val="9"/>
                <w:szCs w:val="9"/>
                <w:color w:val="auto"/>
              </w:rPr>
            </w:pPr>
          </w:p>
        </w:tc>
        <w:tc>
          <w:tcPr>
            <w:tcW w:w="12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82"/>
        </w:trPr>
        <w:tc>
          <w:tcPr>
            <w:tcW w:w="2280" w:type="dxa"/>
            <w:vAlign w:val="bottom"/>
            <w:tcBorders>
              <w:left w:val="single" w:sz="8" w:color="auto"/>
              <w:bottom w:val="single" w:sz="8" w:color="auto"/>
              <w:right w:val="single" w:sz="8" w:color="auto"/>
            </w:tcBorders>
            <w:shd w:val="clear" w:color="auto" w:fill="4F81BD"/>
          </w:tcPr>
          <w:p>
            <w:pPr>
              <w:spacing w:after="0"/>
              <w:rPr>
                <w:sz w:val="15"/>
                <w:szCs w:val="15"/>
                <w:color w:val="auto"/>
              </w:rPr>
            </w:pPr>
          </w:p>
        </w:tc>
        <w:tc>
          <w:tcPr>
            <w:tcW w:w="224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tcPr>
          <w:p>
            <w:pPr>
              <w:spacing w:after="0"/>
              <w:rPr>
                <w:sz w:val="15"/>
                <w:szCs w:val="15"/>
                <w:color w:val="auto"/>
              </w:rPr>
            </w:pPr>
          </w:p>
        </w:tc>
        <w:tc>
          <w:tcPr>
            <w:tcW w:w="1000" w:type="dxa"/>
            <w:vAlign w:val="bottom"/>
            <w:tcBorders>
              <w:bottom w:val="single" w:sz="8" w:color="auto"/>
              <w:right w:val="single" w:sz="8" w:color="auto"/>
            </w:tcBorders>
            <w:vMerge w:val="continue"/>
          </w:tcPr>
          <w:p>
            <w:pPr>
              <w:spacing w:after="0"/>
              <w:rPr>
                <w:sz w:val="15"/>
                <w:szCs w:val="15"/>
                <w:color w:val="auto"/>
              </w:rPr>
            </w:pPr>
          </w:p>
        </w:tc>
        <w:tc>
          <w:tcPr>
            <w:tcW w:w="1620" w:type="dxa"/>
            <w:vAlign w:val="bottom"/>
            <w:tcBorders>
              <w:bottom w:val="single" w:sz="8" w:color="auto"/>
              <w:right w:val="single" w:sz="8" w:color="auto"/>
            </w:tcBorders>
            <w:vMerge w:val="continue"/>
          </w:tcPr>
          <w:p>
            <w:pPr>
              <w:spacing w:after="0"/>
              <w:rPr>
                <w:sz w:val="15"/>
                <w:szCs w:val="15"/>
                <w:color w:val="auto"/>
              </w:rPr>
            </w:pPr>
          </w:p>
        </w:tc>
        <w:tc>
          <w:tcPr>
            <w:tcW w:w="1540" w:type="dxa"/>
            <w:vAlign w:val="bottom"/>
            <w:tcBorders>
              <w:bottom w:val="single" w:sz="8" w:color="auto"/>
              <w:right w:val="single" w:sz="8" w:color="auto"/>
            </w:tcBorders>
            <w:vMerge w:val="continue"/>
          </w:tcPr>
          <w:p>
            <w:pPr>
              <w:spacing w:after="0"/>
              <w:rPr>
                <w:sz w:val="15"/>
                <w:szCs w:val="15"/>
                <w:color w:val="auto"/>
              </w:rPr>
            </w:pPr>
          </w:p>
        </w:tc>
        <w:tc>
          <w:tcPr>
            <w:tcW w:w="20" w:type="dxa"/>
            <w:vAlign w:val="bottom"/>
            <w:tcBorders>
              <w:bottom w:val="single" w:sz="8" w:color="auto"/>
            </w:tcBorders>
            <w:shd w:val="clear" w:color="auto" w:fill="000000"/>
          </w:tcPr>
          <w:p>
            <w:pPr>
              <w:spacing w:after="0"/>
              <w:rPr>
                <w:sz w:val="15"/>
                <w:szCs w:val="15"/>
                <w:color w:val="auto"/>
              </w:rPr>
            </w:pPr>
          </w:p>
        </w:tc>
        <w:tc>
          <w:tcPr>
            <w:tcW w:w="1240" w:type="dxa"/>
            <w:vAlign w:val="bottom"/>
            <w:tcBorders>
              <w:bottom w:val="single" w:sz="8" w:color="auto"/>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3658235</wp:posOffset>
                </wp:positionH>
                <wp:positionV relativeFrom="paragraph">
                  <wp:posOffset>-814070</wp:posOffset>
                </wp:positionV>
                <wp:extent cx="12065" cy="1524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5240"/>
                        </a:xfrm>
                        <a:prstGeom prst="rect">
                          <a:avLst/>
                        </a:prstGeom>
                        <a:solidFill>
                          <a:srgbClr val="000000"/>
                        </a:solidFill>
                      </wps:spPr>
                      <wps:bodyPr/>
                    </wps:wsp>
                  </a:graphicData>
                </a:graphic>
              </wp:anchor>
            </w:drawing>
          </mc:Choice>
          <mc:Fallback>
            <w:pict>
              <v:rect id="Shape 6" o:spid="_x0000_s1031" style="position:absolute;margin-left:288.05pt;margin-top:-64.0999pt;width:0.9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6290945</wp:posOffset>
                </wp:positionH>
                <wp:positionV relativeFrom="paragraph">
                  <wp:posOffset>-814070</wp:posOffset>
                </wp:positionV>
                <wp:extent cx="12065" cy="1524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5240"/>
                        </a:xfrm>
                        <a:prstGeom prst="rect">
                          <a:avLst/>
                        </a:prstGeom>
                        <a:solidFill>
                          <a:srgbClr val="000000"/>
                        </a:solidFill>
                      </wps:spPr>
                      <wps:bodyPr/>
                    </wps:wsp>
                  </a:graphicData>
                </a:graphic>
              </wp:anchor>
            </w:drawing>
          </mc:Choice>
          <mc:Fallback>
            <w:pict>
              <v:rect id="Shape 7" o:spid="_x0000_s1032" style="position:absolute;margin-left:495.35pt;margin-top:-64.0999pt;width:0.9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56" w:lineRule="exact"/>
        <w:rPr>
          <w:sz w:val="20"/>
          <w:szCs w:val="20"/>
          <w:color w:val="auto"/>
        </w:rPr>
      </w:pPr>
    </w:p>
    <w:p>
      <w:pPr>
        <w:ind w:left="360"/>
        <w:spacing w:after="0"/>
        <w:rPr>
          <w:rFonts w:ascii="Calibri" w:cs="Calibri" w:eastAsia="Calibri" w:hAnsi="Calibri"/>
          <w:sz w:val="18"/>
          <w:szCs w:val="18"/>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Case classifications are based on </w:t>
      </w:r>
      <w:hyperlink r:id="rId11">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2019-nCoV.</w:t>
      </w:r>
    </w:p>
    <w:p>
      <w:pPr>
        <w:ind w:left="360" w:right="360"/>
        <w:spacing w:after="0" w:line="189"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Location of transmission is classified based on WHO analysis of available official data and may be subject to reclassification as additional data become available.</w:t>
      </w:r>
    </w:p>
    <w:p>
      <w:pPr>
        <w:spacing w:after="0" w:line="35" w:lineRule="exact"/>
        <w:rPr>
          <w:sz w:val="20"/>
          <w:szCs w:val="20"/>
          <w:color w:val="auto"/>
        </w:rPr>
      </w:pPr>
    </w:p>
    <w:p>
      <w:pPr>
        <w:ind w:left="360" w:right="360"/>
        <w:spacing w:after="0" w:line="18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Confirmed cases in China include cases confirmed in Hong Kong SAR (42 confirmed cases, 1 death), Macao SAR (10 confirmed cases) and Taipei and environs (18 confirmed cases).</w:t>
      </w:r>
    </w:p>
    <w:p>
      <w:pPr>
        <w:ind w:left="360"/>
        <w:spacing w:after="0" w:line="214"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ind w:left="360"/>
        <w:spacing w:after="0" w:line="184" w:lineRule="auto"/>
        <w:rPr>
          <w:sz w:val="20"/>
          <w:szCs w:val="20"/>
          <w:color w:val="auto"/>
        </w:rPr>
      </w:pPr>
      <w:r>
        <w:rPr>
          <w:rFonts w:ascii="Calibri" w:cs="Calibri" w:eastAsia="Calibri" w:hAnsi="Calibri"/>
          <w:sz w:val="23"/>
          <w:szCs w:val="23"/>
          <w:color w:val="auto"/>
          <w:vertAlign w:val="superscript"/>
        </w:rPr>
        <w:t>§</w:t>
      </w:r>
      <w:r>
        <w:rPr>
          <w:rFonts w:ascii="Calibri" w:cs="Calibri" w:eastAsia="Calibri" w:hAnsi="Calibri"/>
          <w:sz w:val="17"/>
          <w:szCs w:val="17"/>
          <w:color w:val="auto"/>
        </w:rPr>
        <w:t>The exposure for both cases occurred outside of Spain.</w:t>
      </w:r>
    </w:p>
    <w:p>
      <w:pPr>
        <w:ind w:left="360"/>
        <w:spacing w:after="0" w:line="183"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for 6 cases occurred outside of the United Kingdom.</w:t>
      </w:r>
    </w:p>
    <w:p>
      <w:pPr>
        <w:ind w:left="360"/>
        <w:spacing w:after="0" w:line="184" w:lineRule="auto"/>
        <w:rPr>
          <w:sz w:val="20"/>
          <w:szCs w:val="20"/>
          <w:color w:val="auto"/>
        </w:rPr>
      </w:pPr>
      <w:r>
        <w:rPr>
          <w:rFonts w:ascii="Calibri" w:cs="Calibri" w:eastAsia="Calibri" w:hAnsi="Calibri"/>
          <w:sz w:val="23"/>
          <w:szCs w:val="23"/>
          <w:b w:val="1"/>
          <w:bCs w:val="1"/>
          <w:color w:val="auto"/>
          <w:vertAlign w:val="superscript"/>
        </w:rPr>
        <w:t>††</w:t>
      </w:r>
      <w:r>
        <w:rPr>
          <w:rFonts w:ascii="Calibri" w:cs="Calibri" w:eastAsia="Calibri" w:hAnsi="Calibri"/>
          <w:sz w:val="17"/>
          <w:szCs w:val="17"/>
          <w:color w:val="auto"/>
        </w:rPr>
        <w:t>The exposure for 4 cases occurred outside of Singapore.</w:t>
      </w:r>
    </w:p>
    <w:p>
      <w:pPr>
        <w:ind w:left="360"/>
        <w:spacing w:after="0" w:line="184"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for 3 cases occurred outside of Republic of Korea.</w:t>
      </w:r>
    </w:p>
    <w:p>
      <w:pPr>
        <w:ind w:left="360"/>
        <w:spacing w:after="0" w:line="184" w:lineRule="auto"/>
        <w:rPr>
          <w:sz w:val="20"/>
          <w:szCs w:val="20"/>
          <w:color w:val="auto"/>
        </w:rPr>
      </w:pPr>
      <w:r>
        <w:rPr>
          <w:rFonts w:ascii="Calibri" w:cs="Calibri" w:eastAsia="Calibri" w:hAnsi="Calibri"/>
          <w:sz w:val="23"/>
          <w:szCs w:val="23"/>
          <w:color w:val="auto"/>
          <w:vertAlign w:val="superscript"/>
        </w:rPr>
        <w:t>‡‡</w:t>
      </w:r>
      <w:r>
        <w:rPr>
          <w:rFonts w:ascii="Calibri" w:cs="Calibri" w:eastAsia="Calibri" w:hAnsi="Calibri"/>
          <w:sz w:val="17"/>
          <w:szCs w:val="17"/>
          <w:color w:val="auto"/>
        </w:rPr>
        <w:t>The exposure for 1 case occurred outside of Malaysia.</w:t>
      </w:r>
    </w:p>
    <w:p>
      <w:pPr>
        <w:ind w:left="360"/>
        <w:spacing w:after="0" w:line="209"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The exposure for 2 cases occurred outside of Thailand.</w:t>
      </w:r>
    </w:p>
    <w:p>
      <w:pPr>
        <w:sectPr>
          <w:pgSz w:w="11920" w:h="16841" w:orient="portrait"/>
          <w:cols w:equalWidth="0" w:num="1">
            <w:col w:w="11180"/>
          </w:cols>
          <w:pgMar w:left="360" w:top="943" w:right="371" w:bottom="591" w:gutter="0" w:footer="0" w:header="0"/>
        </w:sectPr>
      </w:pPr>
    </w:p>
    <w:bookmarkStart w:id="4" w:name="page5"/>
    <w:bookmarkEnd w:id="4"/>
    <w:p>
      <w:pPr>
        <w:ind w:right="80"/>
        <w:spacing w:after="0" w:line="218" w:lineRule="auto"/>
        <w:rPr>
          <w:sz w:val="20"/>
          <w:szCs w:val="20"/>
          <w:color w:val="auto"/>
        </w:rPr>
      </w:pPr>
      <w:r>
        <w:rPr>
          <w:rFonts w:ascii="Calibri" w:cs="Calibri" w:eastAsia="Calibri" w:hAnsi="Calibri"/>
          <w:sz w:val="22"/>
          <w:szCs w:val="22"/>
          <w:b w:val="1"/>
          <w:bCs w:val="1"/>
          <w:color w:val="007AB0"/>
        </w:rPr>
        <w:t>Figure 2: Epidemic curve of 2019-nCoV cases (n=150) identified outside of China, by date of onset of symptoms and travel history, 11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174625</wp:posOffset>
            </wp:positionV>
            <wp:extent cx="6648450" cy="30702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6648450" cy="3070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right="40"/>
        <w:spacing w:after="0" w:line="254" w:lineRule="auto"/>
        <w:rPr>
          <w:sz w:val="20"/>
          <w:szCs w:val="20"/>
          <w:color w:val="auto"/>
        </w:rPr>
      </w:pPr>
      <w:r>
        <w:rPr>
          <w:rFonts w:ascii="Calibri" w:cs="Calibri" w:eastAsia="Calibri" w:hAnsi="Calibri"/>
          <w:sz w:val="22"/>
          <w:szCs w:val="22"/>
          <w:color w:val="auto"/>
        </w:rPr>
        <w:t>Note for figure 2: Of the 395 cases reported outside China, 16 were detected while apparently asymptomatic. For the remaining 379 cases, information on date of onset is available only for the 150 cases presented in the epidemiologic curve.</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line="218" w:lineRule="auto"/>
        <w:rPr>
          <w:sz w:val="20"/>
          <w:szCs w:val="20"/>
          <w:color w:val="auto"/>
        </w:rPr>
      </w:pPr>
      <w:r>
        <w:rPr>
          <w:rFonts w:ascii="Calibri" w:cs="Calibri" w:eastAsia="Calibri" w:hAnsi="Calibri"/>
          <w:sz w:val="22"/>
          <w:szCs w:val="22"/>
          <w:b w:val="1"/>
          <w:bCs w:val="1"/>
          <w:color w:val="007AB0"/>
        </w:rPr>
        <w:t>Figure 3: Epidemic curve of 2019-nCoV cases (n=395) identified outside of China, by date of reporting and travel history, 11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3175</wp:posOffset>
            </wp:positionV>
            <wp:extent cx="6648450" cy="32956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6648450" cy="3295650"/>
                    </a:xfrm>
                    <a:prstGeom prst="rect">
                      <a:avLst/>
                    </a:prstGeom>
                    <a:noFill/>
                  </pic:spPr>
                </pic:pic>
              </a:graphicData>
            </a:graphic>
          </wp:anchor>
        </w:drawing>
      </w:r>
    </w:p>
    <w:p>
      <w:pPr>
        <w:sectPr>
          <w:pgSz w:w="11920" w:h="16841" w:orient="portrait"/>
          <w:cols w:equalWidth="0" w:num="1">
            <w:col w:w="10180"/>
          </w:cols>
          <w:pgMar w:left="720" w:top="943" w:right="1011" w:bottom="1440" w:gutter="0" w:footer="0" w:header="0"/>
        </w:sectPr>
      </w:pPr>
    </w:p>
    <w:bookmarkStart w:id="5" w:name="page6"/>
    <w:bookmarkEnd w:id="5"/>
    <w:p>
      <w:pPr>
        <w:spacing w:after="0" w:line="2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300" w:hanging="351"/>
        <w:spacing w:after="0" w:line="225"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1"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60" w:hanging="351"/>
        <w:spacing w:after="0" w:line="218"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8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30"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4" w:lineRule="exact"/>
        <w:rPr>
          <w:sz w:val="20"/>
          <w:szCs w:val="20"/>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2019-nCoV, please go to </w:t>
      </w:r>
      <w:hyperlink r:id="rId14">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87" w:lineRule="exact"/>
        <w:rPr>
          <w:rFonts w:ascii="Calibri" w:cs="Calibri" w:eastAsia="Calibri" w:hAnsi="Calibri"/>
          <w:sz w:val="22"/>
          <w:szCs w:val="22"/>
          <w:color w:val="auto"/>
        </w:rPr>
      </w:pPr>
    </w:p>
    <w:p>
      <w:pPr>
        <w:jc w:val="both"/>
        <w:ind w:left="360" w:right="860" w:hanging="360"/>
        <w:spacing w:after="0" w:line="254"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5">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4" w:lineRule="exact"/>
        <w:rPr>
          <w:rFonts w:ascii="Calibri" w:cs="Calibri" w:eastAsia="Calibri" w:hAnsi="Calibri"/>
          <w:sz w:val="22"/>
          <w:szCs w:val="22"/>
          <w:color w:val="auto"/>
        </w:rPr>
      </w:pPr>
    </w:p>
    <w:p>
      <w:pPr>
        <w:ind w:left="360" w:right="220" w:hanging="360"/>
        <w:spacing w:after="0" w:line="265"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6">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6">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2019-nCoV infection detected in any individual country, to inform the development and updating of public health guidance to manage cases and reduce potential spread and impact of infection.</w:t>
      </w:r>
    </w:p>
    <w:p>
      <w:pPr>
        <w:spacing w:after="0" w:line="62" w:lineRule="exact"/>
        <w:rPr>
          <w:rFonts w:ascii="Calibri" w:cs="Calibri" w:eastAsia="Calibri" w:hAnsi="Calibri"/>
          <w:sz w:val="22"/>
          <w:szCs w:val="22"/>
          <w:color w:val="0000FF"/>
        </w:rPr>
      </w:pPr>
    </w:p>
    <w:p>
      <w:pPr>
        <w:ind w:left="360" w:right="180" w:hanging="360"/>
        <w:spacing w:after="0" w:line="235"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0" w:lineRule="exact"/>
        <w:rPr>
          <w:rFonts w:ascii="Arial" w:cs="Arial" w:eastAsia="Arial" w:hAnsi="Arial"/>
          <w:sz w:val="22"/>
          <w:szCs w:val="22"/>
          <w:color w:val="auto"/>
        </w:rPr>
      </w:pPr>
    </w:p>
    <w:p>
      <w:pPr>
        <w:ind w:left="360" w:right="40" w:hanging="360"/>
        <w:spacing w:after="0" w:line="265" w:lineRule="auto"/>
        <w:tabs>
          <w:tab w:leader="none" w:pos="360" w:val="left"/>
        </w:tabs>
        <w:numPr>
          <w:ilvl w:val="0"/>
          <w:numId w:val="5"/>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7">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18">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18">
        <w:r>
          <w:rPr>
            <w:rFonts w:ascii="Calibri" w:cs="Calibri" w:eastAsia="Calibri" w:hAnsi="Calibri"/>
            <w:sz w:val="22"/>
            <w:szCs w:val="22"/>
            <w:u w:val="single" w:color="auto"/>
            <w:color w:val="0000FF"/>
          </w:rPr>
          <w:t>in health care settings in the context of the novel coronavirus (2019-nCoV) outbreak</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19">
        <w:r>
          <w:rPr>
            <w:rFonts w:ascii="Calibri" w:cs="Calibri" w:eastAsia="Calibri" w:hAnsi="Calibri"/>
            <w:sz w:val="22"/>
            <w:szCs w:val="22"/>
            <w:u w:val="single" w:color="auto"/>
            <w:color w:val="0000FF"/>
          </w:rPr>
          <w:t>clinical management</w:t>
        </w:r>
      </w:hyperlink>
      <w:hyperlink r:id="rId20">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0">
        <w:r>
          <w:rPr>
            <w:rFonts w:ascii="Calibri" w:cs="Calibri" w:eastAsia="Calibri" w:hAnsi="Calibri"/>
            <w:sz w:val="22"/>
            <w:szCs w:val="22"/>
            <w:u w:val="single" w:color="auto"/>
            <w:color w:val="0000FF"/>
          </w:rPr>
          <w:t>infection prevention and control in health care settings</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21">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color w:val="0000FF"/>
        </w:rPr>
        <w:t xml:space="preserve"> </w:t>
      </w:r>
      <w:hyperlink r:id="rId21">
        <w:r>
          <w:rPr>
            <w:rFonts w:ascii="Calibri" w:cs="Calibri" w:eastAsia="Calibri" w:hAnsi="Calibri"/>
            <w:sz w:val="22"/>
            <w:szCs w:val="22"/>
            <w:u w:val="single" w:color="auto"/>
            <w:color w:val="0000FF"/>
          </w:rPr>
          <w:t xml:space="preserve">coronavirus, </w:t>
        </w:r>
      </w:hyperlink>
      <w:hyperlink r:id="rId22">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1">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1">
        <w:r>
          <w:rPr>
            <w:rFonts w:ascii="Calibri" w:cs="Calibri" w:eastAsia="Calibri" w:hAnsi="Calibri"/>
            <w:sz w:val="22"/>
            <w:szCs w:val="22"/>
            <w:u w:val="single" w:color="auto"/>
            <w:color w:val="0000FF"/>
          </w:rPr>
          <w:t>novel coronavirus (2019-nCoV).</w:t>
        </w:r>
      </w:hyperlink>
    </w:p>
    <w:p>
      <w:pPr>
        <w:spacing w:after="0" w:line="63" w:lineRule="exact"/>
        <w:rPr>
          <w:rFonts w:ascii="Calibri" w:cs="Calibri" w:eastAsia="Calibri" w:hAnsi="Calibri"/>
          <w:sz w:val="22"/>
          <w:szCs w:val="22"/>
          <w:u w:val="single" w:color="auto"/>
          <w:color w:val="0000FF"/>
        </w:rPr>
      </w:pPr>
    </w:p>
    <w:p>
      <w:pPr>
        <w:ind w:left="360" w:right="880" w:hanging="360"/>
        <w:spacing w:after="0" w:line="235"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3">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4">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right="1020" w:hanging="360"/>
        <w:spacing w:after="0" w:line="235"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5">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5">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1" w:lineRule="exact"/>
        <w:rPr>
          <w:rFonts w:ascii="Calibri" w:cs="Calibri" w:eastAsia="Calibri" w:hAnsi="Calibri"/>
          <w:sz w:val="22"/>
          <w:szCs w:val="22"/>
          <w:color w:val="0000FF"/>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60" w:hanging="360"/>
        <w:spacing w:after="0" w:line="235"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26">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90" w:lineRule="exact"/>
        <w:rPr>
          <w:rFonts w:ascii="Calibri" w:cs="Calibri" w:eastAsia="Calibri" w:hAnsi="Calibri"/>
          <w:sz w:val="22"/>
          <w:szCs w:val="22"/>
          <w:color w:val="auto"/>
        </w:rPr>
      </w:pPr>
    </w:p>
    <w:p>
      <w:pPr>
        <w:ind w:left="360" w:hanging="360"/>
        <w:spacing w:after="0" w:line="261"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2019-nCoV, help understand spread, severity, spectrum of disease, impact on the community and to inform operational models for implementation of</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-3173095</wp:posOffset>
                </wp:positionV>
                <wp:extent cx="31750" cy="1270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14" o:spid="_x0000_s1039" style="position:absolute;margin-left:202.95pt;margin-top:-249.84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20" w:h="16841" w:orient="portrait"/>
          <w:cols w:equalWidth="0" w:num="1">
            <w:col w:w="10480"/>
          </w:cols>
          <w:pgMar w:left="720" w:top="1440" w:right="711" w:bottom="528" w:gutter="0" w:footer="0" w:header="0"/>
        </w:sectPr>
      </w:pPr>
    </w:p>
    <w:bookmarkStart w:id="6" w:name="page7"/>
    <w:bookmarkEnd w:id="6"/>
    <w:p>
      <w:pPr>
        <w:ind w:left="360"/>
        <w:spacing w:after="0"/>
        <w:rPr>
          <w:sz w:val="20"/>
          <w:szCs w:val="20"/>
          <w:color w:val="auto"/>
        </w:rPr>
      </w:pPr>
      <w:r>
        <w:rPr>
          <w:rFonts w:ascii="Calibri" w:cs="Calibri" w:eastAsia="Calibri" w:hAnsi="Calibri"/>
          <w:sz w:val="22"/>
          <w:szCs w:val="22"/>
          <w:color w:val="auto"/>
        </w:rPr>
        <w:t>countermeasures such as case isolation, contact tracing and isolation. Several protocols are available here:</w:t>
      </w:r>
    </w:p>
    <w:p>
      <w:pPr>
        <w:spacing w:after="0" w:line="41" w:lineRule="exact"/>
        <w:rPr>
          <w:sz w:val="20"/>
          <w:szCs w:val="20"/>
          <w:color w:val="auto"/>
        </w:rPr>
      </w:pPr>
    </w:p>
    <w:p>
      <w:pPr>
        <w:ind w:left="360"/>
        <w:spacing w:after="0"/>
        <w:rPr>
          <w:rFonts w:ascii="Calibri" w:cs="Calibri" w:eastAsia="Calibri" w:hAnsi="Calibri"/>
          <w:sz w:val="22"/>
          <w:szCs w:val="22"/>
          <w:u w:val="single" w:color="auto"/>
          <w:color w:val="0000FF"/>
        </w:rPr>
      </w:pPr>
      <w:hyperlink r:id="rId27">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88" w:lineRule="exact"/>
        <w:rPr>
          <w:sz w:val="20"/>
          <w:szCs w:val="20"/>
          <w:color w:val="auto"/>
        </w:rPr>
      </w:pPr>
    </w:p>
    <w:p>
      <w:pPr>
        <w:ind w:left="360" w:right="300" w:hanging="360"/>
        <w:spacing w:after="0" w:line="261"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7" w:lineRule="exact"/>
        <w:rPr>
          <w:rFonts w:ascii="Arial" w:cs="Arial" w:eastAsia="Arial" w:hAnsi="Arial"/>
          <w:sz w:val="22"/>
          <w:szCs w:val="22"/>
          <w:color w:val="auto"/>
        </w:rPr>
      </w:pPr>
    </w:p>
    <w:p>
      <w:pPr>
        <w:ind w:left="360" w:right="200" w:hanging="360"/>
        <w:spacing w:after="0" w:line="236"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sz w:val="20"/>
          <w:szCs w:val="20"/>
          <w:color w:val="auto"/>
        </w:rPr>
      </w:pPr>
    </w:p>
    <w:p>
      <w:pPr>
        <w:ind w:right="54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2019-nCoV can be similar. The basic principles to reduce the general risk of transmission of acute respiratory infections include the following:</w:t>
      </w:r>
    </w:p>
    <w:p>
      <w:pPr>
        <w:spacing w:after="0" w:line="329" w:lineRule="exact"/>
        <w:rPr>
          <w:sz w:val="20"/>
          <w:szCs w:val="20"/>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Avoiding close contact with people suffering from acute respiratory infections.</w:t>
      </w:r>
    </w:p>
    <w:p>
      <w:pPr>
        <w:spacing w:after="0" w:line="38" w:lineRule="exact"/>
        <w:rPr>
          <w:rFonts w:ascii="Arial" w:cs="Arial" w:eastAsia="Arial" w:hAnsi="Arial"/>
          <w:sz w:val="22"/>
          <w:szCs w:val="22"/>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Frequent hand-washing, especially after direct contact with ill people or their environment.</w:t>
      </w:r>
    </w:p>
    <w:p>
      <w:pPr>
        <w:spacing w:after="0" w:line="41" w:lineRule="exact"/>
        <w:rPr>
          <w:rFonts w:ascii="Arial" w:cs="Arial" w:eastAsia="Arial" w:hAnsi="Arial"/>
          <w:sz w:val="22"/>
          <w:szCs w:val="22"/>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Avoiding unprotected contact with farm or wild animals.</w:t>
      </w:r>
    </w:p>
    <w:p>
      <w:pPr>
        <w:spacing w:after="0" w:line="90" w:lineRule="exact"/>
        <w:rPr>
          <w:rFonts w:ascii="Arial" w:cs="Arial" w:eastAsia="Arial" w:hAnsi="Arial"/>
          <w:sz w:val="22"/>
          <w:szCs w:val="22"/>
          <w:color w:val="auto"/>
        </w:rPr>
      </w:pPr>
    </w:p>
    <w:p>
      <w:pPr>
        <w:ind w:left="360" w:right="200" w:hanging="360"/>
        <w:spacing w:after="0" w:line="235"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0" w:lineRule="exact"/>
        <w:rPr>
          <w:rFonts w:ascii="Arial" w:cs="Arial" w:eastAsia="Arial" w:hAnsi="Arial"/>
          <w:sz w:val="22"/>
          <w:szCs w:val="22"/>
          <w:color w:val="auto"/>
        </w:rPr>
      </w:pPr>
    </w:p>
    <w:p>
      <w:pPr>
        <w:ind w:left="360" w:right="100" w:hanging="360"/>
        <w:spacing w:after="0" w:line="236"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Within health care facilities, enhance standard infection prevention and control practices in hospitals, especially in emergency departments.</w:t>
      </w:r>
    </w:p>
    <w:p>
      <w:pPr>
        <w:spacing w:after="0" w:line="291" w:lineRule="exact"/>
        <w:rPr>
          <w:sz w:val="20"/>
          <w:szCs w:val="20"/>
          <w:color w:val="auto"/>
        </w:rPr>
      </w:pPr>
    </w:p>
    <w:p>
      <w:pPr>
        <w:jc w:val="both"/>
        <w:spacing w:after="0" w:line="253" w:lineRule="auto"/>
        <w:rPr>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 care provider.</w:t>
      </w:r>
    </w:p>
    <w:sectPr>
      <w:pgSz w:w="11920" w:h="16841" w:orient="portrait"/>
      <w:cols w:equalWidth="0" w:num="1">
        <w:col w:w="10460"/>
      </w:cols>
      <w:pgMar w:left="720" w:top="894" w:right="7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1"/>
      <w:numFmt w:val="decimal"/>
      <w:start w:val="24"/>
    </w:lvl>
  </w:abstractNum>
  <w:abstractNum w:abstractNumId="2">
    <w:nsid w:val="46E87CCD"/>
    <w:multiLevelType w:val="hybridMultilevel"/>
    <w:lvl w:ilvl="0">
      <w:lvlJc w:val="left"/>
      <w:lvlText w:val="%1"/>
      <w:numFmt w:val="decimal"/>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9" Type="http://schemas.openxmlformats.org/officeDocument/2006/relationships/hyperlink" Target="https://www.who.int/topics/infectious_diseases/naming-new-diseases/en/" TargetMode="External"/><Relationship Id="rId11" Type="http://schemas.openxmlformats.org/officeDocument/2006/relationships/hyperlink" Target="https://www.who.int/publications-detail/global-surveillance-for-human-infection-with-novel-coronavirus-(2019-ncov)" TargetMode="External"/><Relationship Id="rId14" Type="http://schemas.openxmlformats.org/officeDocument/2006/relationships/hyperlink" Target="https://www.who.int/emergencies/diseases/novel-coronavirus-2019/technical-guidance" TargetMode="External"/><Relationship Id="rId15" Type="http://schemas.openxmlformats.org/officeDocument/2006/relationships/hyperlink" Target="https://www.iata.org/en/programs/safety/health/diseases/#tab-2" TargetMode="External"/><Relationship Id="rId16" Type="http://schemas.openxmlformats.org/officeDocument/2006/relationships/hyperlink" Target="https://www.who.int/publications-detail/the-first-few-x-(ffx)-cases-and-contact-investigation-protocol-for-2019-novel-coronavirus-(2019-ncov)-infection" TargetMode="External"/><Relationship Id="rId17" Type="http://schemas.openxmlformats.org/officeDocument/2006/relationships/hyperlink" Target="https://www.who.int/emergencies/diseases/novel-coronavirus-2019/technical-guidance/laboratory-guidance" TargetMode="External"/><Relationship Id="rId18" Type="http://schemas.openxmlformats.org/officeDocument/2006/relationships/hyperlink" Target="https://www.who.int/publications-detail/advice-on-the-use-of-masks-the-community-during-home-care-and-in-health-care-settings-in-the-context-of-the-novel-coronavirus-(2019-ncov)-outbreak" TargetMode="External"/><Relationship Id="rId19" Type="http://schemas.openxmlformats.org/officeDocument/2006/relationships/hyperlink" Target="https://www.who.int/publications-detail/clinical-management-of-severe-acute-respiratory-infection-when-novel-coronavirus-(ncov)-infection-is-suspected" TargetMode="External"/><Relationship Id="rId20" Type="http://schemas.openxmlformats.org/officeDocument/2006/relationships/hyperlink" Target="https://www.who.int/publications-detail/infection-prevention-and-control-during-health-care-when-novel-coronavirus-(ncov)-infection-is-suspected" TargetMode="External"/><Relationship Id="rId21" Type="http://schemas.openxmlformats.org/officeDocument/2006/relationships/hyperlink" Target="https://www.who.int/publications-detail/home-care-for-patients-with-suspected-novel-coronavirus-(ncov)-infection-presenting-with-mild-symptoms-and-management-of-contacts" TargetMode="External"/><Relationship Id="rId22" Type="http://schemas.openxmlformats.org/officeDocument/2006/relationships/hyperlink" Target="https://www.who.int/publications-detail/risk-communication-and-community-engagement-readiness-and-initial-response-for-novel-coronaviruses-(-ncov)" TargetMode="External"/><Relationship Id="rId23" Type="http://schemas.openxmlformats.org/officeDocument/2006/relationships/hyperlink" Target="https://www.who.int/publications-detail/disease-commodity-package---novel-coronavirus-(ncov)" TargetMode="External"/><Relationship Id="rId24" Type="http://schemas.openxmlformats.org/officeDocument/2006/relationships/hyperlink" Target="https://www.who.int/health-topics/coronavirus/who-recommendations-to-reduce-risk-of-transmission-of-emerging-pathogens-from-animals-to-humans-in-live-animal-markets" TargetMode="External"/><Relationship Id="rId25" Type="http://schemas.openxmlformats.org/officeDocument/2006/relationships/hyperlink" Target="https://www.who.int/ith/2019-nCoV_advice_for_international_traffic/en/" TargetMode="External"/><Relationship Id="rId26" Type="http://schemas.openxmlformats.org/officeDocument/2006/relationships/hyperlink" Target="https://openwho.org/courses/introduction-to-ncov" TargetMode="External"/><Relationship Id="rId27" Type="http://schemas.openxmlformats.org/officeDocument/2006/relationships/hyperlink" Target="https://www.who.int/emergencies/diseases/novel-coronavirus-2019/technical-guidance/early-investig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2020-03-10T16:45:53Z</dcterms:created>
  <dcterms:modified xsi:type="dcterms:W3CDTF">2020-03-10T16:45:53Z</dcterms:modified>
</cp:coreProperties>
</file>