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rPr>
          <w:sz w:val="20"/>
          <w:szCs w:val="20"/>
          <w:color w:val="auto"/>
        </w:rPr>
      </w:pPr>
      <w:r>
        <w:rPr>
          <w:rFonts w:ascii="Arial" w:cs="Arial" w:eastAsia="Arial" w:hAnsi="Arial"/>
          <w:sz w:val="34"/>
          <w:szCs w:val="34"/>
          <w:b w:val="1"/>
          <w:bCs w:val="1"/>
          <w:color w:val="FFFFFF"/>
        </w:rPr>
        <w:t>Situation Report – 23</w:t>
      </w:r>
    </w:p>
    <w:p>
      <w:pPr>
        <w:spacing w:after="0" w:line="31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12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77470</wp:posOffset>
                </wp:positionV>
                <wp:extent cx="2305050" cy="41548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4805"/>
                        </a:xfrm>
                        <a:prstGeom prst="rect">
                          <a:avLst/>
                        </a:prstGeom>
                        <a:solidFill>
                          <a:srgbClr val="E9E6D7"/>
                        </a:solidFill>
                      </wps:spPr>
                      <wps:bodyPr/>
                    </wps:wsp>
                  </a:graphicData>
                </a:graphic>
              </wp:anchor>
            </w:drawing>
          </mc:Choice>
          <mc:Fallback>
            <w:pict>
              <v:rect id="Shape 2" o:spid="_x0000_s1027" style="position:absolute;margin-left:390.1pt;margin-top:6.1pt;width:181.5pt;height:32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-92075</wp:posOffset>
                </wp:positionH>
                <wp:positionV relativeFrom="paragraph">
                  <wp:posOffset>78740</wp:posOffset>
                </wp:positionV>
                <wp:extent cx="5072380" cy="498157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981575"/>
                        </a:xfrm>
                        <a:prstGeom prst="rect">
                          <a:avLst/>
                        </a:prstGeom>
                        <a:solidFill>
                          <a:srgbClr val="FFFFFF"/>
                        </a:solidFill>
                      </wps:spPr>
                      <wps:bodyPr/>
                    </wps:wsp>
                  </a:graphicData>
                </a:graphic>
              </wp:anchor>
            </w:drawing>
          </mc:Choice>
          <mc:Fallback>
            <w:pict>
              <v:rect id="Shape 3" o:spid="_x0000_s1028" style="position:absolute;margin-left:-7.2499pt;margin-top:6.2pt;width:399.4pt;height:39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7"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30" w:lineRule="exact"/>
        <w:rPr>
          <w:rFonts w:ascii="Arial" w:cs="Arial" w:eastAsia="Arial" w:hAnsi="Arial"/>
          <w:sz w:val="22"/>
          <w:szCs w:val="22"/>
          <w:color w:val="auto"/>
        </w:rPr>
      </w:pPr>
    </w:p>
    <w:p>
      <w:pPr>
        <w:ind w:left="720" w:hanging="362"/>
        <w:spacing w:after="0" w:line="217"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has published key considerations for repatriation and quarantine of travellers in relation to COVID-19. More information can be found </w:t>
      </w:r>
      <w:hyperlink r:id="rId9">
        <w:r>
          <w:rPr>
            <w:rFonts w:ascii="Calibri" w:cs="Calibri" w:eastAsia="Calibri" w:hAnsi="Calibri"/>
            <w:sz w:val="22"/>
            <w:szCs w:val="22"/>
            <w:u w:val="single" w:color="auto"/>
            <w:color w:val="0000FF"/>
          </w:rPr>
          <w:t>here.</w:t>
        </w:r>
      </w:hyperlink>
    </w:p>
    <w:p>
      <w:pPr>
        <w:spacing w:after="0" w:line="331" w:lineRule="exact"/>
        <w:rPr>
          <w:rFonts w:ascii="Calibri" w:cs="Calibri" w:eastAsia="Calibri" w:hAnsi="Calibri"/>
          <w:sz w:val="22"/>
          <w:szCs w:val="22"/>
          <w:color w:val="auto"/>
        </w:rPr>
      </w:pPr>
    </w:p>
    <w:p>
      <w:pPr>
        <w:jc w:val="both"/>
        <w:ind w:left="720" w:hanging="362"/>
        <w:spacing w:after="0" w:line="235"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UN activated a Crisis Management Team (CMT) on the COVID-19 outbreak, to be led by WHO. The WHO Director-General nominated Dr Mike Ryan, Executive Director of WHO Health Emergencies Programme as the Crisis Manager. The CMT brings together WHO, OCHA, IMO (International Maritime Organization), UNICEF, ICAO, WFP, FAO, the World Bank and several departments of the UN Secretariat. It held its first meeting yesterday via teleconference. This mechanism will help WHO focus on the health response while the other agencies will bring their expertise to bear on the wider social, economic and developmental implications of the outbreak. Additional members will be included depending on the evolution of the outbreak and its impact globally.</w:t>
      </w:r>
    </w:p>
    <w:p>
      <w:pPr>
        <w:spacing w:after="0" w:line="341" w:lineRule="exact"/>
        <w:rPr>
          <w:rFonts w:ascii="Arial" w:cs="Arial" w:eastAsia="Arial" w:hAnsi="Arial"/>
          <w:sz w:val="22"/>
          <w:szCs w:val="22"/>
          <w:color w:val="auto"/>
        </w:rPr>
      </w:pPr>
    </w:p>
    <w:p>
      <w:pPr>
        <w:jc w:val="both"/>
        <w:ind w:left="720" w:hanging="362"/>
        <w:spacing w:after="0" w:line="225"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list of </w:t>
      </w:r>
      <w:hyperlink r:id="rId10">
        <w:r>
          <w:rPr>
            <w:rFonts w:ascii="Calibri" w:cs="Calibri" w:eastAsia="Calibri" w:hAnsi="Calibri"/>
            <w:sz w:val="22"/>
            <w:szCs w:val="22"/>
            <w:u w:val="single" w:color="auto"/>
            <w:color w:val="800080"/>
          </w:rPr>
          <w:t>Q&amp;A</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on infection prevention and control for health care workers caring for patients with suspected or confirmed 2019-nCoV</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16"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7" w:lineRule="exact"/>
        <w:rPr>
          <w:rFonts w:ascii="Arial" w:cs="Arial" w:eastAsia="Arial" w:hAnsi="Arial"/>
          <w:sz w:val="22"/>
          <w:szCs w:val="22"/>
          <w:color w:val="auto"/>
        </w:rPr>
      </w:pPr>
    </w:p>
    <w:p>
      <w:pPr>
        <w:ind w:right="200"/>
        <w:spacing w:after="0" w:line="236"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2"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45 171 confirmed (2068 new)</w:t>
      </w:r>
    </w:p>
    <w:p>
      <w:pPr>
        <w:spacing w:after="0" w:line="292"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44 730 confirmed (2022 new)</w:t>
      </w:r>
    </w:p>
    <w:p>
      <w:pPr>
        <w:spacing w:after="0" w:line="1" w:lineRule="exact"/>
        <w:rPr>
          <w:rFonts w:ascii="Arial" w:cs="Arial" w:eastAsia="Arial" w:hAnsi="Arial"/>
          <w:sz w:val="22"/>
          <w:szCs w:val="22"/>
          <w:color w:val="auto"/>
        </w:rPr>
      </w:pPr>
    </w:p>
    <w:p>
      <w:pPr>
        <w:ind w:left="280"/>
        <w:spacing w:after="0"/>
        <w:rPr>
          <w:sz w:val="20"/>
          <w:szCs w:val="20"/>
          <w:color w:val="auto"/>
        </w:rPr>
      </w:pPr>
      <w:r>
        <w:rPr>
          <w:rFonts w:ascii="Calibri" w:cs="Calibri" w:eastAsia="Calibri" w:hAnsi="Calibri"/>
          <w:sz w:val="24"/>
          <w:szCs w:val="24"/>
          <w:color w:val="FF6600"/>
        </w:rPr>
        <w:t>8204 severe (871 new)</w:t>
      </w:r>
    </w:p>
    <w:p>
      <w:pPr>
        <w:ind w:left="380"/>
        <w:spacing w:after="0"/>
        <w:rPr>
          <w:sz w:val="20"/>
          <w:szCs w:val="20"/>
          <w:color w:val="auto"/>
        </w:rPr>
      </w:pPr>
      <w:r>
        <w:rPr>
          <w:rFonts w:ascii="Calibri" w:cs="Calibri" w:eastAsia="Calibri" w:hAnsi="Calibri"/>
          <w:sz w:val="24"/>
          <w:szCs w:val="24"/>
          <w:color w:val="FF6600"/>
        </w:rPr>
        <w:t>1114 deaths (97 new)</w:t>
      </w:r>
    </w:p>
    <w:p>
      <w:pPr>
        <w:spacing w:after="0" w:line="292" w:lineRule="exact"/>
        <w:rPr>
          <w:rFonts w:ascii="Arial" w:cs="Arial" w:eastAsia="Arial" w:hAnsi="Arial"/>
          <w:sz w:val="22"/>
          <w:szCs w:val="22"/>
          <w:color w:val="auto"/>
        </w:rPr>
      </w:pPr>
    </w:p>
    <w:p>
      <w:pPr>
        <w:ind w:left="160"/>
        <w:spacing w:after="0"/>
        <w:rPr>
          <w:sz w:val="20"/>
          <w:szCs w:val="20"/>
          <w:color w:val="auto"/>
        </w:rPr>
      </w:pPr>
      <w:r>
        <w:rPr>
          <w:rFonts w:ascii="Calibri" w:cs="Calibri" w:eastAsia="Calibri" w:hAnsi="Calibri"/>
          <w:sz w:val="24"/>
          <w:szCs w:val="24"/>
          <w:b w:val="1"/>
          <w:bCs w:val="1"/>
          <w:color w:val="FF6600"/>
        </w:rPr>
        <w:t>Outside of China</w:t>
      </w:r>
    </w:p>
    <w:p>
      <w:pPr>
        <w:ind w:left="440"/>
        <w:spacing w:after="0"/>
        <w:rPr>
          <w:sz w:val="20"/>
          <w:szCs w:val="20"/>
          <w:color w:val="auto"/>
        </w:rPr>
      </w:pPr>
      <w:r>
        <w:rPr>
          <w:rFonts w:ascii="Calibri" w:cs="Calibri" w:eastAsia="Calibri" w:hAnsi="Calibri"/>
          <w:sz w:val="24"/>
          <w:szCs w:val="24"/>
          <w:color w:val="FF6600"/>
        </w:rPr>
        <w:t>441 confirmed (46 new)</w:t>
      </w:r>
    </w:p>
    <w:p>
      <w:pPr>
        <w:ind w:left="840" w:hanging="292"/>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4" w:lineRule="exact"/>
        <w:rPr>
          <w:rFonts w:ascii="Arial" w:cs="Arial" w:eastAsia="Arial" w:hAnsi="Arial"/>
          <w:sz w:val="22"/>
          <w:szCs w:val="22"/>
          <w:color w:val="auto"/>
        </w:rPr>
      </w:pPr>
    </w:p>
    <w:p>
      <w:pPr>
        <w:jc w:val="center"/>
        <w:ind w:right="3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Arial" w:cs="Arial" w:eastAsia="Arial" w:hAnsi="Arial"/>
          <w:sz w:val="22"/>
          <w:szCs w:val="22"/>
          <w:color w:val="auto"/>
        </w:rPr>
      </w:pPr>
    </w:p>
    <w:p>
      <w:pPr>
        <w:sectPr>
          <w:pgSz w:w="11920" w:h="16840" w:orient="portrait"/>
          <w:cols w:equalWidth="0" w:num="2">
            <w:col w:w="7580" w:space="360"/>
            <w:col w:w="3000"/>
          </w:cols>
          <w:pgMar w:left="400" w:top="519" w:right="570" w:bottom="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36" w:lineRule="exact"/>
        <w:rPr>
          <w:rFonts w:ascii="Arial" w:cs="Arial" w:eastAsia="Arial" w:hAnsi="Arial"/>
          <w:sz w:val="22"/>
          <w:szCs w:val="22"/>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12 February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304800</wp:posOffset>
            </wp:positionH>
            <wp:positionV relativeFrom="paragraph">
              <wp:posOffset>223520</wp:posOffset>
            </wp:positionV>
            <wp:extent cx="6448425"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48425" cy="3627120"/>
                    </a:xfrm>
                    <a:prstGeom prst="rect">
                      <a:avLst/>
                    </a:prstGeom>
                    <a:noFill/>
                  </pic:spPr>
                </pic:pic>
              </a:graphicData>
            </a:graphic>
          </wp:anchor>
        </w:drawing>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46" w:lineRule="exact"/>
        <w:rPr>
          <w:rFonts w:ascii="Arial" w:cs="Arial" w:eastAsia="Arial" w:hAnsi="Arial"/>
          <w:sz w:val="22"/>
          <w:szCs w:val="22"/>
          <w:color w:val="auto"/>
        </w:rPr>
      </w:pPr>
    </w:p>
    <w:p>
      <w:pPr>
        <w:ind w:left="2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0" w:orient="portrait"/>
          <w:cols w:equalWidth="0" w:num="1">
            <w:col w:w="10940"/>
          </w:cols>
          <w:pgMar w:left="400" w:top="519" w:right="570"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Internationally exported COVID-19 cases</w:t>
      </w:r>
    </w:p>
    <w:p>
      <w:pPr>
        <w:spacing w:after="0" w:line="299" w:lineRule="exact"/>
        <w:rPr>
          <w:sz w:val="20"/>
          <w:szCs w:val="20"/>
          <w:color w:val="auto"/>
        </w:rPr>
      </w:pPr>
    </w:p>
    <w:p>
      <w:pPr>
        <w:spacing w:after="0" w:line="232" w:lineRule="auto"/>
        <w:rPr>
          <w:sz w:val="20"/>
          <w:szCs w:val="20"/>
          <w:color w:val="auto"/>
        </w:rPr>
      </w:pPr>
      <w:r>
        <w:rPr>
          <w:rFonts w:ascii="Calibri" w:cs="Calibri" w:eastAsia="Calibri" w:hAnsi="Calibri"/>
          <w:sz w:val="22"/>
          <w:szCs w:val="22"/>
          <w:color w:val="auto"/>
        </w:rPr>
        <w:t>Excluding China, there are 24 countries reporting cases of COVID-19. Among these 24 countries, 23 report cases with an exposure in China. In addition, 11 of these 23 countries report cases attributed to local transmission inside the reporting country. Four of the 24 countries report cases where likely exposure occurred outside the reporting country and outside of China. Among these four reporting countries the most likely countries where exposure occurred were France, Germany, Japan and Singapore (see map below). All transmissions occurred within known defined clusters.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180975</wp:posOffset>
            </wp:positionV>
            <wp:extent cx="6647815" cy="37388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647815" cy="3738880"/>
                    </a:xfrm>
                    <a:prstGeom prst="rect">
                      <a:avLst/>
                    </a:prstGeom>
                    <a:noFill/>
                  </pic:spPr>
                </pic:pic>
              </a:graphicData>
            </a:graphic>
          </wp:anchor>
        </w:drawing>
      </w:r>
    </w:p>
    <w:p>
      <w:pPr>
        <w:sectPr>
          <w:pgSz w:w="11920" w:h="16840" w:orient="portrait"/>
          <w:cols w:equalWidth="0" w:num="1">
            <w:col w:w="10420"/>
          </w:cols>
          <w:pgMar w:left="720" w:top="899" w:right="770"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2" w:lineRule="exact"/>
        <w:rPr>
          <w:sz w:val="20"/>
          <w:szCs w:val="20"/>
          <w:color w:val="auto"/>
        </w:rPr>
      </w:pPr>
    </w:p>
    <w:p>
      <w:pPr>
        <w:spacing w:after="0" w:line="217" w:lineRule="auto"/>
        <w:rPr>
          <w:sz w:val="20"/>
          <w:szCs w:val="20"/>
          <w:color w:val="auto"/>
        </w:rPr>
      </w:pPr>
      <w:r>
        <w:rPr>
          <w:rFonts w:ascii="Calibri" w:cs="Calibri" w:eastAsia="Calibri" w:hAnsi="Calibri"/>
          <w:sz w:val="22"/>
          <w:szCs w:val="22"/>
          <w:b w:val="1"/>
          <w:bCs w:val="1"/>
          <w:color w:val="007AB0"/>
        </w:rPr>
        <w:t>Table 1. Confirmed cases of COVID-19 acute respiratory disease reported by provinces, regions and cities in China, 12 February 2020</w:t>
      </w:r>
    </w:p>
    <w:p>
      <w:pPr>
        <w:spacing w:after="0" w:line="153" w:lineRule="exact"/>
        <w:rPr>
          <w:sz w:val="20"/>
          <w:szCs w:val="20"/>
          <w:color w:val="auto"/>
        </w:rPr>
      </w:pPr>
    </w:p>
    <w:tbl>
      <w:tblPr>
        <w:tblLayout w:type="fixed"/>
        <w:tblInd w:w="550" w:type="dxa"/>
        <w:tblCellMar>
          <w:top w:w="0" w:type="dxa"/>
          <w:left w:w="0" w:type="dxa"/>
          <w:bottom w:w="0" w:type="dxa"/>
          <w:right w:w="0" w:type="dxa"/>
        </w:tblCellMar>
      </w:tblPr>
      <w:tr>
        <w:trPr>
          <w:trHeight w:val="20"/>
        </w:trPr>
        <w:tc>
          <w:tcPr>
            <w:tcW w:w="100" w:type="dxa"/>
            <w:vAlign w:val="bottom"/>
            <w:tcBorders>
              <w:left w:val="single" w:sz="8" w:color="4F81BD"/>
            </w:tcBorders>
            <w:shd w:val="clear" w:color="auto" w:fill="4F81BD"/>
          </w:tcPr>
          <w:p>
            <w:pPr>
              <w:spacing w:after="0" w:line="20" w:lineRule="exact"/>
              <w:rPr>
                <w:sz w:val="1"/>
                <w:szCs w:val="1"/>
                <w:color w:val="auto"/>
              </w:rPr>
            </w:pPr>
          </w:p>
        </w:tc>
        <w:tc>
          <w:tcPr>
            <w:tcW w:w="21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Province/Region/City</w:t>
            </w:r>
            <w:r>
              <w:rPr>
                <w:rFonts w:ascii="Calibri" w:cs="Calibri" w:eastAsia="Calibri" w:hAnsi="Calibri"/>
                <w:sz w:val="28"/>
                <w:szCs w:val="28"/>
                <w:b w:val="1"/>
                <w:bCs w:val="1"/>
                <w:color w:val="FFFFFF"/>
                <w:vertAlign w:val="superscript"/>
              </w:rPr>
              <w:t>1</w:t>
            </w:r>
          </w:p>
        </w:tc>
        <w:tc>
          <w:tcPr>
            <w:tcW w:w="140" w:type="dxa"/>
            <w:vAlign w:val="bottom"/>
            <w:tcBorders>
              <w:right w:val="single" w:sz="8" w:color="4F81BD"/>
            </w:tcBorders>
            <w:shd w:val="clear" w:color="auto" w:fill="4F81BD"/>
          </w:tcPr>
          <w:p>
            <w:pPr>
              <w:spacing w:after="0" w:line="20" w:lineRule="exact"/>
              <w:rPr>
                <w:sz w:val="1"/>
                <w:szCs w:val="1"/>
                <w:color w:val="auto"/>
              </w:rPr>
            </w:pPr>
          </w:p>
        </w:tc>
        <w:tc>
          <w:tcPr>
            <w:tcW w:w="80" w:type="dxa"/>
            <w:vAlign w:val="bottom"/>
            <w:shd w:val="clear" w:color="auto" w:fill="4F81BD"/>
          </w:tcPr>
          <w:p>
            <w:pPr>
              <w:spacing w:after="0" w:line="20" w:lineRule="exact"/>
              <w:rPr>
                <w:sz w:val="1"/>
                <w:szCs w:val="1"/>
                <w:color w:val="auto"/>
              </w:rPr>
            </w:pPr>
          </w:p>
        </w:tc>
        <w:tc>
          <w:tcPr>
            <w:tcW w:w="2220" w:type="dxa"/>
            <w:vAlign w:val="bottom"/>
            <w:vMerge w:val="restart"/>
            <w:shd w:val="clear" w:color="auto" w:fill="4F81BD"/>
          </w:tcPr>
          <w:p>
            <w:pPr>
              <w:ind w:left="60"/>
              <w:spacing w:after="0"/>
              <w:rPr>
                <w:sz w:val="20"/>
                <w:szCs w:val="20"/>
                <w:color w:val="auto"/>
              </w:rPr>
            </w:pPr>
            <w:r>
              <w:rPr>
                <w:rFonts w:ascii="Calibri" w:cs="Calibri" w:eastAsia="Calibri" w:hAnsi="Calibri"/>
                <w:sz w:val="22"/>
                <w:szCs w:val="22"/>
                <w:b w:val="1"/>
                <w:bCs w:val="1"/>
                <w:color w:val="FFFFFF"/>
                <w:shd w:val="clear" w:color="auto" w:fill="4F81BD"/>
              </w:rPr>
              <w:t>Population (in 10,000s)</w:t>
            </w:r>
          </w:p>
        </w:tc>
        <w:tc>
          <w:tcPr>
            <w:tcW w:w="140" w:type="dxa"/>
            <w:vAlign w:val="bottom"/>
            <w:tcBorders>
              <w:right w:val="single" w:sz="8" w:color="4F81BD"/>
            </w:tcBorders>
            <w:shd w:val="clear" w:color="auto" w:fill="4F81BD"/>
          </w:tcPr>
          <w:p>
            <w:pPr>
              <w:spacing w:after="0" w:line="20" w:lineRule="exact"/>
              <w:rPr>
                <w:sz w:val="1"/>
                <w:szCs w:val="1"/>
                <w:color w:val="auto"/>
              </w:rPr>
            </w:pPr>
          </w:p>
        </w:tc>
        <w:tc>
          <w:tcPr>
            <w:tcW w:w="80" w:type="dxa"/>
            <w:vAlign w:val="bottom"/>
            <w:shd w:val="clear" w:color="auto" w:fill="4F81BD"/>
          </w:tcPr>
          <w:p>
            <w:pPr>
              <w:spacing w:after="0" w:line="20" w:lineRule="exact"/>
              <w:rPr>
                <w:sz w:val="1"/>
                <w:szCs w:val="1"/>
                <w:color w:val="auto"/>
              </w:rPr>
            </w:pPr>
          </w:p>
        </w:tc>
        <w:tc>
          <w:tcPr>
            <w:tcW w:w="1680" w:type="dxa"/>
            <w:vAlign w:val="bottom"/>
            <w:vMerge w:val="restart"/>
            <w:shd w:val="clear" w:color="auto" w:fill="4F81BD"/>
          </w:tcPr>
          <w:p>
            <w:pPr>
              <w:ind w:left="80"/>
              <w:spacing w:after="0"/>
              <w:rPr>
                <w:sz w:val="20"/>
                <w:szCs w:val="20"/>
                <w:color w:val="auto"/>
              </w:rPr>
            </w:pPr>
            <w:r>
              <w:rPr>
                <w:rFonts w:ascii="Calibri" w:cs="Calibri" w:eastAsia="Calibri" w:hAnsi="Calibri"/>
                <w:sz w:val="22"/>
                <w:szCs w:val="22"/>
                <w:b w:val="1"/>
                <w:bCs w:val="1"/>
                <w:color w:val="FFFFFF"/>
                <w:shd w:val="clear" w:color="auto" w:fill="4F81BD"/>
              </w:rPr>
              <w:t>Confirmed Cases</w:t>
            </w:r>
          </w:p>
        </w:tc>
        <w:tc>
          <w:tcPr>
            <w:tcW w:w="140" w:type="dxa"/>
            <w:vAlign w:val="bottom"/>
            <w:tcBorders>
              <w:right w:val="single" w:sz="8" w:color="4F81BD"/>
            </w:tcBorders>
            <w:vMerge w:val="restart"/>
            <w:shd w:val="clear" w:color="auto" w:fill="4F81BD"/>
          </w:tcPr>
          <w:p>
            <w:pPr>
              <w:spacing w:after="0" w:line="20" w:lineRule="exact"/>
              <w:rPr>
                <w:sz w:val="1"/>
                <w:szCs w:val="1"/>
                <w:color w:val="auto"/>
              </w:rPr>
            </w:pPr>
          </w:p>
        </w:tc>
        <w:tc>
          <w:tcPr>
            <w:tcW w:w="80" w:type="dxa"/>
            <w:vAlign w:val="bottom"/>
            <w:vMerge w:val="restart"/>
            <w:shd w:val="clear" w:color="auto" w:fill="4F81BD"/>
          </w:tcPr>
          <w:p>
            <w:pPr>
              <w:spacing w:after="0" w:line="20" w:lineRule="exact"/>
              <w:rPr>
                <w:sz w:val="1"/>
                <w:szCs w:val="1"/>
                <w:color w:val="auto"/>
              </w:rPr>
            </w:pPr>
          </w:p>
        </w:tc>
        <w:tc>
          <w:tcPr>
            <w:tcW w:w="108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Suspect</w:t>
            </w:r>
          </w:p>
        </w:tc>
        <w:tc>
          <w:tcPr>
            <w:tcW w:w="140" w:type="dxa"/>
            <w:vAlign w:val="bottom"/>
            <w:tcBorders>
              <w:right w:val="single" w:sz="8" w:color="4F81BD"/>
            </w:tcBorders>
            <w:shd w:val="clear" w:color="auto" w:fill="4F81BD"/>
          </w:tcPr>
          <w:p>
            <w:pPr>
              <w:spacing w:after="0" w:line="20" w:lineRule="exact"/>
              <w:rPr>
                <w:sz w:val="1"/>
                <w:szCs w:val="1"/>
                <w:color w:val="auto"/>
              </w:rPr>
            </w:pPr>
          </w:p>
        </w:tc>
        <w:tc>
          <w:tcPr>
            <w:tcW w:w="80" w:type="dxa"/>
            <w:vAlign w:val="bottom"/>
            <w:shd w:val="clear" w:color="auto" w:fill="4F81BD"/>
          </w:tcPr>
          <w:p>
            <w:pPr>
              <w:spacing w:after="0" w:line="20" w:lineRule="exact"/>
              <w:rPr>
                <w:sz w:val="1"/>
                <w:szCs w:val="1"/>
                <w:color w:val="auto"/>
              </w:rPr>
            </w:pPr>
          </w:p>
        </w:tc>
        <w:tc>
          <w:tcPr>
            <w:tcW w:w="1220" w:type="dxa"/>
            <w:vAlign w:val="bottom"/>
            <w:vMerge w:val="restart"/>
            <w:shd w:val="clear" w:color="auto" w:fill="4F81BD"/>
          </w:tcPr>
          <w:p>
            <w:pPr>
              <w:ind w:left="40"/>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140" w:type="dxa"/>
            <w:vAlign w:val="bottom"/>
            <w:tcBorders>
              <w:right w:val="single" w:sz="8" w:color="4F81BD"/>
            </w:tcBorders>
            <w:shd w:val="clear" w:color="auto" w:fill="4F81BD"/>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4"/>
        </w:trPr>
        <w:tc>
          <w:tcPr>
            <w:tcW w:w="100" w:type="dxa"/>
            <w:vAlign w:val="bottom"/>
            <w:tcBorders>
              <w:left w:val="single" w:sz="8" w:color="4F81BD"/>
            </w:tcBorders>
            <w:shd w:val="clear" w:color="auto" w:fill="4F81BD"/>
          </w:tcPr>
          <w:p>
            <w:pPr>
              <w:spacing w:after="0"/>
              <w:rPr>
                <w:sz w:val="22"/>
                <w:szCs w:val="22"/>
                <w:color w:val="auto"/>
              </w:rPr>
            </w:pPr>
          </w:p>
        </w:tc>
        <w:tc>
          <w:tcPr>
            <w:tcW w:w="2100" w:type="dxa"/>
            <w:vAlign w:val="bottom"/>
            <w:vMerge w:val="continue"/>
            <w:shd w:val="clear" w:color="auto" w:fill="4F81BD"/>
          </w:tcPr>
          <w:p>
            <w:pPr>
              <w:spacing w:after="0"/>
              <w:rPr>
                <w:sz w:val="22"/>
                <w:szCs w:val="22"/>
                <w:color w:val="auto"/>
              </w:rPr>
            </w:pPr>
          </w:p>
        </w:tc>
        <w:tc>
          <w:tcPr>
            <w:tcW w:w="140" w:type="dxa"/>
            <w:vAlign w:val="bottom"/>
            <w:tcBorders>
              <w:right w:val="single" w:sz="8" w:color="4F81BD"/>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2220" w:type="dxa"/>
            <w:vAlign w:val="bottom"/>
            <w:vMerge w:val="continue"/>
            <w:shd w:val="clear" w:color="auto" w:fill="4F81BD"/>
          </w:tcPr>
          <w:p>
            <w:pPr>
              <w:spacing w:after="0"/>
              <w:rPr>
                <w:sz w:val="22"/>
                <w:szCs w:val="22"/>
                <w:color w:val="auto"/>
              </w:rPr>
            </w:pPr>
          </w:p>
        </w:tc>
        <w:tc>
          <w:tcPr>
            <w:tcW w:w="140" w:type="dxa"/>
            <w:vAlign w:val="bottom"/>
            <w:tcBorders>
              <w:right w:val="single" w:sz="8" w:color="4F81BD"/>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680" w:type="dxa"/>
            <w:vAlign w:val="bottom"/>
            <w:vMerge w:val="continue"/>
            <w:shd w:val="clear" w:color="auto" w:fill="4F81BD"/>
          </w:tcPr>
          <w:p>
            <w:pPr>
              <w:spacing w:after="0"/>
              <w:rPr>
                <w:sz w:val="22"/>
                <w:szCs w:val="22"/>
                <w:color w:val="auto"/>
              </w:rPr>
            </w:pPr>
          </w:p>
        </w:tc>
        <w:tc>
          <w:tcPr>
            <w:tcW w:w="140" w:type="dxa"/>
            <w:vAlign w:val="bottom"/>
            <w:tcBorders>
              <w:right w:val="single" w:sz="8" w:color="4F81BD"/>
            </w:tcBorders>
            <w:vMerge w:val="continue"/>
            <w:shd w:val="clear" w:color="auto" w:fill="4F81BD"/>
          </w:tcPr>
          <w:p>
            <w:pPr>
              <w:spacing w:after="0"/>
              <w:rPr>
                <w:sz w:val="22"/>
                <w:szCs w:val="22"/>
                <w:color w:val="auto"/>
              </w:rPr>
            </w:pPr>
          </w:p>
        </w:tc>
        <w:tc>
          <w:tcPr>
            <w:tcW w:w="80" w:type="dxa"/>
            <w:vAlign w:val="bottom"/>
            <w:vMerge w:val="continue"/>
            <w:shd w:val="clear" w:color="auto" w:fill="4F81BD"/>
          </w:tcPr>
          <w:p>
            <w:pPr>
              <w:spacing w:after="0"/>
              <w:rPr>
                <w:sz w:val="22"/>
                <w:szCs w:val="22"/>
                <w:color w:val="auto"/>
              </w:rPr>
            </w:pPr>
          </w:p>
        </w:tc>
        <w:tc>
          <w:tcPr>
            <w:tcW w:w="1080" w:type="dxa"/>
            <w:vAlign w:val="bottom"/>
            <w:vMerge w:val="continue"/>
            <w:shd w:val="clear" w:color="auto" w:fill="4F81BD"/>
          </w:tcPr>
          <w:p>
            <w:pPr>
              <w:spacing w:after="0"/>
              <w:rPr>
                <w:sz w:val="22"/>
                <w:szCs w:val="22"/>
                <w:color w:val="auto"/>
              </w:rPr>
            </w:pPr>
          </w:p>
        </w:tc>
        <w:tc>
          <w:tcPr>
            <w:tcW w:w="140" w:type="dxa"/>
            <w:vAlign w:val="bottom"/>
            <w:tcBorders>
              <w:right w:val="single" w:sz="8" w:color="4F81BD"/>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220" w:type="dxa"/>
            <w:vAlign w:val="bottom"/>
            <w:vMerge w:val="continue"/>
            <w:shd w:val="clear" w:color="auto" w:fill="4F81BD"/>
          </w:tcPr>
          <w:p>
            <w:pPr>
              <w:spacing w:after="0"/>
              <w:rPr>
                <w:sz w:val="22"/>
                <w:szCs w:val="22"/>
                <w:color w:val="auto"/>
              </w:rPr>
            </w:pPr>
          </w:p>
        </w:tc>
        <w:tc>
          <w:tcPr>
            <w:tcW w:w="140" w:type="dxa"/>
            <w:vAlign w:val="bottom"/>
            <w:tcBorders>
              <w:right w:val="single" w:sz="8" w:color="4F81BD"/>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9"/>
        </w:trPr>
        <w:tc>
          <w:tcPr>
            <w:tcW w:w="100" w:type="dxa"/>
            <w:vAlign w:val="bottom"/>
            <w:tcBorders>
              <w:left w:val="single" w:sz="8" w:color="4F81BD"/>
            </w:tcBorders>
            <w:shd w:val="clear" w:color="auto" w:fill="4F81BD"/>
          </w:tcPr>
          <w:p>
            <w:pPr>
              <w:spacing w:after="0"/>
              <w:rPr>
                <w:sz w:val="12"/>
                <w:szCs w:val="12"/>
                <w:color w:val="auto"/>
              </w:rPr>
            </w:pPr>
          </w:p>
        </w:tc>
        <w:tc>
          <w:tcPr>
            <w:tcW w:w="2100" w:type="dxa"/>
            <w:vAlign w:val="bottom"/>
            <w:vMerge w:val="continue"/>
            <w:shd w:val="clear" w:color="auto" w:fill="4F81BD"/>
          </w:tcPr>
          <w:p>
            <w:pPr>
              <w:spacing w:after="0"/>
              <w:rPr>
                <w:sz w:val="12"/>
                <w:szCs w:val="12"/>
                <w:color w:val="auto"/>
              </w:rPr>
            </w:pPr>
          </w:p>
        </w:tc>
        <w:tc>
          <w:tcPr>
            <w:tcW w:w="140" w:type="dxa"/>
            <w:vAlign w:val="bottom"/>
            <w:tcBorders>
              <w:right w:val="single" w:sz="8" w:color="4F81BD"/>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2220" w:type="dxa"/>
            <w:vAlign w:val="bottom"/>
            <w:vMerge w:val="continue"/>
            <w:shd w:val="clear" w:color="auto" w:fill="4F81BD"/>
          </w:tcPr>
          <w:p>
            <w:pPr>
              <w:spacing w:after="0"/>
              <w:rPr>
                <w:sz w:val="12"/>
                <w:szCs w:val="12"/>
                <w:color w:val="auto"/>
              </w:rPr>
            </w:pPr>
          </w:p>
        </w:tc>
        <w:tc>
          <w:tcPr>
            <w:tcW w:w="140" w:type="dxa"/>
            <w:vAlign w:val="bottom"/>
            <w:tcBorders>
              <w:right w:val="single" w:sz="8" w:color="4F81BD"/>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680" w:type="dxa"/>
            <w:vAlign w:val="bottom"/>
            <w:vMerge w:val="continue"/>
            <w:shd w:val="clear" w:color="auto" w:fill="4F81BD"/>
          </w:tcPr>
          <w:p>
            <w:pPr>
              <w:spacing w:after="0"/>
              <w:rPr>
                <w:sz w:val="12"/>
                <w:szCs w:val="12"/>
                <w:color w:val="auto"/>
              </w:rPr>
            </w:pPr>
          </w:p>
        </w:tc>
        <w:tc>
          <w:tcPr>
            <w:tcW w:w="140" w:type="dxa"/>
            <w:vAlign w:val="bottom"/>
            <w:tcBorders>
              <w:right w:val="single" w:sz="8" w:color="4F81BD"/>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080" w:type="dxa"/>
            <w:vAlign w:val="bottom"/>
            <w:vMerge w:val="restart"/>
            <w:shd w:val="clear" w:color="auto" w:fill="4F81BD"/>
          </w:tcPr>
          <w:p>
            <w:pPr>
              <w:jc w:val="center"/>
              <w:spacing w:after="0" w:line="274" w:lineRule="exact"/>
              <w:rPr>
                <w:sz w:val="20"/>
                <w:szCs w:val="20"/>
                <w:color w:val="auto"/>
              </w:rPr>
            </w:pPr>
            <w:r>
              <w:rPr>
                <w:rFonts w:ascii="Calibri" w:cs="Calibri" w:eastAsia="Calibri" w:hAnsi="Calibri"/>
                <w:sz w:val="22"/>
                <w:szCs w:val="22"/>
                <w:b w:val="1"/>
                <w:bCs w:val="1"/>
                <w:color w:val="FFFFFF"/>
                <w:w w:val="95"/>
              </w:rPr>
              <w:t>Cases</w:t>
            </w:r>
            <w:r>
              <w:rPr>
                <w:rFonts w:ascii="Calibri" w:cs="Calibri" w:eastAsia="Calibri" w:hAnsi="Calibri"/>
                <w:sz w:val="28"/>
                <w:szCs w:val="28"/>
                <w:b w:val="1"/>
                <w:bCs w:val="1"/>
                <w:color w:val="FFFFFF"/>
                <w:w w:val="95"/>
                <w:vertAlign w:val="superscript"/>
              </w:rPr>
              <w:t>2</w:t>
            </w:r>
          </w:p>
        </w:tc>
        <w:tc>
          <w:tcPr>
            <w:tcW w:w="140" w:type="dxa"/>
            <w:vAlign w:val="bottom"/>
            <w:tcBorders>
              <w:right w:val="single" w:sz="8" w:color="4F81BD"/>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220" w:type="dxa"/>
            <w:vAlign w:val="bottom"/>
            <w:vMerge w:val="continue"/>
            <w:shd w:val="clear" w:color="auto" w:fill="4F81BD"/>
          </w:tcPr>
          <w:p>
            <w:pPr>
              <w:spacing w:after="0"/>
              <w:rPr>
                <w:sz w:val="12"/>
                <w:szCs w:val="12"/>
                <w:color w:val="auto"/>
              </w:rPr>
            </w:pPr>
          </w:p>
        </w:tc>
        <w:tc>
          <w:tcPr>
            <w:tcW w:w="140" w:type="dxa"/>
            <w:vAlign w:val="bottom"/>
            <w:tcBorders>
              <w:right w:val="single" w:sz="8" w:color="4F81BD"/>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5"/>
        </w:trPr>
        <w:tc>
          <w:tcPr>
            <w:tcW w:w="100" w:type="dxa"/>
            <w:vAlign w:val="bottom"/>
            <w:tcBorders>
              <w:left w:val="single" w:sz="8" w:color="4F81BD"/>
              <w:bottom w:val="single" w:sz="8" w:color="4F81BD"/>
            </w:tcBorders>
            <w:shd w:val="clear" w:color="auto" w:fill="4F81BD"/>
          </w:tcPr>
          <w:p>
            <w:pPr>
              <w:spacing w:after="0"/>
              <w:rPr>
                <w:sz w:val="11"/>
                <w:szCs w:val="11"/>
                <w:color w:val="auto"/>
              </w:rPr>
            </w:pPr>
          </w:p>
        </w:tc>
        <w:tc>
          <w:tcPr>
            <w:tcW w:w="2100" w:type="dxa"/>
            <w:vAlign w:val="bottom"/>
            <w:tcBorders>
              <w:bottom w:val="single" w:sz="8" w:color="4F81BD"/>
            </w:tcBorders>
            <w:shd w:val="clear" w:color="auto" w:fill="4F81BD"/>
          </w:tcPr>
          <w:p>
            <w:pPr>
              <w:spacing w:after="0"/>
              <w:rPr>
                <w:sz w:val="11"/>
                <w:szCs w:val="11"/>
                <w:color w:val="auto"/>
              </w:rPr>
            </w:pPr>
          </w:p>
        </w:tc>
        <w:tc>
          <w:tcPr>
            <w:tcW w:w="140" w:type="dxa"/>
            <w:vAlign w:val="bottom"/>
            <w:tcBorders>
              <w:bottom w:val="single" w:sz="8" w:color="4F81BD"/>
              <w:right w:val="single" w:sz="8" w:color="4F81BD"/>
            </w:tcBorders>
            <w:shd w:val="clear" w:color="auto" w:fill="4F81BD"/>
          </w:tcPr>
          <w:p>
            <w:pPr>
              <w:spacing w:after="0"/>
              <w:rPr>
                <w:sz w:val="11"/>
                <w:szCs w:val="11"/>
                <w:color w:val="auto"/>
              </w:rPr>
            </w:pPr>
          </w:p>
        </w:tc>
        <w:tc>
          <w:tcPr>
            <w:tcW w:w="80" w:type="dxa"/>
            <w:vAlign w:val="bottom"/>
            <w:tcBorders>
              <w:bottom w:val="single" w:sz="8" w:color="4F81BD"/>
            </w:tcBorders>
            <w:shd w:val="clear" w:color="auto" w:fill="4F81BD"/>
          </w:tcPr>
          <w:p>
            <w:pPr>
              <w:spacing w:after="0"/>
              <w:rPr>
                <w:sz w:val="11"/>
                <w:szCs w:val="11"/>
                <w:color w:val="auto"/>
              </w:rPr>
            </w:pPr>
          </w:p>
        </w:tc>
        <w:tc>
          <w:tcPr>
            <w:tcW w:w="2220" w:type="dxa"/>
            <w:vAlign w:val="bottom"/>
            <w:tcBorders>
              <w:bottom w:val="single" w:sz="8" w:color="4F81BD"/>
            </w:tcBorders>
            <w:shd w:val="clear" w:color="auto" w:fill="4F81BD"/>
          </w:tcPr>
          <w:p>
            <w:pPr>
              <w:spacing w:after="0"/>
              <w:rPr>
                <w:sz w:val="11"/>
                <w:szCs w:val="11"/>
                <w:color w:val="auto"/>
              </w:rPr>
            </w:pPr>
          </w:p>
        </w:tc>
        <w:tc>
          <w:tcPr>
            <w:tcW w:w="140" w:type="dxa"/>
            <w:vAlign w:val="bottom"/>
            <w:tcBorders>
              <w:bottom w:val="single" w:sz="8" w:color="4F81BD"/>
              <w:right w:val="single" w:sz="8" w:color="4F81BD"/>
            </w:tcBorders>
            <w:shd w:val="clear" w:color="auto" w:fill="4F81BD"/>
          </w:tcPr>
          <w:p>
            <w:pPr>
              <w:spacing w:after="0"/>
              <w:rPr>
                <w:sz w:val="11"/>
                <w:szCs w:val="11"/>
                <w:color w:val="auto"/>
              </w:rPr>
            </w:pPr>
          </w:p>
        </w:tc>
        <w:tc>
          <w:tcPr>
            <w:tcW w:w="80" w:type="dxa"/>
            <w:vAlign w:val="bottom"/>
            <w:tcBorders>
              <w:bottom w:val="single" w:sz="8" w:color="4F81BD"/>
            </w:tcBorders>
            <w:shd w:val="clear" w:color="auto" w:fill="4F81BD"/>
          </w:tcPr>
          <w:p>
            <w:pPr>
              <w:spacing w:after="0"/>
              <w:rPr>
                <w:sz w:val="11"/>
                <w:szCs w:val="11"/>
                <w:color w:val="auto"/>
              </w:rPr>
            </w:pPr>
          </w:p>
        </w:tc>
        <w:tc>
          <w:tcPr>
            <w:tcW w:w="1680" w:type="dxa"/>
            <w:vAlign w:val="bottom"/>
            <w:tcBorders>
              <w:bottom w:val="single" w:sz="8" w:color="4F81BD"/>
            </w:tcBorders>
            <w:shd w:val="clear" w:color="auto" w:fill="4F81BD"/>
          </w:tcPr>
          <w:p>
            <w:pPr>
              <w:spacing w:after="0"/>
              <w:rPr>
                <w:sz w:val="11"/>
                <w:szCs w:val="11"/>
                <w:color w:val="auto"/>
              </w:rPr>
            </w:pPr>
          </w:p>
        </w:tc>
        <w:tc>
          <w:tcPr>
            <w:tcW w:w="140" w:type="dxa"/>
            <w:vAlign w:val="bottom"/>
            <w:tcBorders>
              <w:bottom w:val="single" w:sz="8" w:color="4F81BD"/>
              <w:right w:val="single" w:sz="8" w:color="4F81BD"/>
            </w:tcBorders>
            <w:shd w:val="clear" w:color="auto" w:fill="4F81BD"/>
          </w:tcPr>
          <w:p>
            <w:pPr>
              <w:spacing w:after="0"/>
              <w:rPr>
                <w:sz w:val="11"/>
                <w:szCs w:val="11"/>
                <w:color w:val="auto"/>
              </w:rPr>
            </w:pPr>
          </w:p>
        </w:tc>
        <w:tc>
          <w:tcPr>
            <w:tcW w:w="80" w:type="dxa"/>
            <w:vAlign w:val="bottom"/>
            <w:tcBorders>
              <w:bottom w:val="single" w:sz="8" w:color="4F81BD"/>
            </w:tcBorders>
            <w:shd w:val="clear" w:color="auto" w:fill="4F81BD"/>
          </w:tcPr>
          <w:p>
            <w:pPr>
              <w:spacing w:after="0"/>
              <w:rPr>
                <w:sz w:val="11"/>
                <w:szCs w:val="11"/>
                <w:color w:val="auto"/>
              </w:rPr>
            </w:pPr>
          </w:p>
        </w:tc>
        <w:tc>
          <w:tcPr>
            <w:tcW w:w="1080" w:type="dxa"/>
            <w:vAlign w:val="bottom"/>
            <w:tcBorders>
              <w:bottom w:val="single" w:sz="8" w:color="4F81BD"/>
            </w:tcBorders>
            <w:vMerge w:val="continue"/>
            <w:shd w:val="clear" w:color="auto" w:fill="4F81BD"/>
          </w:tcPr>
          <w:p>
            <w:pPr>
              <w:spacing w:after="0"/>
              <w:rPr>
                <w:sz w:val="11"/>
                <w:szCs w:val="11"/>
                <w:color w:val="auto"/>
              </w:rPr>
            </w:pPr>
          </w:p>
        </w:tc>
        <w:tc>
          <w:tcPr>
            <w:tcW w:w="140" w:type="dxa"/>
            <w:vAlign w:val="bottom"/>
            <w:tcBorders>
              <w:bottom w:val="single" w:sz="8" w:color="4F81BD"/>
              <w:right w:val="single" w:sz="8" w:color="4F81BD"/>
            </w:tcBorders>
            <w:shd w:val="clear" w:color="auto" w:fill="4F81BD"/>
          </w:tcPr>
          <w:p>
            <w:pPr>
              <w:spacing w:after="0"/>
              <w:rPr>
                <w:sz w:val="11"/>
                <w:szCs w:val="11"/>
                <w:color w:val="auto"/>
              </w:rPr>
            </w:pPr>
          </w:p>
        </w:tc>
        <w:tc>
          <w:tcPr>
            <w:tcW w:w="80" w:type="dxa"/>
            <w:vAlign w:val="bottom"/>
            <w:tcBorders>
              <w:bottom w:val="single" w:sz="8" w:color="4F81BD"/>
            </w:tcBorders>
            <w:shd w:val="clear" w:color="auto" w:fill="4F81BD"/>
          </w:tcPr>
          <w:p>
            <w:pPr>
              <w:spacing w:after="0"/>
              <w:rPr>
                <w:sz w:val="11"/>
                <w:szCs w:val="11"/>
                <w:color w:val="auto"/>
              </w:rPr>
            </w:pPr>
          </w:p>
        </w:tc>
        <w:tc>
          <w:tcPr>
            <w:tcW w:w="1220" w:type="dxa"/>
            <w:vAlign w:val="bottom"/>
            <w:tcBorders>
              <w:bottom w:val="single" w:sz="8" w:color="4F81BD"/>
            </w:tcBorders>
            <w:shd w:val="clear" w:color="auto" w:fill="4F81BD"/>
          </w:tcPr>
          <w:p>
            <w:pPr>
              <w:spacing w:after="0"/>
              <w:rPr>
                <w:sz w:val="11"/>
                <w:szCs w:val="11"/>
                <w:color w:val="auto"/>
              </w:rPr>
            </w:pPr>
          </w:p>
        </w:tc>
        <w:tc>
          <w:tcPr>
            <w:tcW w:w="140" w:type="dxa"/>
            <w:vAlign w:val="bottom"/>
            <w:tcBorders>
              <w:bottom w:val="single" w:sz="8" w:color="4F81BD"/>
              <w:right w:val="single" w:sz="8" w:color="4F81BD"/>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Hubei</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5917</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33366</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11295</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1068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Guangdong</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11346</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1219</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135</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Zhejiang</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5737</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1131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263</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Henan</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9605</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1135</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538</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8</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Hunan</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6899</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946</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135</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Anhui</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6324</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889</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79</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4</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Jiangxi</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4648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844</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155</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Jiangsu</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8051</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543</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62</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Chongqing</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3102</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505</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428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3</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Shandong</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10047</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497</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71</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Sichuan</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8341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436</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432</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Heilongjiang</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3773</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378</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171</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8</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Beijing</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2154</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352</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218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3</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Shanghai</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2424</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306</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177</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Fujian</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3941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272</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74</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Hebei</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7556</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251</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43</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2</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Shaanxi</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3864</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225</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367</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Guangxi</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4926</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222</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248</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Yunnan</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4830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154</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89</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Hainan</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934</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145</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206</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3</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Shanxi</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3718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124</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65</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Guizhou</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3600</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131</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53</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Liaoning</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4359</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111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287</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Tianjin</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1560</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106</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328</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2</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Gansu</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2637</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86</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Jilin</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2704</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83</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57</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Inner Mongolia</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2534</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Xinjiang</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2487</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59</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31</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Ningxia</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688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58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31</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Hong Kong SAR</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745</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49</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Qinghai</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603</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18</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Taipei and environs</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2359</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18</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95B3D7"/>
              <w:bottom w:val="single" w:sz="8" w:color="DBE5F1"/>
            </w:tcBorders>
            <w:shd w:val="clear" w:color="auto" w:fill="DBE5F1"/>
          </w:tcPr>
          <w:p>
            <w:pPr>
              <w:spacing w:after="0"/>
              <w:rPr>
                <w:sz w:val="24"/>
                <w:szCs w:val="24"/>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color w:val="auto"/>
              </w:rPr>
              <w:t>Macao SAR</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66</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98"/>
              </w:rPr>
              <w:t>10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80" w:type="dxa"/>
            <w:vAlign w:val="bottom"/>
            <w:tcBorders>
              <w:bottom w:val="single" w:sz="8" w:color="DBE5F1"/>
            </w:tcBorders>
            <w:shd w:val="clear" w:color="auto" w:fill="DBE5F1"/>
          </w:tcPr>
          <w:p>
            <w:pPr>
              <w:spacing w:after="0"/>
              <w:rPr>
                <w:sz w:val="24"/>
                <w:szCs w:val="24"/>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DBE5F1"/>
              <w:right w:val="single" w:sz="8" w:color="95B3D7"/>
            </w:tcBorders>
            <w:shd w:val="clear" w:color="auto" w:fill="DBE5F1"/>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100" w:type="dxa"/>
            <w:vAlign w:val="bottom"/>
            <w:tcBorders>
              <w:top w:val="single" w:sz="8" w:color="95B3D7"/>
              <w:left w:val="single" w:sz="8" w:color="95B3D7"/>
            </w:tcBorders>
          </w:tcPr>
          <w:p>
            <w:pPr>
              <w:spacing w:after="0"/>
              <w:rPr>
                <w:sz w:val="22"/>
                <w:szCs w:val="22"/>
                <w:color w:val="auto"/>
              </w:rPr>
            </w:pPr>
          </w:p>
        </w:tc>
        <w:tc>
          <w:tcPr>
            <w:tcW w:w="2100" w:type="dxa"/>
            <w:vAlign w:val="bottom"/>
            <w:tcBorders>
              <w:top w:val="single" w:sz="8" w:color="95B3D7"/>
            </w:tcBorders>
          </w:tcPr>
          <w:p>
            <w:pPr>
              <w:spacing w:after="0" w:line="253" w:lineRule="exact"/>
              <w:rPr>
                <w:sz w:val="20"/>
                <w:szCs w:val="20"/>
                <w:color w:val="auto"/>
              </w:rPr>
            </w:pPr>
            <w:r>
              <w:rPr>
                <w:rFonts w:ascii="Calibri" w:cs="Calibri" w:eastAsia="Calibri" w:hAnsi="Calibri"/>
                <w:sz w:val="22"/>
                <w:szCs w:val="22"/>
                <w:color w:val="auto"/>
              </w:rPr>
              <w:t>Xizang</w:t>
            </w:r>
          </w:p>
        </w:tc>
        <w:tc>
          <w:tcPr>
            <w:tcW w:w="140" w:type="dxa"/>
            <w:vAlign w:val="bottom"/>
            <w:tcBorders>
              <w:top w:val="single" w:sz="8" w:color="95B3D7"/>
              <w:right w:val="single" w:sz="8" w:color="95B3D7"/>
            </w:tcBorders>
          </w:tcPr>
          <w:p>
            <w:pPr>
              <w:spacing w:after="0"/>
              <w:rPr>
                <w:sz w:val="22"/>
                <w:szCs w:val="22"/>
                <w:color w:val="auto"/>
              </w:rPr>
            </w:pPr>
          </w:p>
        </w:tc>
        <w:tc>
          <w:tcPr>
            <w:tcW w:w="2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344</w:t>
            </w:r>
          </w:p>
        </w:tc>
        <w:tc>
          <w:tcPr>
            <w:tcW w:w="140" w:type="dxa"/>
            <w:vAlign w:val="bottom"/>
            <w:tcBorders>
              <w:top w:val="single" w:sz="8" w:color="95B3D7"/>
              <w:right w:val="single" w:sz="8" w:color="95B3D7"/>
            </w:tcBorders>
          </w:tcPr>
          <w:p>
            <w:pPr>
              <w:spacing w:after="0"/>
              <w:rPr>
                <w:sz w:val="22"/>
                <w:szCs w:val="22"/>
                <w:color w:val="auto"/>
              </w:rPr>
            </w:pPr>
          </w:p>
        </w:tc>
        <w:tc>
          <w:tcPr>
            <w:tcW w:w="17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1</w:t>
            </w:r>
          </w:p>
        </w:tc>
        <w:tc>
          <w:tcPr>
            <w:tcW w:w="140" w:type="dxa"/>
            <w:vAlign w:val="bottom"/>
            <w:tcBorders>
              <w:top w:val="single" w:sz="8" w:color="95B3D7"/>
              <w:right w:val="single" w:sz="8" w:color="95B3D7"/>
            </w:tcBorders>
          </w:tcPr>
          <w:p>
            <w:pPr>
              <w:spacing w:after="0"/>
              <w:rPr>
                <w:sz w:val="22"/>
                <w:szCs w:val="22"/>
                <w:color w:val="auto"/>
              </w:rPr>
            </w:pPr>
          </w:p>
        </w:tc>
        <w:tc>
          <w:tcPr>
            <w:tcW w:w="116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40" w:type="dxa"/>
            <w:vAlign w:val="bottom"/>
            <w:tcBorders>
              <w:top w:val="single" w:sz="8" w:color="95B3D7"/>
              <w:right w:val="single" w:sz="8" w:color="95B3D7"/>
            </w:tcBorders>
          </w:tcPr>
          <w:p>
            <w:pPr>
              <w:spacing w:after="0"/>
              <w:rPr>
                <w:sz w:val="22"/>
                <w:szCs w:val="22"/>
                <w:color w:val="auto"/>
              </w:rPr>
            </w:pPr>
          </w:p>
        </w:tc>
        <w:tc>
          <w:tcPr>
            <w:tcW w:w="1300" w:type="dxa"/>
            <w:vAlign w:val="bottom"/>
            <w:tcBorders>
              <w:top w:val="single" w:sz="8" w:color="95B3D7"/>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top w:val="single" w:sz="8" w:color="95B3D7"/>
              <w:right w:val="single" w:sz="8" w:color="95B3D7"/>
            </w:tcBorders>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00" w:type="dxa"/>
            <w:vAlign w:val="bottom"/>
            <w:tcBorders>
              <w:left w:val="single" w:sz="8" w:color="95B3D7"/>
              <w:bottom w:val="single" w:sz="8" w:color="95B3D7"/>
            </w:tcBorders>
          </w:tcPr>
          <w:p>
            <w:pPr>
              <w:spacing w:after="0"/>
              <w:rPr>
                <w:sz w:val="3"/>
                <w:szCs w:val="3"/>
                <w:color w:val="auto"/>
              </w:rPr>
            </w:pPr>
          </w:p>
        </w:tc>
        <w:tc>
          <w:tcPr>
            <w:tcW w:w="2100" w:type="dxa"/>
            <w:vAlign w:val="bottom"/>
            <w:tcBorders>
              <w:bottom w:val="single" w:sz="8" w:color="95B3D7"/>
            </w:tcBorders>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2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7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16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1300" w:type="dxa"/>
            <w:vAlign w:val="bottom"/>
            <w:tcBorders>
              <w:bottom w:val="single" w:sz="8" w:color="95B3D7"/>
            </w:tcBorders>
            <w:gridSpan w:val="2"/>
          </w:tcPr>
          <w:p>
            <w:pPr>
              <w:spacing w:after="0"/>
              <w:rPr>
                <w:sz w:val="3"/>
                <w:szCs w:val="3"/>
                <w:color w:val="auto"/>
              </w:rPr>
            </w:pPr>
          </w:p>
        </w:tc>
        <w:tc>
          <w:tcPr>
            <w:tcW w:w="140" w:type="dxa"/>
            <w:vAlign w:val="bottom"/>
            <w:tcBorders>
              <w:bottom w:val="single" w:sz="8" w:color="95B3D7"/>
              <w:right w:val="single" w:sz="8" w:color="95B3D7"/>
            </w:tcBorders>
          </w:tcPr>
          <w:p>
            <w:pPr>
              <w:spacing w:after="0"/>
              <w:rPr>
                <w:sz w:val="3"/>
                <w:szCs w:val="3"/>
                <w:color w:val="auto"/>
              </w:rPr>
            </w:pPr>
          </w:p>
        </w:tc>
        <w:tc>
          <w:tcPr>
            <w:tcW w:w="0" w:type="dxa"/>
            <w:vAlign w:val="bottom"/>
          </w:tcPr>
          <w:p>
            <w:pPr>
              <w:spacing w:after="0"/>
              <w:rPr>
                <w:sz w:val="1"/>
                <w:szCs w:val="1"/>
                <w:color w:val="auto"/>
              </w:rPr>
            </w:pPr>
          </w:p>
        </w:tc>
      </w:tr>
      <w:tr>
        <w:trPr>
          <w:trHeight w:val="271"/>
        </w:trPr>
        <w:tc>
          <w:tcPr>
            <w:tcW w:w="100" w:type="dxa"/>
            <w:vAlign w:val="bottom"/>
            <w:tcBorders>
              <w:left w:val="single" w:sz="8" w:color="95B3D7"/>
              <w:bottom w:val="single" w:sz="8" w:color="DBE5F1"/>
            </w:tcBorders>
            <w:shd w:val="clear" w:color="auto" w:fill="DBE5F1"/>
          </w:tcPr>
          <w:p>
            <w:pPr>
              <w:spacing w:after="0"/>
              <w:rPr>
                <w:sz w:val="23"/>
                <w:szCs w:val="23"/>
                <w:color w:val="auto"/>
              </w:rPr>
            </w:pPr>
          </w:p>
        </w:tc>
        <w:tc>
          <w:tcPr>
            <w:tcW w:w="2100" w:type="dxa"/>
            <w:vAlign w:val="bottom"/>
            <w:tcBorders>
              <w:bottom w:val="single" w:sz="8" w:color="DBE5F1"/>
            </w:tcBorders>
            <w:shd w:val="clear" w:color="auto" w:fill="DBE5F1"/>
          </w:tcPr>
          <w:p>
            <w:pPr>
              <w:spacing w:after="0" w:line="253" w:lineRule="exact"/>
              <w:rPr>
                <w:sz w:val="20"/>
                <w:szCs w:val="20"/>
                <w:color w:val="auto"/>
              </w:rPr>
            </w:pPr>
            <w:r>
              <w:rPr>
                <w:rFonts w:ascii="Calibri" w:cs="Calibri" w:eastAsia="Calibri" w:hAnsi="Calibri"/>
                <w:sz w:val="22"/>
                <w:szCs w:val="22"/>
                <w:b w:val="1"/>
                <w:bCs w:val="1"/>
                <w:color w:val="auto"/>
              </w:rPr>
              <w:t>Total</w:t>
            </w:r>
          </w:p>
        </w:tc>
        <w:tc>
          <w:tcPr>
            <w:tcW w:w="140" w:type="dxa"/>
            <w:vAlign w:val="bottom"/>
            <w:tcBorders>
              <w:bottom w:val="single" w:sz="8" w:color="DBE5F1"/>
              <w:right w:val="single" w:sz="8" w:color="95B3D7"/>
            </w:tcBorders>
            <w:shd w:val="clear" w:color="auto" w:fill="DBE5F1"/>
          </w:tcPr>
          <w:p>
            <w:pPr>
              <w:spacing w:after="0"/>
              <w:rPr>
                <w:sz w:val="23"/>
                <w:szCs w:val="23"/>
                <w:color w:val="auto"/>
              </w:rPr>
            </w:pPr>
          </w:p>
        </w:tc>
        <w:tc>
          <w:tcPr>
            <w:tcW w:w="80" w:type="dxa"/>
            <w:vAlign w:val="bottom"/>
            <w:tcBorders>
              <w:bottom w:val="single" w:sz="8" w:color="DBE5F1"/>
            </w:tcBorders>
            <w:shd w:val="clear" w:color="auto" w:fill="DBE5F1"/>
          </w:tcPr>
          <w:p>
            <w:pPr>
              <w:spacing w:after="0"/>
              <w:rPr>
                <w:sz w:val="23"/>
                <w:szCs w:val="23"/>
                <w:color w:val="auto"/>
              </w:rPr>
            </w:pPr>
          </w:p>
        </w:tc>
        <w:tc>
          <w:tcPr>
            <w:tcW w:w="2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b w:val="1"/>
                <w:bCs w:val="1"/>
                <w:color w:val="auto"/>
              </w:rPr>
              <w:t>142823</w:t>
            </w:r>
          </w:p>
        </w:tc>
        <w:tc>
          <w:tcPr>
            <w:tcW w:w="140" w:type="dxa"/>
            <w:vAlign w:val="bottom"/>
            <w:tcBorders>
              <w:bottom w:val="single" w:sz="8" w:color="DBE5F1"/>
              <w:right w:val="single" w:sz="8" w:color="95B3D7"/>
            </w:tcBorders>
            <w:shd w:val="clear" w:color="auto" w:fill="DBE5F1"/>
          </w:tcPr>
          <w:p>
            <w:pPr>
              <w:spacing w:after="0"/>
              <w:rPr>
                <w:sz w:val="23"/>
                <w:szCs w:val="23"/>
                <w:color w:val="auto"/>
              </w:rPr>
            </w:pPr>
          </w:p>
        </w:tc>
        <w:tc>
          <w:tcPr>
            <w:tcW w:w="80" w:type="dxa"/>
            <w:vAlign w:val="bottom"/>
            <w:tcBorders>
              <w:bottom w:val="single" w:sz="8" w:color="DBE5F1"/>
            </w:tcBorders>
            <w:shd w:val="clear" w:color="auto" w:fill="DBE5F1"/>
          </w:tcPr>
          <w:p>
            <w:pPr>
              <w:spacing w:after="0"/>
              <w:rPr>
                <w:sz w:val="23"/>
                <w:szCs w:val="23"/>
                <w:color w:val="auto"/>
              </w:rPr>
            </w:pPr>
          </w:p>
        </w:tc>
        <w:tc>
          <w:tcPr>
            <w:tcW w:w="16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b w:val="1"/>
                <w:bCs w:val="1"/>
                <w:color w:val="auto"/>
              </w:rPr>
              <w:t>44730</w:t>
            </w:r>
          </w:p>
        </w:tc>
        <w:tc>
          <w:tcPr>
            <w:tcW w:w="140" w:type="dxa"/>
            <w:vAlign w:val="bottom"/>
            <w:tcBorders>
              <w:bottom w:val="single" w:sz="8" w:color="DBE5F1"/>
              <w:right w:val="single" w:sz="8" w:color="95B3D7"/>
            </w:tcBorders>
            <w:shd w:val="clear" w:color="auto" w:fill="DBE5F1"/>
          </w:tcPr>
          <w:p>
            <w:pPr>
              <w:spacing w:after="0"/>
              <w:rPr>
                <w:sz w:val="23"/>
                <w:szCs w:val="23"/>
                <w:color w:val="auto"/>
              </w:rPr>
            </w:pPr>
          </w:p>
        </w:tc>
        <w:tc>
          <w:tcPr>
            <w:tcW w:w="80" w:type="dxa"/>
            <w:vAlign w:val="bottom"/>
            <w:tcBorders>
              <w:bottom w:val="single" w:sz="8" w:color="DBE5F1"/>
            </w:tcBorders>
            <w:shd w:val="clear" w:color="auto" w:fill="DBE5F1"/>
          </w:tcPr>
          <w:p>
            <w:pPr>
              <w:spacing w:after="0"/>
              <w:rPr>
                <w:sz w:val="23"/>
                <w:szCs w:val="23"/>
                <w:color w:val="auto"/>
              </w:rPr>
            </w:pPr>
          </w:p>
        </w:tc>
        <w:tc>
          <w:tcPr>
            <w:tcW w:w="108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b w:val="1"/>
                <w:bCs w:val="1"/>
                <w:color w:val="auto"/>
              </w:rPr>
              <w:t>16067</w:t>
            </w:r>
          </w:p>
        </w:tc>
        <w:tc>
          <w:tcPr>
            <w:tcW w:w="140" w:type="dxa"/>
            <w:vAlign w:val="bottom"/>
            <w:tcBorders>
              <w:bottom w:val="single" w:sz="8" w:color="DBE5F1"/>
              <w:right w:val="single" w:sz="8" w:color="95B3D7"/>
            </w:tcBorders>
            <w:shd w:val="clear" w:color="auto" w:fill="DBE5F1"/>
          </w:tcPr>
          <w:p>
            <w:pPr>
              <w:spacing w:after="0"/>
              <w:rPr>
                <w:sz w:val="23"/>
                <w:szCs w:val="23"/>
                <w:color w:val="auto"/>
              </w:rPr>
            </w:pPr>
          </w:p>
        </w:tc>
        <w:tc>
          <w:tcPr>
            <w:tcW w:w="80" w:type="dxa"/>
            <w:vAlign w:val="bottom"/>
            <w:tcBorders>
              <w:bottom w:val="single" w:sz="8" w:color="DBE5F1"/>
            </w:tcBorders>
            <w:shd w:val="clear" w:color="auto" w:fill="DBE5F1"/>
          </w:tcPr>
          <w:p>
            <w:pPr>
              <w:spacing w:after="0"/>
              <w:rPr>
                <w:sz w:val="23"/>
                <w:szCs w:val="23"/>
                <w:color w:val="auto"/>
              </w:rPr>
            </w:pPr>
          </w:p>
        </w:tc>
        <w:tc>
          <w:tcPr>
            <w:tcW w:w="1220" w:type="dxa"/>
            <w:vAlign w:val="bottom"/>
            <w:tcBorders>
              <w:bottom w:val="single" w:sz="8" w:color="DBE5F1"/>
            </w:tcBorders>
            <w:shd w:val="clear" w:color="auto" w:fill="DBE5F1"/>
          </w:tcPr>
          <w:p>
            <w:pPr>
              <w:jc w:val="center"/>
              <w:spacing w:after="0" w:line="253" w:lineRule="exact"/>
              <w:rPr>
                <w:sz w:val="20"/>
                <w:szCs w:val="20"/>
                <w:color w:val="auto"/>
              </w:rPr>
            </w:pPr>
            <w:r>
              <w:rPr>
                <w:rFonts w:ascii="Calibri" w:cs="Calibri" w:eastAsia="Calibri" w:hAnsi="Calibri"/>
                <w:sz w:val="22"/>
                <w:szCs w:val="22"/>
                <w:b w:val="1"/>
                <w:bCs w:val="1"/>
                <w:color w:val="auto"/>
                <w:w w:val="98"/>
              </w:rPr>
              <w:t>1114</w:t>
            </w:r>
          </w:p>
        </w:tc>
        <w:tc>
          <w:tcPr>
            <w:tcW w:w="140" w:type="dxa"/>
            <w:vAlign w:val="bottom"/>
            <w:tcBorders>
              <w:bottom w:val="single" w:sz="8" w:color="DBE5F1"/>
              <w:right w:val="single" w:sz="8" w:color="95B3D7"/>
            </w:tcBorders>
            <w:shd w:val="clear" w:color="auto" w:fill="DBE5F1"/>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95B3D7"/>
            </w:tcBorders>
            <w:shd w:val="clear" w:color="auto" w:fill="95B3D7"/>
          </w:tcPr>
          <w:p>
            <w:pPr>
              <w:spacing w:after="0" w:line="20" w:lineRule="exact"/>
              <w:rPr>
                <w:sz w:val="1"/>
                <w:szCs w:val="1"/>
                <w:color w:val="auto"/>
              </w:rPr>
            </w:pPr>
          </w:p>
        </w:tc>
        <w:tc>
          <w:tcPr>
            <w:tcW w:w="210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222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168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108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122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1223010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3pt" to="144pt,96.3pt" o:allowincell="f" strokecolor="#000000" strokeweight="0.54pt"/>
            </w:pict>
          </mc:Fallback>
        </mc:AlternateContent>
      </w:r>
    </w:p>
    <w:p>
      <w:pPr>
        <w:sectPr>
          <w:pgSz w:w="11920" w:h="16840" w:orient="portrait"/>
          <w:cols w:equalWidth="0" w:num="1">
            <w:col w:w="10380"/>
          </w:cols>
          <w:pgMar w:left="720" w:top="899" w:right="810"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100" w:hanging="100"/>
        <w:spacing w:after="0"/>
        <w:tabs>
          <w:tab w:leader="none" w:pos="100" w:val="left"/>
        </w:tabs>
        <w:numPr>
          <w:ilvl w:val="0"/>
          <w:numId w:val="3"/>
        </w:numPr>
        <w:rPr>
          <w:rFonts w:ascii="Arial" w:cs="Arial" w:eastAsia="Arial" w:hAnsi="Arial"/>
          <w:sz w:val="16"/>
          <w:szCs w:val="16"/>
          <w:u w:val="single" w:color="auto"/>
          <w:color w:val="0000FF"/>
        </w:rPr>
      </w:pPr>
      <w:hyperlink r:id="rId13">
        <w:r>
          <w:rPr>
            <w:rFonts w:ascii="Arial" w:cs="Arial" w:eastAsia="Arial" w:hAnsi="Arial"/>
            <w:sz w:val="16"/>
            <w:szCs w:val="16"/>
            <w:u w:val="single" w:color="auto"/>
            <w:color w:val="0000FF"/>
          </w:rPr>
          <w:t>China Statistical Yearbook - 2019</w:t>
        </w:r>
      </w:hyperlink>
    </w:p>
    <w:p>
      <w:pPr>
        <w:spacing w:after="0" w:line="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 xml:space="preserve">National Bureau of Statistics of China, </w:t>
      </w:r>
      <w:r>
        <w:rPr>
          <w:rFonts w:ascii="Arial" w:cs="Arial" w:eastAsia="Arial" w:hAnsi="Arial"/>
          <w:sz w:val="16"/>
          <w:szCs w:val="16"/>
          <w:color w:val="auto"/>
        </w:rPr>
        <w:t>1 October 2019</w:t>
      </w:r>
    </w:p>
    <w:p>
      <w:pPr>
        <w:ind w:left="100" w:hanging="100"/>
        <w:spacing w:after="0" w:line="201" w:lineRule="auto"/>
        <w:tabs>
          <w:tab w:leader="none" w:pos="100" w:val="left"/>
        </w:tabs>
        <w:numPr>
          <w:ilvl w:val="0"/>
          <w:numId w:val="4"/>
        </w:numPr>
        <w:rPr>
          <w:rFonts w:ascii="Arial" w:cs="Arial" w:eastAsia="Arial" w:hAnsi="Arial"/>
          <w:sz w:val="19"/>
          <w:szCs w:val="19"/>
          <w:color w:val="auto"/>
          <w:vertAlign w:val="superscript"/>
        </w:rPr>
      </w:pPr>
      <w:r>
        <w:rPr>
          <w:rFonts w:ascii="Arial" w:cs="Arial" w:eastAsia="Arial" w:hAnsi="Arial"/>
          <w:sz w:val="15"/>
          <w:szCs w:val="15"/>
          <w:color w:val="auto"/>
        </w:rPr>
        <w:t>Number of individuals under investigation for COVID-19 as of 12 Feb 2020. This category is not cumulative.</w:t>
      </w:r>
    </w:p>
    <w:p>
      <w:pPr>
        <w:sectPr>
          <w:pgSz w:w="11920" w:h="16840" w:orient="portrait"/>
          <w:cols w:equalWidth="0" w:num="1">
            <w:col w:w="10380"/>
          </w:cols>
          <w:pgMar w:left="720" w:top="899" w:right="810" w:bottom="157" w:gutter="0" w:footer="0" w:header="0"/>
          <w:type w:val="continuous"/>
        </w:sectPr>
      </w:pPr>
    </w:p>
    <w:bookmarkStart w:id="3" w:name="page4"/>
    <w:bookmarkEnd w:id="3"/>
    <w:p>
      <w:pPr>
        <w:ind w:left="360" w:right="1220"/>
        <w:spacing w:after="0" w:line="217" w:lineRule="auto"/>
        <w:rPr>
          <w:sz w:val="20"/>
          <w:szCs w:val="20"/>
          <w:color w:val="auto"/>
        </w:rPr>
      </w:pPr>
      <w:r>
        <w:rPr>
          <w:rFonts w:ascii="Calibri" w:cs="Calibri" w:eastAsia="Calibri" w:hAnsi="Calibri"/>
          <w:sz w:val="22"/>
          <w:szCs w:val="22"/>
          <w:b w:val="1"/>
          <w:bCs w:val="1"/>
          <w:color w:val="007AB0"/>
        </w:rPr>
        <w:t>Table 2. Countries, territories or areas with reported confirmed COVID-19 cases and deaths. Data as of 12 February 2020</w:t>
      </w:r>
    </w:p>
    <w:p>
      <w:pPr>
        <w:spacing w:after="0" w:line="254" w:lineRule="exact"/>
        <w:rPr>
          <w:sz w:val="20"/>
          <w:szCs w:val="20"/>
          <w:color w:val="auto"/>
        </w:rPr>
      </w:pPr>
    </w:p>
    <w:tbl>
      <w:tblPr>
        <w:tblLayout w:type="fixed"/>
        <w:tblInd w:w="10" w:type="dxa"/>
        <w:tblCellMar>
          <w:top w:w="0" w:type="dxa"/>
          <w:left w:w="0" w:type="dxa"/>
          <w:bottom w:w="0" w:type="dxa"/>
          <w:right w:w="0" w:type="dxa"/>
        </w:tblCellMar>
      </w:tblPr>
      <w:tr>
        <w:trPr>
          <w:trHeight w:val="289"/>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4"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8"/>
                <w:szCs w:val="28"/>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transmission</w:t>
            </w:r>
          </w:p>
        </w:tc>
        <w:tc>
          <w:tcPr>
            <w:tcW w:w="126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30"/>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3"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8"/>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6"/>
              </w:rPr>
              <w:t>China</w:t>
            </w:r>
          </w:p>
        </w:tc>
        <w:tc>
          <w:tcPr>
            <w:tcW w:w="1620" w:type="dxa"/>
            <w:vAlign w:val="bottom"/>
            <w:tcBorders>
              <w:right w:val="single" w:sz="8" w:color="auto"/>
            </w:tcBorders>
            <w:shd w:val="clear" w:color="auto" w:fill="4F81BD"/>
          </w:tcPr>
          <w:p>
            <w:pPr>
              <w:jc w:val="center"/>
              <w:spacing w:after="0" w:line="274"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8"/>
                <w:szCs w:val="28"/>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3"/>
        </w:trPr>
        <w:tc>
          <w:tcPr>
            <w:tcW w:w="2280" w:type="dxa"/>
            <w:vAlign w:val="bottom"/>
            <w:tcBorders>
              <w:left w:val="single" w:sz="8" w:color="auto"/>
              <w:bottom w:val="single" w:sz="8" w:color="auto"/>
              <w:right w:val="single" w:sz="8" w:color="auto"/>
            </w:tcBorders>
            <w:shd w:val="clear" w:color="auto" w:fill="4F81BD"/>
          </w:tcPr>
          <w:p>
            <w:pPr>
              <w:spacing w:after="0"/>
              <w:rPr>
                <w:sz w:val="23"/>
                <w:szCs w:val="23"/>
                <w:color w:val="auto"/>
              </w:rPr>
            </w:pPr>
          </w:p>
        </w:tc>
        <w:tc>
          <w:tcPr>
            <w:tcW w:w="2240" w:type="dxa"/>
            <w:vAlign w:val="bottom"/>
            <w:tcBorders>
              <w:bottom w:val="single" w:sz="8" w:color="auto"/>
              <w:right w:val="single" w:sz="8" w:color="auto"/>
            </w:tcBorders>
            <w:shd w:val="clear" w:color="auto" w:fill="4F81BD"/>
          </w:tcPr>
          <w:p>
            <w:pPr>
              <w:spacing w:after="0"/>
              <w:rPr>
                <w:sz w:val="23"/>
                <w:szCs w:val="23"/>
                <w:color w:val="auto"/>
              </w:rPr>
            </w:pP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1000" w:type="dxa"/>
            <w:vAlign w:val="bottom"/>
            <w:tcBorders>
              <w:bottom w:val="single" w:sz="8" w:color="auto"/>
              <w:right w:val="single" w:sz="8" w:color="auto"/>
            </w:tcBorders>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auto"/>
              <w:right w:val="single" w:sz="8" w:color="auto"/>
            </w:tcBorders>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bottom w:val="single" w:sz="8" w:color="auto"/>
              <w:right w:val="single" w:sz="8" w:color="auto"/>
            </w:tcBorders>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rPr>
              <w:t>(new)</w:t>
            </w: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line="320"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8"/>
                <w:szCs w:val="28"/>
                <w:color w:val="auto"/>
                <w:vertAlign w:val="superscript"/>
              </w:rPr>
              <w:t>‡</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44 730 (2022)</w:t>
            </w: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1114 (97)</w:t>
            </w:r>
          </w:p>
        </w:tc>
        <w:tc>
          <w:tcPr>
            <w:tcW w:w="0" w:type="dxa"/>
            <w:vAlign w:val="bottom"/>
          </w:tcPr>
          <w:p>
            <w:pPr>
              <w:spacing w:after="0" w:line="20" w:lineRule="exact"/>
              <w:rPr>
                <w:sz w:val="1"/>
                <w:szCs w:val="1"/>
                <w:color w:val="auto"/>
              </w:rPr>
            </w:pPr>
          </w:p>
        </w:tc>
      </w:tr>
      <w:tr>
        <w:trPr>
          <w:trHeight w:val="29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vMerge w:val="continue"/>
          </w:tcPr>
          <w:p>
            <w:pPr>
              <w:spacing w:after="0"/>
              <w:rPr>
                <w:sz w:val="24"/>
                <w:szCs w:val="24"/>
                <w:color w:val="auto"/>
              </w:rPr>
            </w:pPr>
          </w:p>
        </w:tc>
        <w:tc>
          <w:tcPr>
            <w:tcW w:w="1260" w:type="dxa"/>
            <w:vAlign w:val="bottom"/>
            <w:tcBorders>
              <w:bottom w:val="single" w:sz="8" w:color="auto"/>
              <w:right w:val="single" w:sz="8" w:color="auto"/>
            </w:tcBorders>
            <w:vMerge w:val="continue"/>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47 (2)</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6"/>
              </w:rPr>
              <w:t>22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25 (2)</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38"/>
        </w:trPr>
        <w:tc>
          <w:tcPr>
            <w:tcW w:w="2280" w:type="dxa"/>
            <w:vAlign w:val="bottom"/>
            <w:tcBorders>
              <w:left w:val="single" w:sz="8" w:color="auto"/>
              <w:right w:val="single" w:sz="8" w:color="auto"/>
            </w:tcBorders>
            <w:vMerge w:val="continue"/>
            <w:shd w:val="clear" w:color="auto" w:fill="4F81BD"/>
          </w:tcPr>
          <w:p>
            <w:pPr>
              <w:spacing w:after="0"/>
              <w:rPr>
                <w:sz w:val="12"/>
                <w:szCs w:val="12"/>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28 (2)</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6"/>
              </w:rPr>
              <w:t>24 (2)</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4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69"/>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bottom w:val="single" w:sz="8" w:color="auto"/>
              <w:right w:val="single" w:sz="8" w:color="auto"/>
            </w:tcBorders>
            <w:vMerge w:val="continue"/>
          </w:tcPr>
          <w:p>
            <w:pPr>
              <w:spacing w:after="0"/>
              <w:rPr>
                <w:sz w:val="14"/>
                <w:szCs w:val="14"/>
                <w:color w:val="auto"/>
              </w:rPr>
            </w:pPr>
          </w:p>
        </w:tc>
        <w:tc>
          <w:tcPr>
            <w:tcW w:w="1260" w:type="dxa"/>
            <w:vAlign w:val="bottom"/>
            <w:tcBorders>
              <w:bottom w:val="single" w:sz="8" w:color="auto"/>
              <w:right w:val="single" w:sz="8" w:color="auto"/>
            </w:tcBorders>
            <w:vMerge w:val="continue"/>
          </w:tcPr>
          <w:p>
            <w:pPr>
              <w:spacing w:after="0"/>
              <w:rPr>
                <w:sz w:val="14"/>
                <w:szCs w:val="14"/>
                <w:color w:val="auto"/>
              </w:rPr>
            </w:pPr>
          </w:p>
        </w:tc>
        <w:tc>
          <w:tcPr>
            <w:tcW w:w="1000" w:type="dxa"/>
            <w:vAlign w:val="bottom"/>
            <w:tcBorders>
              <w:bottom w:val="single" w:sz="8" w:color="auto"/>
              <w:right w:val="single" w:sz="8" w:color="auto"/>
            </w:tcBorders>
            <w:vMerge w:val="continue"/>
          </w:tcPr>
          <w:p>
            <w:pPr>
              <w:spacing w:after="0"/>
              <w:rPr>
                <w:sz w:val="14"/>
                <w:szCs w:val="14"/>
                <w:color w:val="auto"/>
              </w:rPr>
            </w:pPr>
          </w:p>
        </w:tc>
        <w:tc>
          <w:tcPr>
            <w:tcW w:w="1620" w:type="dxa"/>
            <w:vAlign w:val="bottom"/>
            <w:tcBorders>
              <w:bottom w:val="single" w:sz="8" w:color="auto"/>
              <w:right w:val="single" w:sz="8" w:color="auto"/>
            </w:tcBorders>
            <w:vMerge w:val="continue"/>
          </w:tcPr>
          <w:p>
            <w:pPr>
              <w:spacing w:after="0"/>
              <w:rPr>
                <w:sz w:val="14"/>
                <w:szCs w:val="14"/>
                <w:color w:val="auto"/>
              </w:rPr>
            </w:pPr>
          </w:p>
        </w:tc>
        <w:tc>
          <w:tcPr>
            <w:tcW w:w="1540" w:type="dxa"/>
            <w:vAlign w:val="bottom"/>
            <w:tcBorders>
              <w:bottom w:val="single" w:sz="8" w:color="auto"/>
              <w:right w:val="single" w:sz="8" w:color="auto"/>
            </w:tcBorders>
            <w:vMerge w:val="continue"/>
          </w:tcPr>
          <w:p>
            <w:pPr>
              <w:spacing w:after="0"/>
              <w:rPr>
                <w:sz w:val="14"/>
                <w:szCs w:val="14"/>
                <w:color w:val="auto"/>
              </w:rPr>
            </w:pPr>
          </w:p>
        </w:tc>
        <w:tc>
          <w:tcPr>
            <w:tcW w:w="1260" w:type="dxa"/>
            <w:vAlign w:val="bottom"/>
            <w:tcBorders>
              <w:bottom w:val="single" w:sz="8" w:color="auto"/>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6"/>
              </w:rPr>
              <w:t>13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4"/>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6"/>
              </w:rPr>
              <w:t>15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6"/>
              </w:rPr>
              <w:t>15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8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0" w:type="dxa"/>
            <w:vAlign w:val="bottom"/>
          </w:tcPr>
          <w:p>
            <w:pPr>
              <w:spacing w:after="0"/>
              <w:rPr>
                <w:sz w:val="1"/>
                <w:szCs w:val="1"/>
                <w:color w:val="auto"/>
              </w:rPr>
            </w:pPr>
          </w:p>
        </w:tc>
      </w:tr>
      <w:tr>
        <w:trPr>
          <w:trHeight w:val="307"/>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33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6"/>
              </w:rPr>
              <w:t>23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6</w:t>
            </w:r>
            <w:r>
              <w:rPr>
                <w:rFonts w:ascii="Calibri" w:cs="Calibri" w:eastAsia="Calibri" w:hAnsi="Calibri"/>
                <w:sz w:val="12"/>
                <w:szCs w:val="12"/>
                <w:b w:val="1"/>
                <w:bCs w:val="1"/>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79"/>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vMerge w:val="continue"/>
          </w:tcPr>
          <w:p>
            <w:pPr>
              <w:spacing w:after="0"/>
              <w:rPr>
                <w:sz w:val="24"/>
                <w:szCs w:val="24"/>
                <w:color w:val="auto"/>
              </w:rPr>
            </w:pPr>
          </w:p>
        </w:tc>
        <w:tc>
          <w:tcPr>
            <w:tcW w:w="1260" w:type="dxa"/>
            <w:vAlign w:val="bottom"/>
            <w:tcBorders>
              <w:right w:val="single" w:sz="8" w:color="auto"/>
            </w:tcBorders>
            <w:vMerge w:val="continue"/>
          </w:tcPr>
          <w:p>
            <w:pPr>
              <w:spacing w:after="0"/>
              <w:rPr>
                <w:sz w:val="24"/>
                <w:szCs w:val="24"/>
                <w:color w:val="auto"/>
              </w:rPr>
            </w:pPr>
          </w:p>
        </w:tc>
        <w:tc>
          <w:tcPr>
            <w:tcW w:w="1000" w:type="dxa"/>
            <w:vAlign w:val="bottom"/>
            <w:tcBorders>
              <w:right w:val="single" w:sz="8" w:color="auto"/>
            </w:tcBorders>
            <w:vMerge w:val="continue"/>
          </w:tcPr>
          <w:p>
            <w:pPr>
              <w:spacing w:after="0"/>
              <w:rPr>
                <w:sz w:val="24"/>
                <w:szCs w:val="24"/>
                <w:color w:val="auto"/>
              </w:rPr>
            </w:pPr>
          </w:p>
        </w:tc>
        <w:tc>
          <w:tcPr>
            <w:tcW w:w="1620" w:type="dxa"/>
            <w:vAlign w:val="bottom"/>
            <w:tcBorders>
              <w:right w:val="single" w:sz="8" w:color="auto"/>
            </w:tcBorders>
            <w:vMerge w:val="continue"/>
          </w:tcPr>
          <w:p>
            <w:pPr>
              <w:spacing w:after="0"/>
              <w:rPr>
                <w:sz w:val="24"/>
                <w:szCs w:val="24"/>
                <w:color w:val="auto"/>
              </w:rPr>
            </w:pPr>
          </w:p>
        </w:tc>
        <w:tc>
          <w:tcPr>
            <w:tcW w:w="1540" w:type="dxa"/>
            <w:vAlign w:val="bottom"/>
            <w:tcBorders>
              <w:right w:val="single" w:sz="8" w:color="auto"/>
            </w:tcBorders>
            <w:vMerge w:val="continue"/>
          </w:tcPr>
          <w:p>
            <w:pPr>
              <w:spacing w:after="0"/>
              <w:rPr>
                <w:sz w:val="24"/>
                <w:szCs w:val="24"/>
                <w:color w:val="auto"/>
              </w:rPr>
            </w:pPr>
          </w:p>
        </w:tc>
        <w:tc>
          <w:tcPr>
            <w:tcW w:w="1260" w:type="dxa"/>
            <w:vAlign w:val="bottom"/>
            <w:tcBorders>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14"/>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84"/>
        </w:trPr>
        <w:tc>
          <w:tcPr>
            <w:tcW w:w="2280" w:type="dxa"/>
            <w:vAlign w:val="bottom"/>
            <w:tcBorders>
              <w:left w:val="single" w:sz="8" w:color="auto"/>
              <w:bottom w:val="single" w:sz="8" w:color="4F81BD"/>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8"/>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vMerge w:val="continue"/>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000" w:type="dxa"/>
            <w:vAlign w:val="bottom"/>
            <w:tcBorders>
              <w:right w:val="single" w:sz="8" w:color="auto"/>
            </w:tcBorders>
          </w:tcPr>
          <w:p>
            <w:pPr>
              <w:spacing w:after="0"/>
              <w:rPr>
                <w:sz w:val="22"/>
                <w:szCs w:val="22"/>
                <w:color w:val="auto"/>
              </w:rPr>
            </w:pPr>
          </w:p>
        </w:tc>
        <w:tc>
          <w:tcPr>
            <w:tcW w:w="16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6"/>
              </w:rPr>
              <w:t>11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7"/>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16 (2)</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14 (2)</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8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vMerge w:val="continue"/>
          </w:tcPr>
          <w:p>
            <w:pPr>
              <w:spacing w:after="0"/>
              <w:rPr>
                <w:sz w:val="24"/>
                <w:szCs w:val="24"/>
                <w:color w:val="auto"/>
              </w:rPr>
            </w:pPr>
          </w:p>
        </w:tc>
        <w:tc>
          <w:tcPr>
            <w:tcW w:w="1260" w:type="dxa"/>
            <w:vAlign w:val="bottom"/>
            <w:tcBorders>
              <w:bottom w:val="single" w:sz="8" w:color="auto"/>
              <w:right w:val="single" w:sz="8" w:color="auto"/>
            </w:tcBorders>
            <w:vMerge w:val="continue"/>
          </w:tcPr>
          <w:p>
            <w:pPr>
              <w:spacing w:after="0"/>
              <w:rPr>
                <w:sz w:val="24"/>
                <w:szCs w:val="24"/>
                <w:color w:val="auto"/>
              </w:rPr>
            </w:pPr>
          </w:p>
        </w:tc>
        <w:tc>
          <w:tcPr>
            <w:tcW w:w="1000" w:type="dxa"/>
            <w:vAlign w:val="bottom"/>
            <w:tcBorders>
              <w:bottom w:val="single" w:sz="8" w:color="auto"/>
              <w:right w:val="single" w:sz="8" w:color="auto"/>
            </w:tcBorders>
            <w:vMerge w:val="continue"/>
          </w:tcPr>
          <w:p>
            <w:pPr>
              <w:spacing w:after="0"/>
              <w:rPr>
                <w:sz w:val="24"/>
                <w:szCs w:val="24"/>
                <w:color w:val="auto"/>
              </w:rPr>
            </w:pPr>
          </w:p>
        </w:tc>
        <w:tc>
          <w:tcPr>
            <w:tcW w:w="1620" w:type="dxa"/>
            <w:vAlign w:val="bottom"/>
            <w:tcBorders>
              <w:bottom w:val="single" w:sz="8" w:color="auto"/>
              <w:right w:val="single" w:sz="8" w:color="auto"/>
            </w:tcBorders>
            <w:vMerge w:val="continue"/>
          </w:tcPr>
          <w:p>
            <w:pPr>
              <w:spacing w:after="0"/>
              <w:rPr>
                <w:sz w:val="24"/>
                <w:szCs w:val="24"/>
                <w:color w:val="auto"/>
              </w:rPr>
            </w:pPr>
          </w:p>
        </w:tc>
        <w:tc>
          <w:tcPr>
            <w:tcW w:w="1540" w:type="dxa"/>
            <w:vAlign w:val="bottom"/>
            <w:tcBorders>
              <w:bottom w:val="single" w:sz="8" w:color="auto"/>
              <w:right w:val="single" w:sz="8" w:color="auto"/>
            </w:tcBorders>
            <w:vMerge w:val="continue"/>
          </w:tcPr>
          <w:p>
            <w:pPr>
              <w:spacing w:after="0"/>
              <w:rPr>
                <w:sz w:val="24"/>
                <w:szCs w:val="24"/>
                <w:color w:val="auto"/>
              </w:rPr>
            </w:pPr>
          </w:p>
        </w:tc>
        <w:tc>
          <w:tcPr>
            <w:tcW w:w="1260" w:type="dxa"/>
            <w:vAlign w:val="bottom"/>
            <w:tcBorders>
              <w:bottom w:val="single" w:sz="8" w:color="auto"/>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8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3"/>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5"/>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8"/>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8"/>
        </w:trPr>
        <w:tc>
          <w:tcPr>
            <w:tcW w:w="2280" w:type="dxa"/>
            <w:vAlign w:val="bottom"/>
            <w:tcBorders>
              <w:left w:val="single" w:sz="8" w:color="auto"/>
              <w:right w:val="single" w:sz="8" w:color="auto"/>
            </w:tcBorders>
            <w:vMerge w:val="continue"/>
            <w:shd w:val="clear" w:color="auto" w:fill="4F81BD"/>
          </w:tcPr>
          <w:p>
            <w:pPr>
              <w:spacing w:after="0"/>
              <w:rPr>
                <w:sz w:val="24"/>
                <w:szCs w:val="24"/>
                <w:color w:val="auto"/>
              </w:rPr>
            </w:pPr>
          </w:p>
        </w:tc>
        <w:tc>
          <w:tcPr>
            <w:tcW w:w="2240" w:type="dxa"/>
            <w:vAlign w:val="bottom"/>
            <w:tcBorders>
              <w:right w:val="single" w:sz="8" w:color="auto"/>
            </w:tcBorders>
            <w:vMerge w:val="continue"/>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9"/>
              </w:rPr>
              <w:t>175</w:t>
            </w:r>
            <w:r>
              <w:rPr>
                <w:rFonts w:ascii="Calibri" w:cs="Calibri" w:eastAsia="Calibri" w:hAnsi="Calibri"/>
                <w:sz w:val="12"/>
                <w:szCs w:val="12"/>
                <w:color w:val="auto"/>
                <w:w w:val="99"/>
              </w:rPr>
              <w:t>**</w:t>
            </w:r>
            <w:r>
              <w:rPr>
                <w:rFonts w:ascii="Calibri" w:cs="Calibri" w:eastAsia="Calibri" w:hAnsi="Calibri"/>
                <w:sz w:val="22"/>
                <w:szCs w:val="22"/>
                <w:color w:val="auto"/>
                <w:w w:val="99"/>
              </w:rPr>
              <w:t xml:space="preserve"> (40)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(1)</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9"/>
              </w:rPr>
              <w:t>174 (39)</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73"/>
        </w:trPr>
        <w:tc>
          <w:tcPr>
            <w:tcW w:w="2280" w:type="dxa"/>
            <w:vAlign w:val="bottom"/>
            <w:tcBorders>
              <w:left w:val="single" w:sz="8" w:color="auto"/>
              <w:bottom w:val="single" w:sz="8" w:color="auto"/>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3657600</wp:posOffset>
                </wp:positionH>
                <wp:positionV relativeFrom="paragraph">
                  <wp:posOffset>-7014845</wp:posOffset>
                </wp:positionV>
                <wp:extent cx="12065"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288pt;margin-top:-552.3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6289675</wp:posOffset>
                </wp:positionH>
                <wp:positionV relativeFrom="paragraph">
                  <wp:posOffset>-7014845</wp:posOffset>
                </wp:positionV>
                <wp:extent cx="12700" cy="120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8" o:spid="_x0000_s1033" style="position:absolute;margin-left:495.25pt;margin-top:-552.3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49"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4">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360" w:right="360"/>
        <w:spacing w:after="0" w:line="193"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27" w:lineRule="exact"/>
        <w:rPr>
          <w:sz w:val="20"/>
          <w:szCs w:val="20"/>
          <w:color w:val="auto"/>
        </w:rPr>
      </w:pPr>
    </w:p>
    <w:p>
      <w:pPr>
        <w:ind w:left="360" w:right="340"/>
        <w:spacing w:after="0" w:line="19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(49 confirmed cases, 1 death), Macao SAR (10 confirmed cases) and Taipei and environs (18 confirmed cases).</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183" w:lineRule="auto"/>
        <w:rPr>
          <w:sz w:val="20"/>
          <w:szCs w:val="20"/>
          <w:color w:val="auto"/>
        </w:rPr>
      </w:pPr>
      <w:r>
        <w:rPr>
          <w:rFonts w:ascii="Calibri" w:cs="Calibri" w:eastAsia="Calibri" w:hAnsi="Calibri"/>
          <w:sz w:val="22"/>
          <w:szCs w:val="22"/>
          <w:color w:val="auto"/>
          <w:vertAlign w:val="superscript"/>
        </w:rPr>
        <w:t>§</w:t>
      </w:r>
      <w:r>
        <w:rPr>
          <w:rFonts w:ascii="Calibri" w:cs="Calibri" w:eastAsia="Calibri" w:hAnsi="Calibri"/>
          <w:sz w:val="17"/>
          <w:szCs w:val="17"/>
          <w:color w:val="auto"/>
        </w:rPr>
        <w:t>The exposure for 2 cases occurred outside of Spain.</w:t>
      </w:r>
    </w:p>
    <w:p>
      <w:pPr>
        <w:ind w:left="360"/>
        <w:spacing w:after="0" w:line="192"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6"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3 cases occurred outside of Republic of Korea.</w:t>
      </w:r>
    </w:p>
    <w:p>
      <w:pPr>
        <w:ind w:left="360"/>
        <w:spacing w:after="0" w:line="180"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1 case occurred outside of Malaysia.</w:t>
      </w:r>
    </w:p>
    <w:p>
      <w:pPr>
        <w:spacing w:after="0" w:line="182" w:lineRule="exact"/>
        <w:rPr>
          <w:sz w:val="20"/>
          <w:szCs w:val="20"/>
          <w:color w:val="auto"/>
        </w:rPr>
      </w:pPr>
    </w:p>
    <w:p>
      <w:pPr>
        <w:ind w:left="360"/>
        <w:spacing w:after="0"/>
        <w:rPr>
          <w:sz w:val="20"/>
          <w:szCs w:val="20"/>
          <w:color w:val="auto"/>
        </w:rPr>
      </w:pPr>
      <w:r>
        <w:rPr>
          <w:rFonts w:ascii="Calibri" w:cs="Calibri" w:eastAsia="Calibri" w:hAnsi="Calibri"/>
          <w:sz w:val="18"/>
          <w:szCs w:val="18"/>
          <w:color w:val="FF0000"/>
        </w:rPr>
        <w:t>ERRATUM – Due to a typographical error, the total confirmed cases and death in China were incorrect. It has been corrected here.</w:t>
      </w:r>
    </w:p>
    <w:p>
      <w:pPr>
        <w:sectPr>
          <w:pgSz w:w="11920" w:h="16840" w:orient="portrait"/>
          <w:cols w:equalWidth="0" w:num="1">
            <w:col w:w="11180"/>
          </w:cols>
          <w:pgMar w:left="360" w:top="945" w:right="370" w:bottom="661" w:gutter="0" w:footer="0" w:header="0"/>
        </w:sectPr>
      </w:pPr>
    </w:p>
    <w:bookmarkStart w:id="4" w:name="page5"/>
    <w:bookmarkEnd w:id="4"/>
    <w:p>
      <w:pPr>
        <w:spacing w:after="0" w:line="217" w:lineRule="auto"/>
        <w:rPr>
          <w:sz w:val="20"/>
          <w:szCs w:val="20"/>
          <w:color w:val="auto"/>
        </w:rPr>
      </w:pPr>
      <w:r>
        <w:rPr>
          <w:rFonts w:ascii="Calibri" w:cs="Calibri" w:eastAsia="Calibri" w:hAnsi="Calibri"/>
          <w:sz w:val="22"/>
          <w:szCs w:val="22"/>
          <w:b w:val="1"/>
          <w:bCs w:val="1"/>
          <w:color w:val="007AB0"/>
        </w:rPr>
        <w:t>Figure 2: Epidemic curve of COVID-19 cases (n=155) identified outside of China, by date of onset of symptoms and travel history, 12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6545" cy="32835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6646545" cy="3283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right="260"/>
        <w:spacing w:after="0" w:line="254" w:lineRule="auto"/>
        <w:rPr>
          <w:sz w:val="20"/>
          <w:szCs w:val="20"/>
          <w:color w:val="auto"/>
        </w:rPr>
      </w:pPr>
      <w:r>
        <w:rPr>
          <w:rFonts w:ascii="Calibri" w:cs="Calibri" w:eastAsia="Calibri" w:hAnsi="Calibri"/>
          <w:sz w:val="22"/>
          <w:szCs w:val="22"/>
          <w:color w:val="auto"/>
        </w:rPr>
        <w:t>Note for figure 2: Of the 441 cases reported outside China, 16 were detected while apparently asymptomatic. For the remaining 425 cases, information on date of onset is available only for the 155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320"/>
        <w:spacing w:after="0" w:line="217" w:lineRule="auto"/>
        <w:rPr>
          <w:sz w:val="20"/>
          <w:szCs w:val="20"/>
          <w:color w:val="auto"/>
        </w:rPr>
      </w:pPr>
      <w:r>
        <w:rPr>
          <w:rFonts w:ascii="Calibri" w:cs="Calibri" w:eastAsia="Calibri" w:hAnsi="Calibri"/>
          <w:sz w:val="22"/>
          <w:szCs w:val="22"/>
          <w:b w:val="1"/>
          <w:bCs w:val="1"/>
          <w:color w:val="007AB0"/>
        </w:rPr>
        <w:t>Figure 3: Epidemic curve of COVID-19 cases (n=441) identified outside of China, by date of reporting and travel history, 12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7180" cy="36296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6647180" cy="3629660"/>
                    </a:xfrm>
                    <a:prstGeom prst="rect">
                      <a:avLst/>
                    </a:prstGeom>
                    <a:noFill/>
                  </pic:spPr>
                </pic:pic>
              </a:graphicData>
            </a:graphic>
          </wp:anchor>
        </w:drawing>
      </w:r>
    </w:p>
    <w:p>
      <w:pPr>
        <w:sectPr>
          <w:pgSz w:w="11920" w:h="16840" w:orient="portrait"/>
          <w:cols w:equalWidth="0" w:num="1">
            <w:col w:w="10380"/>
          </w:cols>
          <w:pgMar w:left="720" w:top="945" w:right="810" w:bottom="1440" w:gutter="0" w:footer="0" w:header="0"/>
        </w:sectPr>
      </w:pPr>
    </w:p>
    <w:bookmarkStart w:id="5" w:name="page6"/>
    <w:bookmarkEnd w:id="5"/>
    <w:p>
      <w:pPr>
        <w:spacing w:after="0" w:line="2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8"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1" w:lineRule="exact"/>
        <w:rPr>
          <w:sz w:val="20"/>
          <w:szCs w:val="20"/>
          <w:color w:val="auto"/>
        </w:rPr>
      </w:pPr>
    </w:p>
    <w:p>
      <w:pPr>
        <w:jc w:val="both"/>
        <w:ind w:left="940" w:right="280" w:hanging="370"/>
        <w:spacing w:after="0" w:line="224" w:lineRule="auto"/>
        <w:tabs>
          <w:tab w:leader="none" w:pos="9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5" w:lineRule="exact"/>
        <w:rPr>
          <w:rFonts w:ascii="Arial" w:cs="Arial" w:eastAsia="Arial" w:hAnsi="Arial"/>
          <w:sz w:val="22"/>
          <w:szCs w:val="22"/>
          <w:color w:val="auto"/>
        </w:rPr>
      </w:pPr>
    </w:p>
    <w:p>
      <w:pPr>
        <w:ind w:left="940" w:hanging="370"/>
        <w:spacing w:after="0"/>
        <w:tabs>
          <w:tab w:leader="none" w:pos="9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1" w:lineRule="exact"/>
        <w:rPr>
          <w:rFonts w:ascii="Arial" w:cs="Arial" w:eastAsia="Arial" w:hAnsi="Arial"/>
          <w:sz w:val="22"/>
          <w:szCs w:val="22"/>
          <w:color w:val="auto"/>
        </w:rPr>
      </w:pPr>
    </w:p>
    <w:p>
      <w:pPr>
        <w:ind w:left="940" w:hanging="370"/>
        <w:spacing w:after="0"/>
        <w:tabs>
          <w:tab w:leader="none" w:pos="9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2" w:lineRule="exact"/>
        <w:rPr>
          <w:rFonts w:ascii="Arial" w:cs="Arial" w:eastAsia="Arial" w:hAnsi="Arial"/>
          <w:sz w:val="22"/>
          <w:szCs w:val="22"/>
          <w:color w:val="auto"/>
        </w:rPr>
      </w:pPr>
    </w:p>
    <w:p>
      <w:pPr>
        <w:ind w:left="940" w:right="540" w:hanging="370"/>
        <w:spacing w:after="0" w:line="217" w:lineRule="auto"/>
        <w:tabs>
          <w:tab w:leader="none" w:pos="9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40" w:hanging="370"/>
        <w:spacing w:after="0"/>
        <w:tabs>
          <w:tab w:leader="none" w:pos="9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20" w:right="36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2019-nCoV, please go to </w:t>
      </w:r>
      <w:hyperlink r:id="rId17">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40" w:hanging="360"/>
        <w:spacing w:after="0" w:line="254"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200" w:hanging="360"/>
        <w:spacing w:after="0" w:line="265"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9">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1" w:lineRule="exact"/>
        <w:rPr>
          <w:rFonts w:ascii="Calibri" w:cs="Calibri" w:eastAsia="Calibri" w:hAnsi="Calibri"/>
          <w:sz w:val="22"/>
          <w:szCs w:val="22"/>
          <w:color w:val="0000FF"/>
        </w:rPr>
      </w:pPr>
    </w:p>
    <w:p>
      <w:pPr>
        <w:ind w:left="360" w:right="16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2" w:lineRule="exact"/>
        <w:rPr>
          <w:rFonts w:ascii="Arial" w:cs="Arial" w:eastAsia="Arial" w:hAnsi="Arial"/>
          <w:sz w:val="22"/>
          <w:szCs w:val="22"/>
          <w:color w:val="auto"/>
        </w:rPr>
      </w:pPr>
    </w:p>
    <w:p>
      <w:pPr>
        <w:ind w:left="360" w:right="20" w:hanging="360"/>
        <w:spacing w:after="0" w:line="264" w:lineRule="auto"/>
        <w:tabs>
          <w:tab w:leader="none" w:pos="360" w:val="left"/>
        </w:tabs>
        <w:numPr>
          <w:ilvl w:val="0"/>
          <w:numId w:val="6"/>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0">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1">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2">
        <w:r>
          <w:rPr>
            <w:rFonts w:ascii="Calibri" w:cs="Calibri" w:eastAsia="Calibri" w:hAnsi="Calibri"/>
            <w:sz w:val="22"/>
            <w:szCs w:val="22"/>
            <w:u w:val="single" w:color="auto"/>
            <w:color w:val="0000FF"/>
          </w:rPr>
          <w:t>clinical management</w:t>
        </w:r>
      </w:hyperlink>
      <w:hyperlink r:id="rId23">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3">
        <w:r>
          <w:rPr>
            <w:rFonts w:ascii="Calibri" w:cs="Calibri" w:eastAsia="Calibri" w:hAnsi="Calibri"/>
            <w:sz w:val="22"/>
            <w:szCs w:val="22"/>
            <w:u w:val="single" w:color="auto"/>
            <w:color w:val="0000FF"/>
          </w:rPr>
          <w:t xml:space="preserve">infection prevention and control in health care settings, </w:t>
        </w:r>
      </w:hyperlink>
      <w:hyperlink r:id="rId24">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4">
        <w:r>
          <w:rPr>
            <w:rFonts w:ascii="Calibri" w:cs="Calibri" w:eastAsia="Calibri" w:hAnsi="Calibri"/>
            <w:sz w:val="22"/>
            <w:szCs w:val="22"/>
            <w:u w:val="single" w:color="auto"/>
            <w:color w:val="0000FF"/>
          </w:rPr>
          <w:t xml:space="preserve">coronavirus, </w:t>
        </w:r>
      </w:hyperlink>
      <w:hyperlink r:id="rId25">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novel coronavirus (2019-nCoV).</w:t>
        </w:r>
      </w:hyperlink>
    </w:p>
    <w:p>
      <w:pPr>
        <w:spacing w:after="0" w:line="67" w:lineRule="exact"/>
        <w:rPr>
          <w:rFonts w:ascii="Calibri" w:cs="Calibri" w:eastAsia="Calibri" w:hAnsi="Calibri"/>
          <w:sz w:val="22"/>
          <w:szCs w:val="22"/>
          <w:u w:val="single" w:color="auto"/>
          <w:color w:val="0000FF"/>
        </w:rPr>
      </w:pPr>
    </w:p>
    <w:p>
      <w:pPr>
        <w:ind w:left="360" w:right="860" w:hanging="360"/>
        <w:spacing w:after="0" w:line="235"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6">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7">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1" w:lineRule="exact"/>
        <w:rPr>
          <w:rFonts w:ascii="Calibri" w:cs="Calibri" w:eastAsia="Calibri" w:hAnsi="Calibri"/>
          <w:sz w:val="22"/>
          <w:szCs w:val="22"/>
          <w:color w:val="auto"/>
        </w:rPr>
      </w:pPr>
    </w:p>
    <w:p>
      <w:pPr>
        <w:ind w:left="360" w:right="1020" w:hanging="360"/>
        <w:spacing w:after="0" w:line="235"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8">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40" w:hanging="360"/>
        <w:spacing w:after="0" w:line="235"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9">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2" w:lineRule="exact"/>
        <w:rPr>
          <w:rFonts w:ascii="Calibri" w:cs="Calibri" w:eastAsia="Calibri" w:hAnsi="Calibri"/>
          <w:sz w:val="22"/>
          <w:szCs w:val="22"/>
          <w:color w:val="auto"/>
        </w:rPr>
      </w:pPr>
    </w:p>
    <w:p>
      <w:pPr>
        <w:ind w:left="360" w:hanging="360"/>
        <w:spacing w:after="0" w:line="277" w:lineRule="auto"/>
        <w:tabs>
          <w:tab w:leader="none" w:pos="360" w:val="left"/>
        </w:tabs>
        <w:numPr>
          <w:ilvl w:val="0"/>
          <w:numId w:val="6"/>
        </w:numPr>
        <w:rPr>
          <w:rFonts w:ascii="Arial" w:cs="Arial" w:eastAsia="Arial" w:hAnsi="Arial"/>
          <w:sz w:val="21"/>
          <w:szCs w:val="21"/>
          <w:color w:val="auto"/>
        </w:rPr>
      </w:pPr>
      <w:r>
        <w:rPr>
          <w:rFonts w:ascii="Calibri" w:cs="Calibri" w:eastAsia="Calibri" w:hAnsi="Calibri"/>
          <w:sz w:val="21"/>
          <w:szCs w:val="21"/>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2575560</wp:posOffset>
                </wp:positionH>
                <wp:positionV relativeFrom="paragraph">
                  <wp:posOffset>-3182620</wp:posOffset>
                </wp:positionV>
                <wp:extent cx="31115" cy="1333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3335"/>
                        </a:xfrm>
                        <a:prstGeom prst="rect">
                          <a:avLst/>
                        </a:prstGeom>
                        <a:solidFill>
                          <a:srgbClr val="000000"/>
                        </a:solidFill>
                      </wps:spPr>
                      <wps:bodyPr/>
                    </wps:wsp>
                  </a:graphicData>
                </a:graphic>
              </wp:anchor>
            </w:drawing>
          </mc:Choice>
          <mc:Fallback>
            <w:pict>
              <v:rect id="Shape 15" o:spid="_x0000_s1040" style="position:absolute;margin-left:202.8pt;margin-top:-250.5999pt;width:2.4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6276340</wp:posOffset>
                </wp:positionH>
                <wp:positionV relativeFrom="paragraph">
                  <wp:posOffset>-2986405</wp:posOffset>
                </wp:positionV>
                <wp:extent cx="31115" cy="127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2700"/>
                        </a:xfrm>
                        <a:prstGeom prst="rect">
                          <a:avLst/>
                        </a:prstGeom>
                        <a:solidFill>
                          <a:srgbClr val="0000FF"/>
                        </a:solidFill>
                      </wps:spPr>
                      <wps:bodyPr/>
                    </wps:wsp>
                  </a:graphicData>
                </a:graphic>
              </wp:anchor>
            </w:drawing>
          </mc:Choice>
          <mc:Fallback>
            <w:pict>
              <v:rect id="Shape 16" o:spid="_x0000_s1041" style="position:absolute;margin-left:494.2pt;margin-top:-235.1499pt;width:2.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0" w:orient="portrait"/>
          <w:cols w:equalWidth="0" w:num="1">
            <w:col w:w="10460"/>
          </w:cols>
          <w:pgMar w:left="720" w:top="1440" w:right="730" w:bottom="193"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0" w:lineRule="exact"/>
        <w:rPr>
          <w:sz w:val="20"/>
          <w:szCs w:val="20"/>
          <w:color w:val="auto"/>
        </w:rPr>
      </w:pPr>
    </w:p>
    <w:p>
      <w:pPr>
        <w:ind w:left="360"/>
        <w:spacing w:after="0"/>
        <w:rPr>
          <w:rFonts w:ascii="Calibri" w:cs="Calibri" w:eastAsia="Calibri" w:hAnsi="Calibri"/>
          <w:sz w:val="22"/>
          <w:szCs w:val="22"/>
          <w:u w:val="single" w:color="auto"/>
          <w:color w:val="0000FF"/>
        </w:rPr>
      </w:pPr>
      <w:hyperlink r:id="rId30">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91" w:lineRule="exact"/>
        <w:rPr>
          <w:sz w:val="20"/>
          <w:szCs w:val="20"/>
          <w:color w:val="auto"/>
        </w:rPr>
      </w:pPr>
    </w:p>
    <w:p>
      <w:pPr>
        <w:ind w:left="360" w:right="280" w:hanging="360"/>
        <w:spacing w:after="0" w:line="261"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6" w:lineRule="exact"/>
        <w:rPr>
          <w:rFonts w:ascii="Arial" w:cs="Arial" w:eastAsia="Arial" w:hAnsi="Arial"/>
          <w:sz w:val="22"/>
          <w:szCs w:val="22"/>
          <w:color w:val="auto"/>
        </w:rPr>
      </w:pPr>
    </w:p>
    <w:p>
      <w:pPr>
        <w:ind w:left="360" w:right="18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6" w:lineRule="exact"/>
        <w:rPr>
          <w:sz w:val="20"/>
          <w:szCs w:val="20"/>
          <w:color w:val="auto"/>
        </w:rPr>
      </w:pPr>
    </w:p>
    <w:p>
      <w:pPr>
        <w:ind w:right="52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5" w:lineRule="exact"/>
        <w:rPr>
          <w:sz w:val="20"/>
          <w:szCs w:val="20"/>
          <w:color w:val="auto"/>
        </w:rPr>
      </w:pPr>
    </w:p>
    <w:p>
      <w:pPr>
        <w:ind w:left="360" w:hanging="360"/>
        <w:spacing w:after="0"/>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9" w:lineRule="exact"/>
        <w:rPr>
          <w:rFonts w:ascii="Arial" w:cs="Arial" w:eastAsia="Arial" w:hAnsi="Arial"/>
          <w:sz w:val="22"/>
          <w:szCs w:val="22"/>
          <w:color w:val="auto"/>
        </w:rPr>
      </w:pPr>
    </w:p>
    <w:p>
      <w:pPr>
        <w:ind w:left="360" w:hanging="360"/>
        <w:spacing w:after="0"/>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2"/>
          <w:szCs w:val="22"/>
          <w:color w:val="auto"/>
        </w:rPr>
      </w:pPr>
    </w:p>
    <w:p>
      <w:pPr>
        <w:ind w:left="360" w:right="180" w:hanging="360"/>
        <w:spacing w:after="0" w:line="236"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80" w:hanging="360"/>
        <w:spacing w:after="0" w:line="236"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0" w:orient="portrait"/>
      <w:cols w:equalWidth="0" w:num="1">
        <w:col w:w="10440"/>
      </w:cols>
      <w:pgMar w:left="720" w:top="895" w:right="75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24"/>
    </w:lvl>
  </w:abstractNum>
  <w:abstractNum w:abstractNumId="2">
    <w:nsid w:val="3D1B58BA"/>
    <w:multiLevelType w:val="hybridMultilevel"/>
    <w:lvl w:ilvl="0">
      <w:lvlJc w:val="left"/>
      <w:lvlText w:val="%1"/>
      <w:numFmt w:val="decimal"/>
      <w:start w:val="1"/>
    </w:lvl>
  </w:abstractNum>
  <w:abstractNum w:abstractNumId="3">
    <w:nsid w:val="507ED7AB"/>
    <w:multiLevelType w:val="hybridMultilevel"/>
    <w:lvl w:ilvl="0">
      <w:lvlJc w:val="left"/>
      <w:lvlText w:val="%1"/>
      <w:numFmt w:val="decimal"/>
      <w:start w:val="2"/>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9" Type="http://schemas.openxmlformats.org/officeDocument/2006/relationships/hyperlink" Target="https://www.who.int/ith/Repatriation_Quarantine_nCoV-key-considerations_HQ-final11Feb.pdf?ua=1" TargetMode="External"/><Relationship Id="rId10" Type="http://schemas.openxmlformats.org/officeDocument/2006/relationships/hyperlink" Target="https://www.who.int/news-room/q-a-detail/q-a-on-infection-prevention-and-control-for-health-care-workers-caring-for-patients-with-suspected-or-confirmed-2019-ncov" TargetMode="External"/><Relationship Id="rId13" Type="http://schemas.openxmlformats.org/officeDocument/2006/relationships/hyperlink" Target="http://data.stats.gov.cn/english/easyquery.htm?cn=E0103" TargetMode="External"/><Relationship Id="rId14"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www.iata.org/en/programs/safety/health/diseases/#tab-2" TargetMode="External"/><Relationship Id="rId19"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emergencies/diseases/novel-coronavirus-2019/technical-guidance/laboratory-guidance" TargetMode="External"/><Relationship Id="rId21" Type="http://schemas.openxmlformats.org/officeDocument/2006/relationships/hyperlink" Target="https://www.who.int/publications-detail/advice-on-the-use-of-masks-the-community-during-home-care-and-in-health-care-settings-in-the-context-of-the-novel-coronavirus-(2019-ncov)-outbreak" TargetMode="External"/><Relationship Id="rId22" Type="http://schemas.openxmlformats.org/officeDocument/2006/relationships/hyperlink" Target="https://www.who.int/publications-detail/clinical-management-of-severe-acute-respiratory-infection-when-novel-coronavirus-(ncov)-infection-is-suspected" TargetMode="External"/><Relationship Id="rId23" Type="http://schemas.openxmlformats.org/officeDocument/2006/relationships/hyperlink" Target="https://www.who.int/emergencies/diseases/novel-coronavirus-2019/technical-guidance/infection-prevention-and-control" TargetMode="External"/><Relationship Id="rId24" Type="http://schemas.openxmlformats.org/officeDocument/2006/relationships/hyperlink" Target="https://www.who.int/publications-detail/home-care-for-patients-with-suspected-novel-coronavirus-(ncov)-infection-presenting-with-mild-symptoms-and-management-of-contacts" TargetMode="External"/><Relationship Id="rId25" Type="http://schemas.openxmlformats.org/officeDocument/2006/relationships/hyperlink" Target="https://www.who.int/publications-detail/risk-communication-and-community-engagement-readiness-and-initial-response-for-novel-coronaviruses-(-ncov)" TargetMode="External"/><Relationship Id="rId26" Type="http://schemas.openxmlformats.org/officeDocument/2006/relationships/hyperlink" Target="https://www.who.int/publications-detail/disease-commodity-package---novel-coronavirus-(ncov)" TargetMode="External"/><Relationship Id="rId27" Type="http://schemas.openxmlformats.org/officeDocument/2006/relationships/hyperlink" Target="https://www.who.int/health-topics/coronavirus/who-recommendations-to-reduce-risk-of-transmission-of-emerging-pathogens-from-animals-to-humans-in-live-animal-markets" TargetMode="External"/><Relationship Id="rId28" Type="http://schemas.openxmlformats.org/officeDocument/2006/relationships/hyperlink" Target="https://www.who.int/ith/2019-nCoV_advice_for_international_traffic/en/" TargetMode="External"/><Relationship Id="rId29" Type="http://schemas.openxmlformats.org/officeDocument/2006/relationships/hyperlink" Target="https://openwho.org/courses/introduction-to-ncov" TargetMode="External"/><Relationship Id="rId30"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2020-03-10T16:45:56Z</dcterms:created>
  <dcterms:modified xsi:type="dcterms:W3CDTF">2020-03-10T16:45:56Z</dcterms:modified>
</cp:coreProperties>
</file>