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Coronavirus disease 2019 (COVID-19)</w:t>
      </w:r>
    </w:p>
    <w:p>
      <w:pPr>
        <w:ind w:left="200"/>
        <w:spacing w:after="0" w:line="238" w:lineRule="auto"/>
        <w:rPr>
          <w:sz w:val="20"/>
          <w:szCs w:val="20"/>
          <w:color w:val="auto"/>
        </w:rPr>
      </w:pPr>
      <w:r>
        <w:rPr>
          <w:rFonts w:ascii="Arial" w:cs="Arial" w:eastAsia="Arial" w:hAnsi="Arial"/>
          <w:sz w:val="34"/>
          <w:szCs w:val="34"/>
          <w:b w:val="1"/>
          <w:bCs w:val="1"/>
          <w:color w:val="FFFFFF"/>
        </w:rPr>
        <w:t>Situation Report – 28</w:t>
      </w:r>
    </w:p>
    <w:p>
      <w:pPr>
        <w:spacing w:after="0" w:line="318"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17 February 2020*</w:t>
      </w:r>
    </w:p>
    <w:p>
      <w:pPr>
        <w:spacing w:after="0" w:line="196"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3" w:lineRule="exact"/>
        <w:rPr>
          <w:sz w:val="24"/>
          <w:szCs w:val="24"/>
          <w:color w:val="auto"/>
        </w:rPr>
      </w:pPr>
    </w:p>
    <w:p>
      <w:pPr>
        <w:ind w:left="720" w:hanging="362"/>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COVID-19 in the past 24 hours.</w:t>
      </w:r>
    </w:p>
    <w:p>
      <w:pPr>
        <w:spacing w:after="0" w:line="330" w:lineRule="exact"/>
        <w:rPr>
          <w:rFonts w:ascii="Arial" w:cs="Arial" w:eastAsia="Arial" w:hAnsi="Arial"/>
          <w:sz w:val="22"/>
          <w:szCs w:val="22"/>
          <w:color w:val="auto"/>
        </w:rPr>
      </w:pPr>
    </w:p>
    <w:p>
      <w:pPr>
        <w:ind w:left="720" w:hanging="362"/>
        <w:spacing w:after="0" w:line="268" w:lineRule="auto"/>
        <w:tabs>
          <w:tab w:leader="none" w:pos="72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From today, WHO will be reporting all confirmed cases, including both laboratory-confirmed as previously reported, and those reported as clinically diagnosed (currently only applicable to Hubei province, China). From 13 February through 16 February, we reported only laboratory confirmed cases for Hubei province as mentioned in the </w:t>
      </w:r>
      <w:hyperlink r:id="rId9">
        <w:r>
          <w:rPr>
            <w:rFonts w:ascii="Calibri" w:cs="Calibri" w:eastAsia="Calibri" w:hAnsi="Calibri"/>
            <w:sz w:val="22"/>
            <w:szCs w:val="22"/>
            <w:u w:val="single" w:color="auto"/>
            <w:color w:val="0000FF"/>
          </w:rPr>
          <w:t>situation report published on 13</w:t>
        </w:r>
      </w:hyperlink>
      <w:r>
        <w:rPr>
          <w:rFonts w:ascii="Calibri" w:cs="Calibri" w:eastAsia="Calibri" w:hAnsi="Calibri"/>
          <w:sz w:val="22"/>
          <w:szCs w:val="22"/>
          <w:color w:val="auto"/>
        </w:rPr>
        <w:t xml:space="preserve"> </w:t>
      </w:r>
      <w:hyperlink r:id="rId9">
        <w:r>
          <w:rPr>
            <w:rFonts w:ascii="Calibri" w:cs="Calibri" w:eastAsia="Calibri" w:hAnsi="Calibri"/>
            <w:sz w:val="22"/>
            <w:szCs w:val="22"/>
            <w:u w:val="single" w:color="auto"/>
            <w:color w:val="0000FF"/>
          </w:rPr>
          <w:t>February</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The </w:t>
      </w:r>
      <w:r>
        <w:rPr>
          <w:rFonts w:ascii="Calibri" w:cs="Calibri" w:eastAsia="Calibri" w:hAnsi="Calibri"/>
          <w:sz w:val="22"/>
          <w:szCs w:val="22"/>
          <w:color w:val="000000"/>
        </w:rPr>
        <w:t>change in reporting is now shown in the figures. This accounts</w:t>
      </w:r>
      <w:r>
        <w:rPr>
          <w:rFonts w:ascii="Calibri" w:cs="Calibri" w:eastAsia="Calibri" w:hAnsi="Calibri"/>
          <w:sz w:val="22"/>
          <w:szCs w:val="22"/>
          <w:color w:val="0000FF"/>
        </w:rPr>
        <w:t xml:space="preserve"> </w:t>
      </w:r>
      <w:r>
        <w:rPr>
          <w:rFonts w:ascii="Calibri" w:cs="Calibri" w:eastAsia="Calibri" w:hAnsi="Calibri"/>
          <w:sz w:val="22"/>
          <w:szCs w:val="22"/>
          <w:color w:val="000000"/>
        </w:rPr>
        <w:t>for the apparent large increase in cases compared to prior situation reports.</w:t>
      </w:r>
    </w:p>
    <w:p>
      <w:pPr>
        <w:spacing w:after="0" w:line="383" w:lineRule="exact"/>
        <w:rPr>
          <w:rFonts w:ascii="Calibri" w:cs="Calibri" w:eastAsia="Calibri" w:hAnsi="Calibri"/>
          <w:sz w:val="22"/>
          <w:szCs w:val="22"/>
          <w:color w:val="0000FF"/>
        </w:rPr>
      </w:pPr>
    </w:p>
    <w:p>
      <w:pPr>
        <w:ind w:left="720" w:right="60" w:hanging="362"/>
        <w:spacing w:after="0" w:line="261" w:lineRule="auto"/>
        <w:tabs>
          <w:tab w:leader="none" w:pos="72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Based on the evidence currently available about COVID-19, WHO has developed guidance documents for managing public health events at Points of Entry and mass gatherings. These are posted on </w:t>
      </w:r>
      <w:hyperlink r:id="rId10">
        <w:r>
          <w:rPr>
            <w:rFonts w:ascii="Calibri" w:cs="Calibri" w:eastAsia="Calibri" w:hAnsi="Calibri"/>
            <w:sz w:val="22"/>
            <w:szCs w:val="22"/>
            <w:u w:val="single" w:color="auto"/>
            <w:color w:val="0000FF"/>
          </w:rPr>
          <w:t>WHO COVID-19 Points of</w:t>
        </w:r>
      </w:hyperlink>
      <w:r>
        <w:rPr>
          <w:rFonts w:ascii="Calibri" w:cs="Calibri" w:eastAsia="Calibri" w:hAnsi="Calibri"/>
          <w:sz w:val="22"/>
          <w:szCs w:val="22"/>
          <w:color w:val="auto"/>
        </w:rPr>
        <w:t xml:space="preserve"> </w:t>
      </w:r>
      <w:hyperlink r:id="rId10">
        <w:r>
          <w:rPr>
            <w:rFonts w:ascii="Calibri" w:cs="Calibri" w:eastAsia="Calibri" w:hAnsi="Calibri"/>
            <w:sz w:val="22"/>
            <w:szCs w:val="22"/>
            <w:u w:val="single" w:color="auto"/>
            <w:color w:val="0000FF"/>
          </w:rPr>
          <w:t>Entry and Mass Gatherings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website.</w:t>
      </w:r>
      <w:r>
        <w:rPr>
          <w:rFonts w:ascii="Calibri" w:cs="Calibri" w:eastAsia="Calibri" w:hAnsi="Calibri"/>
          <w:sz w:val="22"/>
          <w:szCs w:val="22"/>
          <w:color w:val="0000FF"/>
        </w:rPr>
        <w:t xml:space="preserve"> </w:t>
      </w:r>
      <w:r>
        <w:rPr>
          <w:rFonts w:ascii="Calibri" w:cs="Calibri" w:eastAsia="Calibri" w:hAnsi="Calibri"/>
          <w:sz w:val="22"/>
          <w:szCs w:val="22"/>
          <w:color w:val="000000"/>
        </w:rPr>
        <w:t>See Technical Focus for more details.</w:t>
      </w:r>
    </w:p>
    <w:p>
      <w:pPr>
        <w:spacing w:after="0" w:line="389" w:lineRule="exact"/>
        <w:rPr>
          <w:rFonts w:ascii="Calibri" w:cs="Calibri" w:eastAsia="Calibri" w:hAnsi="Calibri"/>
          <w:sz w:val="22"/>
          <w:szCs w:val="22"/>
          <w:color w:val="0000FF"/>
        </w:rPr>
      </w:pPr>
    </w:p>
    <w:p>
      <w:pPr>
        <w:ind w:left="720" w:right="240" w:hanging="362"/>
        <w:spacing w:after="0" w:line="235"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WHO Eastern Mediterranean office has updated information on COVID-19 cases. For more information please see </w:t>
      </w:r>
      <w:hyperlink r:id="rId11">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br w:type="column"/>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18" w:lineRule="exact"/>
        <w:rPr>
          <w:rFonts w:ascii="Calibri" w:cs="Calibri" w:eastAsia="Calibri" w:hAnsi="Calibri"/>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-88900</wp:posOffset>
                </wp:positionH>
                <wp:positionV relativeFrom="paragraph">
                  <wp:posOffset>-280035</wp:posOffset>
                </wp:positionV>
                <wp:extent cx="225679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6790" cy="4314190"/>
                        </a:xfrm>
                        <a:prstGeom prst="rect">
                          <a:avLst/>
                        </a:prstGeom>
                        <a:solidFill>
                          <a:srgbClr val="E9E6D7"/>
                        </a:solidFill>
                      </wps:spPr>
                      <wps:bodyPr/>
                    </wps:wsp>
                  </a:graphicData>
                </a:graphic>
              </wp:anchor>
            </w:drawing>
          </mc:Choice>
          <mc:Fallback>
            <w:pict>
              <v:rect id="Shape 2" o:spid="_x0000_s1027" style="position:absolute;margin-left:-7pt;margin-top:-22.0499pt;width:177.7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20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71 429 confirmed (2162 new)</w:t>
      </w:r>
    </w:p>
    <w:p>
      <w:pPr>
        <w:spacing w:after="0" w:line="292"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70 635 confirmed (2051 new)</w:t>
      </w:r>
    </w:p>
    <w:p>
      <w:pPr>
        <w:ind w:left="220"/>
        <w:spacing w:after="0" w:line="231" w:lineRule="auto"/>
        <w:rPr>
          <w:sz w:val="20"/>
          <w:szCs w:val="20"/>
          <w:color w:val="auto"/>
        </w:rPr>
      </w:pPr>
      <w:r>
        <w:rPr>
          <w:rFonts w:ascii="Calibri" w:cs="Calibri" w:eastAsia="Calibri" w:hAnsi="Calibri"/>
          <w:sz w:val="24"/>
          <w:szCs w:val="24"/>
          <w:color w:val="FF6600"/>
        </w:rPr>
        <w:t xml:space="preserve">1772 deaths (106 new) </w:t>
      </w:r>
      <w:r>
        <w:rPr>
          <w:rFonts w:ascii="Calibri" w:cs="Calibri" w:eastAsia="Calibri" w:hAnsi="Calibri"/>
          <w:sz w:val="32"/>
          <w:szCs w:val="32"/>
          <w:b w:val="1"/>
          <w:bCs w:val="1"/>
          <w:color w:val="FF6600"/>
          <w:vertAlign w:val="superscript"/>
        </w:rPr>
        <w:t>†</w:t>
      </w:r>
    </w:p>
    <w:p>
      <w:pPr>
        <w:spacing w:after="0" w:line="212"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Outside of China</w:t>
      </w:r>
    </w:p>
    <w:p>
      <w:pPr>
        <w:ind w:left="120"/>
        <w:spacing w:after="0"/>
        <w:rPr>
          <w:sz w:val="20"/>
          <w:szCs w:val="20"/>
          <w:color w:val="auto"/>
        </w:rPr>
      </w:pPr>
      <w:r>
        <w:rPr>
          <w:rFonts w:ascii="Calibri" w:cs="Calibri" w:eastAsia="Calibri" w:hAnsi="Calibri"/>
          <w:sz w:val="24"/>
          <w:szCs w:val="24"/>
          <w:color w:val="FF6600"/>
        </w:rPr>
        <w:t>794 confirmed (111 new)</w:t>
      </w:r>
    </w:p>
    <w:p>
      <w:pPr>
        <w:ind w:left="520" w:hanging="296"/>
        <w:spacing w:after="0"/>
        <w:tabs>
          <w:tab w:leader="none" w:pos="52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340"/>
        <w:spacing w:after="0"/>
        <w:rPr>
          <w:rFonts w:ascii="Calibri" w:cs="Calibri" w:eastAsia="Calibri" w:hAnsi="Calibri"/>
          <w:sz w:val="24"/>
          <w:szCs w:val="24"/>
          <w:color w:val="FF6600"/>
        </w:rPr>
      </w:pPr>
      <w:r>
        <w:rPr>
          <w:rFonts w:ascii="Calibri" w:cs="Calibri" w:eastAsia="Calibri" w:hAnsi="Calibri"/>
          <w:sz w:val="24"/>
          <w:szCs w:val="24"/>
          <w:color w:val="FF6600"/>
        </w:rPr>
        <w:t>3 deaths</w:t>
      </w:r>
    </w:p>
    <w:p>
      <w:pPr>
        <w:spacing w:after="0" w:line="292"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Calibri" w:cs="Calibri" w:eastAsia="Calibri" w:hAnsi="Calibri"/>
          <w:sz w:val="22"/>
          <w:szCs w:val="22"/>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rFonts w:ascii="Calibri" w:cs="Calibri" w:eastAsia="Calibri" w:hAnsi="Calibri"/>
          <w:sz w:val="22"/>
          <w:szCs w:val="22"/>
          <w:color w:val="auto"/>
        </w:rPr>
      </w:pPr>
    </w:p>
    <w:p>
      <w:pPr>
        <w:sectPr>
          <w:pgSz w:w="11920" w:h="16841" w:orient="portrait"/>
          <w:cols w:equalWidth="0" w:num="2">
            <w:col w:w="7580" w:space="440"/>
            <w:col w:w="3000"/>
          </w:cols>
          <w:pgMar w:left="400" w:top="521" w:right="491" w:bottom="0" w:gutter="0" w:footer="0" w:header="0"/>
        </w:sect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333" w:lineRule="exact"/>
        <w:rPr>
          <w:rFonts w:ascii="Calibri" w:cs="Calibri" w:eastAsia="Calibri" w:hAnsi="Calibri"/>
          <w:sz w:val="22"/>
          <w:szCs w:val="22"/>
          <w:color w:val="auto"/>
        </w:rPr>
      </w:pPr>
    </w:p>
    <w:p>
      <w:pPr>
        <w:ind w:left="4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17 February 2020</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drawing>
          <wp:anchor simplePos="0" relativeHeight="251657728" behindDoc="1" locked="0" layoutInCell="0" allowOverlap="1">
            <wp:simplePos x="0" y="0"/>
            <wp:positionH relativeFrom="column">
              <wp:posOffset>303530</wp:posOffset>
            </wp:positionH>
            <wp:positionV relativeFrom="paragraph">
              <wp:posOffset>223520</wp:posOffset>
            </wp:positionV>
            <wp:extent cx="6446520" cy="36252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6446520" cy="3625215"/>
                    </a:xfrm>
                    <a:prstGeom prst="rect">
                      <a:avLst/>
                    </a:prstGeom>
                    <a:noFill/>
                  </pic:spPr>
                </pic:pic>
              </a:graphicData>
            </a:graphic>
          </wp:anchor>
        </w:drawing>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12" w:lineRule="exact"/>
        <w:rPr>
          <w:rFonts w:ascii="Calibri" w:cs="Calibri" w:eastAsia="Calibri" w:hAnsi="Calibri"/>
          <w:sz w:val="22"/>
          <w:szCs w:val="22"/>
          <w:color w:val="auto"/>
        </w:rPr>
      </w:pPr>
    </w:p>
    <w:p>
      <w:pPr>
        <w:ind w:left="160" w:right="3640"/>
        <w:spacing w:after="0" w:line="218" w:lineRule="auto"/>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 †As reported by China</w:t>
      </w:r>
    </w:p>
    <w:p>
      <w:pPr>
        <w:sectPr>
          <w:pgSz w:w="11920" w:h="16841" w:orient="portrait"/>
          <w:cols w:equalWidth="0" w:num="1">
            <w:col w:w="11020"/>
          </w:cols>
          <w:pgMar w:left="400" w:top="521" w:right="491"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 Points of Entry (PoE) and mass gatherings:</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line="253" w:lineRule="auto"/>
        <w:rPr>
          <w:sz w:val="20"/>
          <w:szCs w:val="20"/>
          <w:color w:val="auto"/>
        </w:rPr>
      </w:pPr>
      <w:r>
        <w:rPr>
          <w:rFonts w:ascii="Calibri" w:cs="Calibri" w:eastAsia="Calibri" w:hAnsi="Calibri"/>
          <w:sz w:val="22"/>
          <w:szCs w:val="22"/>
          <w:color w:val="auto"/>
        </w:rPr>
        <w:t>A Point of Entry (PoE) encompasses ports, airports, ground crossings and means of passage for international entry or exit of travellers, baggage, cargo, containers, conveyances, goods and postal parcels as well as agencies and areas providing services to them on entry or exit (International Health Regulations 2005).</w:t>
      </w:r>
    </w:p>
    <w:p>
      <w:pPr>
        <w:spacing w:after="0" w:line="384" w:lineRule="exact"/>
        <w:rPr>
          <w:sz w:val="20"/>
          <w:szCs w:val="20"/>
          <w:color w:val="auto"/>
        </w:rPr>
      </w:pPr>
    </w:p>
    <w:p>
      <w:pPr>
        <w:ind w:right="120"/>
        <w:spacing w:after="0" w:line="254" w:lineRule="auto"/>
        <w:rPr>
          <w:rFonts w:ascii="Calibri" w:cs="Calibri" w:eastAsia="Calibri" w:hAnsi="Calibri"/>
          <w:sz w:val="22"/>
          <w:szCs w:val="22"/>
          <w:color w:val="0000FF"/>
        </w:rPr>
      </w:pPr>
      <w:r>
        <w:rPr>
          <w:rFonts w:ascii="Calibri" w:cs="Calibri" w:eastAsia="Calibri" w:hAnsi="Calibri"/>
          <w:sz w:val="22"/>
          <w:szCs w:val="22"/>
          <w:color w:val="auto"/>
        </w:rPr>
        <w:t xml:space="preserve">Based on the evidence currently available about COVID-19, WHO has developed guidance documents for managing public health events at PoE and mass gatherings. These are posted on </w:t>
      </w:r>
      <w:hyperlink r:id="rId10">
        <w:r>
          <w:rPr>
            <w:rFonts w:ascii="Calibri" w:cs="Calibri" w:eastAsia="Calibri" w:hAnsi="Calibri"/>
            <w:sz w:val="22"/>
            <w:szCs w:val="22"/>
            <w:u w:val="single" w:color="auto"/>
            <w:color w:val="0000FF"/>
          </w:rPr>
          <w:t>WHO COVID-19 Points of Entry and Mass</w:t>
        </w:r>
      </w:hyperlink>
      <w:r>
        <w:rPr>
          <w:rFonts w:ascii="Calibri" w:cs="Calibri" w:eastAsia="Calibri" w:hAnsi="Calibri"/>
          <w:sz w:val="22"/>
          <w:szCs w:val="22"/>
          <w:color w:val="auto"/>
        </w:rPr>
        <w:t xml:space="preserve"> </w:t>
      </w:r>
      <w:hyperlink r:id="rId10">
        <w:r>
          <w:rPr>
            <w:rFonts w:ascii="Calibri" w:cs="Calibri" w:eastAsia="Calibri" w:hAnsi="Calibri"/>
            <w:sz w:val="22"/>
            <w:szCs w:val="22"/>
            <w:u w:val="single" w:color="auto"/>
            <w:color w:val="0000FF"/>
          </w:rPr>
          <w:t>Gatherings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website.</w:t>
      </w:r>
    </w:p>
    <w:p>
      <w:pPr>
        <w:spacing w:after="0" w:line="334" w:lineRule="exact"/>
        <w:rPr>
          <w:sz w:val="20"/>
          <w:szCs w:val="20"/>
          <w:color w:val="auto"/>
        </w:rPr>
      </w:pPr>
    </w:p>
    <w:p>
      <w:pPr>
        <w:spacing w:after="0"/>
        <w:rPr>
          <w:sz w:val="20"/>
          <w:szCs w:val="20"/>
          <w:color w:val="auto"/>
        </w:rPr>
      </w:pPr>
      <w:r>
        <w:rPr>
          <w:rFonts w:ascii="Calibri" w:cs="Calibri" w:eastAsia="Calibri" w:hAnsi="Calibri"/>
          <w:sz w:val="22"/>
          <w:szCs w:val="22"/>
          <w:color w:val="auto"/>
        </w:rPr>
        <w:t>The materials currently available are:</w:t>
      </w:r>
    </w:p>
    <w:p>
      <w:pPr>
        <w:spacing w:after="0" w:line="102" w:lineRule="exact"/>
        <w:rPr>
          <w:sz w:val="20"/>
          <w:szCs w:val="20"/>
          <w:color w:val="auto"/>
        </w:rPr>
      </w:pPr>
    </w:p>
    <w:p>
      <w:pPr>
        <w:ind w:left="720" w:right="60" w:hanging="360"/>
        <w:spacing w:after="0" w:line="261" w:lineRule="auto"/>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Key planning recommendations for Mass Gatherings in the context of the current COVID-19 outbreak. The purpose of this document will be to outline key planning considerations for organizers of mass gatherings in the context of COVID-19 outbreak, to be read in conjunction with WHO’s Public Health for Mass Gatherings: Key Considerations.</w:t>
      </w:r>
    </w:p>
    <w:p>
      <w:pPr>
        <w:spacing w:after="0" w:line="77" w:lineRule="exact"/>
        <w:rPr>
          <w:rFonts w:ascii="Arial" w:cs="Arial" w:eastAsia="Arial" w:hAnsi="Arial"/>
          <w:sz w:val="22"/>
          <w:szCs w:val="22"/>
          <w:color w:val="auto"/>
        </w:rPr>
      </w:pPr>
    </w:p>
    <w:p>
      <w:pPr>
        <w:ind w:left="720" w:right="20" w:hanging="360"/>
        <w:spacing w:after="0" w:line="261" w:lineRule="auto"/>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Management of ill travellers at Points of Entry in the context of COVID-19 outbreak. This document provides advice on the detection and the management of ill travellers at international ports, airports and ground crossings in the context of the current COVID-19 outbreak It includes the following measures and should be implemented based on priorities and capacities of each country:</w:t>
      </w:r>
    </w:p>
    <w:p>
      <w:pPr>
        <w:spacing w:after="0" w:line="30" w:lineRule="exact"/>
        <w:rPr>
          <w:rFonts w:ascii="Arial" w:cs="Arial" w:eastAsia="Arial" w:hAnsi="Arial"/>
          <w:sz w:val="22"/>
          <w:szCs w:val="22"/>
          <w:color w:val="auto"/>
        </w:rPr>
      </w:pPr>
    </w:p>
    <w:p>
      <w:pPr>
        <w:ind w:left="1440" w:hanging="360"/>
        <w:spacing w:after="0"/>
        <w:tabs>
          <w:tab w:leader="none" w:pos="1440" w:val="left"/>
        </w:tabs>
        <w:numPr>
          <w:ilvl w:val="1"/>
          <w:numId w:val="3"/>
        </w:numPr>
        <w:rPr>
          <w:rFonts w:ascii="Arial" w:cs="Arial" w:eastAsia="Arial" w:hAnsi="Arial"/>
          <w:sz w:val="22"/>
          <w:szCs w:val="22"/>
          <w:color w:val="auto"/>
        </w:rPr>
      </w:pPr>
      <w:r>
        <w:rPr>
          <w:rFonts w:ascii="Calibri" w:cs="Calibri" w:eastAsia="Calibri" w:hAnsi="Calibri"/>
          <w:sz w:val="22"/>
          <w:szCs w:val="22"/>
          <w:color w:val="auto"/>
        </w:rPr>
        <w:t>Detection of ill travellers;</w:t>
      </w:r>
    </w:p>
    <w:p>
      <w:pPr>
        <w:spacing w:after="0" w:line="53" w:lineRule="exact"/>
        <w:rPr>
          <w:rFonts w:ascii="Arial" w:cs="Arial" w:eastAsia="Arial" w:hAnsi="Arial"/>
          <w:sz w:val="22"/>
          <w:szCs w:val="22"/>
          <w:color w:val="auto"/>
        </w:rPr>
      </w:pPr>
    </w:p>
    <w:p>
      <w:pPr>
        <w:ind w:left="1440" w:hanging="360"/>
        <w:spacing w:after="0"/>
        <w:tabs>
          <w:tab w:leader="none" w:pos="1440" w:val="left"/>
        </w:tabs>
        <w:numPr>
          <w:ilvl w:val="1"/>
          <w:numId w:val="3"/>
        </w:numPr>
        <w:rPr>
          <w:rFonts w:ascii="Arial" w:cs="Arial" w:eastAsia="Arial" w:hAnsi="Arial"/>
          <w:sz w:val="22"/>
          <w:szCs w:val="22"/>
          <w:color w:val="auto"/>
        </w:rPr>
      </w:pPr>
      <w:r>
        <w:rPr>
          <w:rFonts w:ascii="Calibri" w:cs="Calibri" w:eastAsia="Calibri" w:hAnsi="Calibri"/>
          <w:sz w:val="22"/>
          <w:szCs w:val="22"/>
          <w:color w:val="auto"/>
        </w:rPr>
        <w:t>Interview of ill travellers for COVID-19;</w:t>
      </w:r>
    </w:p>
    <w:p>
      <w:pPr>
        <w:spacing w:after="0" w:line="50" w:lineRule="exact"/>
        <w:rPr>
          <w:rFonts w:ascii="Arial" w:cs="Arial" w:eastAsia="Arial" w:hAnsi="Arial"/>
          <w:sz w:val="22"/>
          <w:szCs w:val="22"/>
          <w:color w:val="auto"/>
        </w:rPr>
      </w:pPr>
    </w:p>
    <w:p>
      <w:pPr>
        <w:ind w:left="1440" w:hanging="360"/>
        <w:spacing w:after="0"/>
        <w:tabs>
          <w:tab w:leader="none" w:pos="1440" w:val="left"/>
        </w:tabs>
        <w:numPr>
          <w:ilvl w:val="1"/>
          <w:numId w:val="3"/>
        </w:numPr>
        <w:rPr>
          <w:rFonts w:ascii="Arial" w:cs="Arial" w:eastAsia="Arial" w:hAnsi="Arial"/>
          <w:sz w:val="22"/>
          <w:szCs w:val="22"/>
          <w:color w:val="auto"/>
        </w:rPr>
      </w:pPr>
      <w:r>
        <w:rPr>
          <w:rFonts w:ascii="Calibri" w:cs="Calibri" w:eastAsia="Calibri" w:hAnsi="Calibri"/>
          <w:sz w:val="22"/>
          <w:szCs w:val="22"/>
          <w:color w:val="auto"/>
        </w:rPr>
        <w:t>Reporting of alerts of ill travellers with suspected COVID-19 infection;</w:t>
      </w:r>
    </w:p>
    <w:p>
      <w:pPr>
        <w:spacing w:after="0" w:line="53" w:lineRule="exact"/>
        <w:rPr>
          <w:rFonts w:ascii="Arial" w:cs="Arial" w:eastAsia="Arial" w:hAnsi="Arial"/>
          <w:sz w:val="22"/>
          <w:szCs w:val="22"/>
          <w:color w:val="auto"/>
        </w:rPr>
      </w:pPr>
    </w:p>
    <w:p>
      <w:pPr>
        <w:ind w:left="1440" w:hanging="360"/>
        <w:spacing w:after="0"/>
        <w:tabs>
          <w:tab w:leader="none" w:pos="1440" w:val="left"/>
        </w:tabs>
        <w:numPr>
          <w:ilvl w:val="1"/>
          <w:numId w:val="3"/>
        </w:numPr>
        <w:rPr>
          <w:rFonts w:ascii="Arial" w:cs="Arial" w:eastAsia="Arial" w:hAnsi="Arial"/>
          <w:sz w:val="22"/>
          <w:szCs w:val="22"/>
          <w:color w:val="auto"/>
        </w:rPr>
      </w:pPr>
      <w:r>
        <w:rPr>
          <w:rFonts w:ascii="Calibri" w:cs="Calibri" w:eastAsia="Calibri" w:hAnsi="Calibri"/>
          <w:sz w:val="22"/>
          <w:szCs w:val="22"/>
          <w:color w:val="auto"/>
        </w:rPr>
        <w:t>Isolation, initial case management and referral of ill travellers with suspected COVID-19 infection.</w:t>
      </w:r>
    </w:p>
    <w:p>
      <w:pPr>
        <w:spacing w:after="0" w:line="260" w:lineRule="exact"/>
        <w:rPr>
          <w:rFonts w:ascii="Arial" w:cs="Arial" w:eastAsia="Arial" w:hAnsi="Arial"/>
          <w:sz w:val="22"/>
          <w:szCs w:val="22"/>
          <w:color w:val="auto"/>
        </w:rPr>
      </w:pPr>
    </w:p>
    <w:p>
      <w:pPr>
        <w:ind w:left="720" w:right="40" w:hanging="360"/>
        <w:spacing w:after="0" w:line="253" w:lineRule="auto"/>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Handbook for the management of public health events on board ships: This is a generic guidance addressing all public health risks and related maritime rules and regulations to assist States Parties in contingency planning and implementation of health measures onboard ships and at ports.</w:t>
      </w:r>
    </w:p>
    <w:p>
      <w:pPr>
        <w:spacing w:after="0" w:line="89" w:lineRule="exact"/>
        <w:rPr>
          <w:rFonts w:ascii="Arial" w:cs="Arial" w:eastAsia="Arial" w:hAnsi="Arial"/>
          <w:sz w:val="22"/>
          <w:szCs w:val="22"/>
          <w:color w:val="auto"/>
        </w:rPr>
      </w:pPr>
    </w:p>
    <w:p>
      <w:pPr>
        <w:ind w:left="720" w:right="100" w:hanging="360"/>
        <w:spacing w:after="0" w:line="261" w:lineRule="auto"/>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Handbook for the Management of Public Health Events in Air Transport: This handbook was developed in collaboration with the International Civil Aviation Organization. It is intended to help competent authorities at airports to implement a risk-based approach to public health events in a consistent manner and assist in determining interventions that are commensurate to the risks.</w:t>
      </w:r>
    </w:p>
    <w:p>
      <w:pPr>
        <w:spacing w:after="0" w:line="77" w:lineRule="exact"/>
        <w:rPr>
          <w:rFonts w:ascii="Arial" w:cs="Arial" w:eastAsia="Arial" w:hAnsi="Arial"/>
          <w:sz w:val="22"/>
          <w:szCs w:val="22"/>
          <w:color w:val="auto"/>
        </w:rPr>
      </w:pPr>
    </w:p>
    <w:p>
      <w:pPr>
        <w:ind w:left="720" w:right="680" w:hanging="360"/>
        <w:spacing w:after="0" w:line="236" w:lineRule="auto"/>
        <w:tabs>
          <w:tab w:leader="none" w:pos="7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An online course for public health preparedness for mass gathering events to support host nations in delivering a safe event.</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40"/>
        <w:spacing w:after="0" w:line="265" w:lineRule="auto"/>
        <w:rPr>
          <w:sz w:val="20"/>
          <w:szCs w:val="20"/>
          <w:color w:val="auto"/>
        </w:rPr>
      </w:pPr>
      <w:r>
        <w:rPr>
          <w:rFonts w:ascii="Calibri" w:cs="Calibri" w:eastAsia="Calibri" w:hAnsi="Calibri"/>
          <w:sz w:val="22"/>
          <w:szCs w:val="22"/>
          <w:color w:val="auto"/>
        </w:rPr>
        <w:t xml:space="preserve">The material that is in production includes operational considerations for managing COVID-19 cases/outbreak on board cruise ships. This material has been prepared based on the evidence currently available about COVID-19 transmission, by providing operational considerations for public health measures to manage cases, contacts and environment. It is recommended to be used in conjunction with the </w:t>
      </w:r>
      <w:r>
        <w:rPr>
          <w:rFonts w:ascii="Calibri" w:cs="Calibri" w:eastAsia="Calibri" w:hAnsi="Calibri"/>
          <w:sz w:val="22"/>
          <w:szCs w:val="22"/>
          <w:i w:val="1"/>
          <w:iCs w:val="1"/>
          <w:color w:val="auto"/>
        </w:rPr>
        <w:t>Handbook for the management of public health</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events on board ships.</w:t>
      </w:r>
    </w:p>
    <w:p>
      <w:pPr>
        <w:sectPr>
          <w:pgSz w:w="11920" w:h="16841" w:orient="portrait"/>
          <w:cols w:equalWidth="0" w:num="1">
            <w:col w:w="10420"/>
          </w:cols>
          <w:pgMar w:left="720" w:top="899" w:right="771" w:bottom="1440" w:gutter="0" w:footer="0" w:header="0"/>
        </w:sectPr>
      </w:pPr>
    </w:p>
    <w:bookmarkStart w:id="2" w:name="page3"/>
    <w:bookmarkEnd w:id="2"/>
    <w:p>
      <w:pPr>
        <w:ind w:left="10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100" w:right="10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17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372"/>
        </w:trPr>
        <w:tc>
          <w:tcPr>
            <w:tcW w:w="120" w:type="dxa"/>
            <w:vAlign w:val="bottom"/>
            <w:tcBorders>
              <w:top w:val="single" w:sz="8" w:color="auto"/>
              <w:left w:val="single" w:sz="8" w:color="auto"/>
            </w:tcBorders>
            <w:shd w:val="clear" w:color="auto" w:fill="5B9BD5"/>
          </w:tcPr>
          <w:p>
            <w:pPr>
              <w:spacing w:after="0"/>
              <w:rPr>
                <w:sz w:val="24"/>
                <w:szCs w:val="24"/>
                <w:color w:val="auto"/>
              </w:rPr>
            </w:pPr>
          </w:p>
        </w:tc>
        <w:tc>
          <w:tcPr>
            <w:tcW w:w="174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100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7"/>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128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Daily</w:t>
            </w:r>
          </w:p>
        </w:tc>
        <w:tc>
          <w:tcPr>
            <w:tcW w:w="80" w:type="dxa"/>
            <w:vAlign w:val="bottom"/>
            <w:tcBorders>
              <w:top w:val="single" w:sz="8" w:color="auto"/>
            </w:tcBorders>
            <w:shd w:val="clear" w:color="auto" w:fill="5B9BD5"/>
          </w:tcPr>
          <w:p>
            <w:pPr>
              <w:spacing w:after="0"/>
              <w:rPr>
                <w:sz w:val="24"/>
                <w:szCs w:val="24"/>
                <w:color w:val="auto"/>
              </w:rPr>
            </w:pPr>
          </w:p>
        </w:tc>
        <w:tc>
          <w:tcPr>
            <w:tcW w:w="106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0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20" w:type="dxa"/>
            <w:vAlign w:val="bottom"/>
            <w:tcBorders>
              <w:left w:val="single" w:sz="8" w:color="auto"/>
              <w:bottom w:val="single" w:sz="8" w:color="5B9BD5"/>
            </w:tcBorders>
            <w:shd w:val="clear" w:color="auto" w:fill="5B9BD5"/>
          </w:tcPr>
          <w:p>
            <w:pPr>
              <w:spacing w:after="0"/>
              <w:rPr>
                <w:sz w:val="13"/>
                <w:szCs w:val="13"/>
                <w:color w:val="auto"/>
              </w:rPr>
            </w:pPr>
          </w:p>
        </w:tc>
        <w:tc>
          <w:tcPr>
            <w:tcW w:w="174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0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8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6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20" w:type="dxa"/>
            <w:vAlign w:val="bottom"/>
            <w:tcBorders>
              <w:top w:val="single" w:sz="8" w:color="5B9BD5"/>
              <w:left w:val="single" w:sz="8" w:color="auto"/>
            </w:tcBorders>
            <w:shd w:val="clear" w:color="auto" w:fill="5B9BD5"/>
          </w:tcPr>
          <w:p>
            <w:pPr>
              <w:spacing w:after="0"/>
              <w:rPr>
                <w:sz w:val="7"/>
                <w:szCs w:val="7"/>
                <w:color w:val="auto"/>
              </w:rPr>
            </w:pPr>
          </w:p>
        </w:tc>
        <w:tc>
          <w:tcPr>
            <w:tcW w:w="174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100" w:type="dxa"/>
            <w:vAlign w:val="bottom"/>
            <w:tcBorders>
              <w:top w:val="single" w:sz="8" w:color="5B9BD5"/>
            </w:tcBorders>
            <w:shd w:val="clear" w:color="auto" w:fill="5B9BD5"/>
          </w:tcPr>
          <w:p>
            <w:pPr>
              <w:spacing w:after="0"/>
              <w:rPr>
                <w:sz w:val="7"/>
                <w:szCs w:val="7"/>
                <w:color w:val="auto"/>
              </w:rPr>
            </w:pPr>
          </w:p>
        </w:tc>
        <w:tc>
          <w:tcPr>
            <w:tcW w:w="100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8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06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20" w:type="dxa"/>
            <w:vAlign w:val="bottom"/>
            <w:tcBorders>
              <w:left w:val="single" w:sz="8" w:color="auto"/>
            </w:tcBorders>
            <w:shd w:val="clear" w:color="auto" w:fill="5B9BD5"/>
          </w:tcPr>
          <w:p>
            <w:pPr>
              <w:spacing w:after="0"/>
              <w:rPr>
                <w:sz w:val="12"/>
                <w:szCs w:val="12"/>
                <w:color w:val="auto"/>
              </w:rPr>
            </w:pPr>
          </w:p>
        </w:tc>
        <w:tc>
          <w:tcPr>
            <w:tcW w:w="17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8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60" w:type="dxa"/>
            <w:vAlign w:val="bottom"/>
            <w:vMerge w:val="restart"/>
            <w:shd w:val="clear" w:color="auto" w:fill="5B9BD5"/>
          </w:tcPr>
          <w:p>
            <w:pPr>
              <w:ind w:left="22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20" w:type="dxa"/>
            <w:vAlign w:val="bottom"/>
            <w:tcBorders>
              <w:left w:val="single" w:sz="8" w:color="auto"/>
            </w:tcBorders>
            <w:shd w:val="clear" w:color="auto" w:fill="5B9BD5"/>
          </w:tcPr>
          <w:p>
            <w:pPr>
              <w:spacing w:after="0"/>
              <w:rPr>
                <w:sz w:val="11"/>
                <w:szCs w:val="11"/>
                <w:color w:val="auto"/>
              </w:rPr>
            </w:pPr>
          </w:p>
        </w:tc>
        <w:tc>
          <w:tcPr>
            <w:tcW w:w="174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w w:val="96"/>
              </w:rPr>
              <w:t>City</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8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20" w:type="dxa"/>
            <w:vAlign w:val="bottom"/>
            <w:tcBorders>
              <w:left w:val="single" w:sz="8" w:color="auto"/>
            </w:tcBorders>
            <w:shd w:val="clear" w:color="auto" w:fill="5B9BD5"/>
          </w:tcPr>
          <w:p>
            <w:pPr>
              <w:spacing w:after="0"/>
              <w:rPr>
                <w:sz w:val="12"/>
                <w:szCs w:val="12"/>
                <w:color w:val="auto"/>
              </w:rPr>
            </w:pPr>
          </w:p>
        </w:tc>
        <w:tc>
          <w:tcPr>
            <w:tcW w:w="17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0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8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20" w:type="dxa"/>
            <w:vAlign w:val="bottom"/>
            <w:tcBorders>
              <w:left w:val="single" w:sz="8" w:color="auto"/>
            </w:tcBorders>
            <w:shd w:val="clear" w:color="auto" w:fill="5B9BD5"/>
          </w:tcPr>
          <w:p>
            <w:pPr>
              <w:spacing w:after="0"/>
              <w:rPr>
                <w:sz w:val="11"/>
                <w:szCs w:val="11"/>
                <w:color w:val="auto"/>
              </w:rPr>
            </w:pPr>
          </w:p>
        </w:tc>
        <w:tc>
          <w:tcPr>
            <w:tcW w:w="17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8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20" w:type="dxa"/>
            <w:vAlign w:val="bottom"/>
            <w:tcBorders>
              <w:left w:val="single" w:sz="8" w:color="auto"/>
              <w:bottom w:val="single" w:sz="8" w:color="auto"/>
            </w:tcBorders>
            <w:shd w:val="clear" w:color="auto" w:fill="5B9BD5"/>
          </w:tcPr>
          <w:p>
            <w:pPr>
              <w:spacing w:after="0"/>
              <w:rPr>
                <w:sz w:val="8"/>
                <w:szCs w:val="8"/>
                <w:color w:val="auto"/>
              </w:rPr>
            </w:pPr>
          </w:p>
        </w:tc>
        <w:tc>
          <w:tcPr>
            <w:tcW w:w="17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8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87"/>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1933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909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58182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1696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1322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112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1171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1006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973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Jiangsu</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8051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626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Chongqing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3102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541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27</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457</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381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67</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331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301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290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Shaanxi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3864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240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4926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238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27</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162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3718</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129</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Tianjin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1560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88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124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45</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121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2637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Jilin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2704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89</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Xinjiang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2487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Inner Mongolia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2534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72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Ningxia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688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Hong Kong SAR</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745</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57</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8"/>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4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5"/>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20" w:type="dxa"/>
            <w:vAlign w:val="bottom"/>
            <w:tcBorders>
              <w:left w:val="single" w:sz="8" w:color="auto"/>
              <w:bottom w:val="single" w:sz="8" w:color="DDEBF7"/>
            </w:tcBorders>
            <w:shd w:val="clear" w:color="auto" w:fill="DDEBF7"/>
          </w:tcPr>
          <w:p>
            <w:pPr>
              <w:spacing w:after="0"/>
              <w:rPr>
                <w:sz w:val="23"/>
                <w:szCs w:val="23"/>
                <w:color w:val="auto"/>
              </w:rPr>
            </w:pPr>
          </w:p>
        </w:tc>
        <w:tc>
          <w:tcPr>
            <w:tcW w:w="174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8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2051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1563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6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106</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rPr>
              <w:t>70635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color w:val="auto"/>
                <w:w w:val="98"/>
              </w:rPr>
              <w:t>1772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20" w:type="dxa"/>
            <w:vAlign w:val="bottom"/>
            <w:tcBorders>
              <w:left w:val="single" w:sz="8" w:color="auto"/>
            </w:tcBorders>
            <w:shd w:val="clear" w:color="auto" w:fill="000000"/>
          </w:tcPr>
          <w:p>
            <w:pPr>
              <w:spacing w:after="0" w:line="20" w:lineRule="exact"/>
              <w:rPr>
                <w:sz w:val="1"/>
                <w:szCs w:val="1"/>
                <w:color w:val="auto"/>
              </w:rPr>
            </w:pPr>
          </w:p>
        </w:tc>
        <w:tc>
          <w:tcPr>
            <w:tcW w:w="17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8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ind w:left="100"/>
        <w:spacing w:after="0" w:line="234" w:lineRule="auto"/>
        <w:rPr>
          <w:sz w:val="20"/>
          <w:szCs w:val="20"/>
          <w:color w:val="auto"/>
        </w:rPr>
      </w:pPr>
      <w:r>
        <w:rPr>
          <w:rFonts w:ascii="Calibri" w:cs="Calibri" w:eastAsia="Calibri" w:hAnsi="Calibri"/>
          <w:sz w:val="22"/>
          <w:szCs w:val="22"/>
          <w:b w:val="1"/>
          <w:bCs w:val="1"/>
          <w:color w:val="auto"/>
        </w:rPr>
        <w:t>*</w:t>
      </w:r>
      <w:r>
        <w:rPr>
          <w:rFonts w:ascii="Calibri" w:cs="Calibri" w:eastAsia="Calibri" w:hAnsi="Calibri"/>
          <w:sz w:val="18"/>
          <w:szCs w:val="18"/>
          <w:color w:val="auto"/>
        </w:rPr>
        <w:t>‘Confirmed’</w:t>
      </w:r>
      <w:r>
        <w:rPr>
          <w:rFonts w:ascii="Calibri" w:cs="Calibri" w:eastAsia="Calibri" w:hAnsi="Calibri"/>
          <w:sz w:val="22"/>
          <w:szCs w:val="22"/>
          <w:b w:val="1"/>
          <w:bCs w:val="1"/>
          <w:color w:val="auto"/>
        </w:rPr>
        <w:t xml:space="preserve"> </w:t>
      </w:r>
      <w:r>
        <w:rPr>
          <w:rFonts w:ascii="Calibri" w:cs="Calibri" w:eastAsia="Calibri" w:hAnsi="Calibri"/>
          <w:sz w:val="18"/>
          <w:szCs w:val="18"/>
          <w:color w:val="auto"/>
        </w:rPr>
        <w:t>cases include both laboratory confirmed and clinically diagnosed cases (currently only applicable to Hubei province, China)</w:t>
      </w:r>
    </w:p>
    <w:p>
      <w:pPr>
        <w:sectPr>
          <w:pgSz w:w="11920" w:h="16841" w:orient="portrait"/>
          <w:cols w:equalWidth="0" w:num="1">
            <w:col w:w="10580"/>
          </w:cols>
          <w:pgMar w:left="620" w:top="899" w:right="711" w:bottom="1440" w:gutter="0" w:footer="0" w:header="0"/>
        </w:sectPr>
      </w:pPr>
    </w:p>
    <w:bookmarkStart w:id="3" w:name="page4"/>
    <w:bookmarkEnd w:id="3"/>
    <w:p>
      <w:pPr>
        <w:ind w:left="360" w:right="84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17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287"/>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 cases with</w:t>
            </w:r>
          </w:p>
        </w:tc>
        <w:tc>
          <w:tcPr>
            <w:tcW w:w="154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w:t>
            </w: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possible or</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site of</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shd w:val="clear" w:color="auto" w:fill="4F81BD"/>
          </w:tcPr>
          <w:p>
            <w:pPr>
              <w:ind w:left="100"/>
              <w:spacing w:after="0" w:line="275" w:lineRule="exact"/>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7"/>
                <w:szCs w:val="27"/>
                <w:b w:val="1"/>
                <w:bCs w:val="1"/>
                <w:color w:val="FFFFFF"/>
                <w:vertAlign w:val="superscript"/>
                <w:shd w:val="clear" w:color="auto" w:fill="4F81BD"/>
              </w:rPr>
              <w:t>*</w:t>
            </w: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transmission</w:t>
            </w:r>
          </w:p>
        </w:tc>
        <w:tc>
          <w:tcPr>
            <w:tcW w:w="126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Total deaths</w:t>
            </w: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2" w:lineRule="exact"/>
              <w:rPr>
                <w:sz w:val="20"/>
                <w:szCs w:val="20"/>
                <w:color w:val="auto"/>
              </w:rPr>
            </w:pPr>
            <w:r>
              <w:rPr>
                <w:rFonts w:ascii="Calibri" w:cs="Calibri" w:eastAsia="Calibri" w:hAnsi="Calibri"/>
                <w:sz w:val="22"/>
                <w:szCs w:val="22"/>
                <w:b w:val="1"/>
                <w:bCs w:val="1"/>
                <w:color w:val="FFFFFF"/>
              </w:rPr>
              <w:t>cases (new)</w:t>
            </w:r>
          </w:p>
        </w:tc>
        <w:tc>
          <w:tcPr>
            <w:tcW w:w="100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under</w:t>
            </w:r>
          </w:p>
        </w:tc>
        <w:tc>
          <w:tcPr>
            <w:tcW w:w="126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(new)</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China</w:t>
            </w:r>
          </w:p>
        </w:tc>
        <w:tc>
          <w:tcPr>
            <w:tcW w:w="1620" w:type="dxa"/>
            <w:vAlign w:val="bottom"/>
            <w:tcBorders>
              <w:right w:val="single" w:sz="8" w:color="auto"/>
            </w:tcBorders>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shd w:val="clear" w:color="auto" w:fill="4F81BD"/>
              </w:rPr>
              <w:t>outside of China</w:t>
            </w:r>
            <w:r>
              <w:rPr>
                <w:rFonts w:ascii="Calibri" w:cs="Calibri" w:eastAsia="Calibri" w:hAnsi="Calibri"/>
                <w:sz w:val="27"/>
                <w:szCs w:val="27"/>
                <w:b w:val="1"/>
                <w:bCs w:val="1"/>
                <w:color w:val="FFFFFF"/>
                <w:w w:val="98"/>
                <w:vertAlign w:val="superscript"/>
                <w:shd w:val="clear" w:color="auto" w:fill="4F81BD"/>
              </w:rPr>
              <w:t>†</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3"/>
        </w:trPr>
        <w:tc>
          <w:tcPr>
            <w:tcW w:w="2280" w:type="dxa"/>
            <w:vAlign w:val="bottom"/>
            <w:tcBorders>
              <w:left w:val="single" w:sz="8" w:color="auto"/>
              <w:bottom w:val="single" w:sz="8" w:color="auto"/>
              <w:right w:val="single" w:sz="8" w:color="auto"/>
            </w:tcBorders>
            <w:shd w:val="clear" w:color="auto" w:fill="4F81BD"/>
          </w:tcPr>
          <w:p>
            <w:pPr>
              <w:spacing w:after="0"/>
              <w:rPr>
                <w:sz w:val="23"/>
                <w:szCs w:val="23"/>
                <w:color w:val="auto"/>
              </w:rPr>
            </w:pPr>
          </w:p>
        </w:tc>
        <w:tc>
          <w:tcPr>
            <w:tcW w:w="2240" w:type="dxa"/>
            <w:vAlign w:val="bottom"/>
            <w:tcBorders>
              <w:bottom w:val="single" w:sz="8" w:color="auto"/>
              <w:right w:val="single" w:sz="8" w:color="auto"/>
            </w:tcBorders>
            <w:shd w:val="clear" w:color="auto" w:fill="4F81BD"/>
          </w:tcPr>
          <w:p>
            <w:pPr>
              <w:spacing w:after="0"/>
              <w:rPr>
                <w:sz w:val="23"/>
                <w:szCs w:val="23"/>
                <w:color w:val="auto"/>
              </w:rPr>
            </w:pPr>
          </w:p>
        </w:tc>
        <w:tc>
          <w:tcPr>
            <w:tcW w:w="1260" w:type="dxa"/>
            <w:vAlign w:val="bottom"/>
            <w:tcBorders>
              <w:bottom w:val="single" w:sz="8" w:color="auto"/>
              <w:right w:val="single" w:sz="8" w:color="auto"/>
            </w:tcBorders>
            <w:shd w:val="clear" w:color="auto" w:fill="4F81BD"/>
          </w:tcPr>
          <w:p>
            <w:pPr>
              <w:spacing w:after="0"/>
              <w:rPr>
                <w:sz w:val="23"/>
                <w:szCs w:val="23"/>
                <w:color w:val="auto"/>
              </w:rPr>
            </w:pPr>
          </w:p>
        </w:tc>
        <w:tc>
          <w:tcPr>
            <w:tcW w:w="100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rPr>
              <w:t>(new)</w:t>
            </w:r>
          </w:p>
        </w:tc>
        <w:tc>
          <w:tcPr>
            <w:tcW w:w="162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w w:val="98"/>
              </w:rPr>
              <w:t>(new)</w:t>
            </w:r>
          </w:p>
        </w:tc>
        <w:tc>
          <w:tcPr>
            <w:tcW w:w="154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rPr>
              <w:t>(new)</w:t>
            </w:r>
          </w:p>
        </w:tc>
        <w:tc>
          <w:tcPr>
            <w:tcW w:w="1260" w:type="dxa"/>
            <w:vAlign w:val="bottom"/>
            <w:tcBorders>
              <w:bottom w:val="single" w:sz="8" w:color="auto"/>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9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75 (3)</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52 (3)</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Japan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59 (6)</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33 (6)</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30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14</w:t>
            </w:r>
            <w:r>
              <w:rPr>
                <w:rFonts w:ascii="Calibri" w:cs="Calibri" w:eastAsia="Calibri" w:hAnsi="Calibri"/>
                <w:sz w:val="12"/>
                <w:szCs w:val="12"/>
                <w:color w:val="auto"/>
              </w:rPr>
              <w:t>‡</w:t>
            </w:r>
            <w:r>
              <w:rPr>
                <w:rFonts w:ascii="Calibri" w:cs="Calibri" w:eastAsia="Calibri" w:hAnsi="Calibri"/>
                <w:sz w:val="22"/>
                <w:szCs w:val="22"/>
                <w:color w:val="auto"/>
              </w:rPr>
              <w:t xml:space="preserve"> (1)</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6"/>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Malaysia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22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17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4</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54"/>
        </w:trPr>
        <w:tc>
          <w:tcPr>
            <w:tcW w:w="2280" w:type="dxa"/>
            <w:vAlign w:val="bottom"/>
            <w:tcBorders>
              <w:left w:val="single" w:sz="8" w:color="auto"/>
              <w:right w:val="single" w:sz="8" w:color="auto"/>
            </w:tcBorders>
            <w:shd w:val="clear" w:color="auto" w:fill="4F81BD"/>
          </w:tcPr>
          <w:p>
            <w:pPr>
              <w:spacing w:after="0"/>
              <w:rPr>
                <w:sz w:val="22"/>
                <w:szCs w:val="22"/>
                <w:color w:val="auto"/>
              </w:rPr>
            </w:pPr>
          </w:p>
        </w:tc>
        <w:tc>
          <w:tcPr>
            <w:tcW w:w="2240" w:type="dxa"/>
            <w:vAlign w:val="bottom"/>
            <w:tcBorders>
              <w:right w:val="single" w:sz="8" w:color="auto"/>
            </w:tcBorders>
          </w:tcPr>
          <w:p>
            <w:pPr>
              <w:spacing w:after="0" w:line="255" w:lineRule="exact"/>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16 (0)</w:t>
            </w:r>
          </w:p>
        </w:tc>
        <w:tc>
          <w:tcPr>
            <w:tcW w:w="100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8 (0)</w:t>
            </w:r>
          </w:p>
        </w:tc>
        <w:tc>
          <w:tcPr>
            <w:tcW w:w="162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w w:val="98"/>
              </w:rPr>
              <w:t>8 (0)</w:t>
            </w:r>
          </w:p>
        </w:tc>
        <w:tc>
          <w:tcPr>
            <w:tcW w:w="154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55"/>
        </w:trPr>
        <w:tc>
          <w:tcPr>
            <w:tcW w:w="2280" w:type="dxa"/>
            <w:vAlign w:val="bottom"/>
            <w:tcBorders>
              <w:left w:val="single" w:sz="8" w:color="auto"/>
              <w:bottom w:val="single" w:sz="8" w:color="4F81BD"/>
              <w:right w:val="single" w:sz="8" w:color="auto"/>
            </w:tcBorders>
            <w:shd w:val="clear" w:color="auto" w:fill="4F81BD"/>
          </w:tcPr>
          <w:p>
            <w:pPr>
              <w:spacing w:after="0"/>
              <w:rPr>
                <w:sz w:val="4"/>
                <w:szCs w:val="4"/>
                <w:color w:val="auto"/>
              </w:rPr>
            </w:pPr>
          </w:p>
        </w:tc>
        <w:tc>
          <w:tcPr>
            <w:tcW w:w="2240" w:type="dxa"/>
            <w:vAlign w:val="bottom"/>
            <w:tcBorders>
              <w:bottom w:val="single" w:sz="8" w:color="auto"/>
              <w:right w:val="single" w:sz="8" w:color="auto"/>
            </w:tcBorders>
          </w:tcPr>
          <w:p>
            <w:pPr>
              <w:spacing w:after="0"/>
              <w:rPr>
                <w:sz w:val="4"/>
                <w:szCs w:val="4"/>
                <w:color w:val="auto"/>
              </w:rPr>
            </w:pPr>
          </w:p>
        </w:tc>
        <w:tc>
          <w:tcPr>
            <w:tcW w:w="1260" w:type="dxa"/>
            <w:vAlign w:val="bottom"/>
            <w:tcBorders>
              <w:bottom w:val="single" w:sz="8" w:color="auto"/>
              <w:right w:val="single" w:sz="8" w:color="auto"/>
            </w:tcBorders>
          </w:tcPr>
          <w:p>
            <w:pPr>
              <w:spacing w:after="0"/>
              <w:rPr>
                <w:sz w:val="4"/>
                <w:szCs w:val="4"/>
                <w:color w:val="auto"/>
              </w:rPr>
            </w:pPr>
          </w:p>
        </w:tc>
        <w:tc>
          <w:tcPr>
            <w:tcW w:w="1000" w:type="dxa"/>
            <w:vAlign w:val="bottom"/>
            <w:tcBorders>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1540" w:type="dxa"/>
            <w:vAlign w:val="bottom"/>
            <w:tcBorders>
              <w:bottom w:val="single" w:sz="8" w:color="auto"/>
              <w:right w:val="single" w:sz="8" w:color="auto"/>
            </w:tcBorders>
          </w:tcPr>
          <w:p>
            <w:pPr>
              <w:spacing w:after="0"/>
              <w:rPr>
                <w:sz w:val="4"/>
                <w:szCs w:val="4"/>
                <w:color w:val="auto"/>
              </w:rPr>
            </w:pPr>
          </w:p>
        </w:tc>
        <w:tc>
          <w:tcPr>
            <w:tcW w:w="12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7"/>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Australia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Philippines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6"/>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35 (1)</w:t>
            </w:r>
          </w:p>
        </w:tc>
        <w:tc>
          <w:tcPr>
            <w:tcW w:w="100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23 (0)</w:t>
            </w:r>
          </w:p>
        </w:tc>
        <w:tc>
          <w:tcPr>
            <w:tcW w:w="162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5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5 (1)</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6"/>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13"/>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75"/>
        </w:trPr>
        <w:tc>
          <w:tcPr>
            <w:tcW w:w="2280" w:type="dxa"/>
            <w:vAlign w:val="bottom"/>
            <w:tcBorders>
              <w:left w:val="single" w:sz="8" w:color="auto"/>
              <w:right w:val="single" w:sz="8" w:color="auto"/>
            </w:tcBorders>
            <w:shd w:val="clear" w:color="auto" w:fill="4F81BD"/>
          </w:tcPr>
          <w:p>
            <w:pPr>
              <w:spacing w:after="0"/>
              <w:rPr>
                <w:sz w:val="15"/>
                <w:szCs w:val="15"/>
                <w:color w:val="auto"/>
              </w:rPr>
            </w:pPr>
          </w:p>
        </w:tc>
        <w:tc>
          <w:tcPr>
            <w:tcW w:w="2240" w:type="dxa"/>
            <w:vAlign w:val="bottom"/>
            <w:tcBorders>
              <w:right w:val="single" w:sz="8" w:color="auto"/>
            </w:tcBorders>
            <w:vMerge w:val="continue"/>
          </w:tcPr>
          <w:p>
            <w:pPr>
              <w:spacing w:after="0"/>
              <w:rPr>
                <w:sz w:val="15"/>
                <w:szCs w:val="15"/>
                <w:color w:val="auto"/>
              </w:rPr>
            </w:pPr>
          </w:p>
        </w:tc>
        <w:tc>
          <w:tcPr>
            <w:tcW w:w="1260" w:type="dxa"/>
            <w:vAlign w:val="bottom"/>
            <w:tcBorders>
              <w:right w:val="single" w:sz="8" w:color="auto"/>
            </w:tcBorders>
            <w:vMerge w:val="continue"/>
          </w:tcPr>
          <w:p>
            <w:pPr>
              <w:spacing w:after="0"/>
              <w:rPr>
                <w:sz w:val="15"/>
                <w:szCs w:val="15"/>
                <w:color w:val="auto"/>
              </w:rPr>
            </w:pPr>
          </w:p>
        </w:tc>
        <w:tc>
          <w:tcPr>
            <w:tcW w:w="1000" w:type="dxa"/>
            <w:vAlign w:val="bottom"/>
            <w:tcBorders>
              <w:right w:val="single" w:sz="8" w:color="auto"/>
            </w:tcBorders>
            <w:vMerge w:val="continue"/>
          </w:tcPr>
          <w:p>
            <w:pPr>
              <w:spacing w:after="0"/>
              <w:rPr>
                <w:sz w:val="15"/>
                <w:szCs w:val="15"/>
                <w:color w:val="auto"/>
              </w:rPr>
            </w:pPr>
          </w:p>
        </w:tc>
        <w:tc>
          <w:tcPr>
            <w:tcW w:w="1620" w:type="dxa"/>
            <w:vAlign w:val="bottom"/>
            <w:tcBorders>
              <w:right w:val="single" w:sz="8" w:color="auto"/>
            </w:tcBorders>
            <w:vMerge w:val="continue"/>
          </w:tcPr>
          <w:p>
            <w:pPr>
              <w:spacing w:after="0"/>
              <w:rPr>
                <w:sz w:val="15"/>
                <w:szCs w:val="15"/>
                <w:color w:val="auto"/>
              </w:rPr>
            </w:pPr>
          </w:p>
        </w:tc>
        <w:tc>
          <w:tcPr>
            <w:tcW w:w="1540" w:type="dxa"/>
            <w:vAlign w:val="bottom"/>
            <w:tcBorders>
              <w:right w:val="single" w:sz="8" w:color="auto"/>
            </w:tcBorders>
            <w:vMerge w:val="continue"/>
          </w:tcPr>
          <w:p>
            <w:pPr>
              <w:spacing w:after="0"/>
              <w:rPr>
                <w:sz w:val="15"/>
                <w:szCs w:val="15"/>
                <w:color w:val="auto"/>
              </w:rPr>
            </w:pPr>
          </w:p>
        </w:tc>
        <w:tc>
          <w:tcPr>
            <w:tcW w:w="126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67"/>
        </w:trPr>
        <w:tc>
          <w:tcPr>
            <w:tcW w:w="2280" w:type="dxa"/>
            <w:vAlign w:val="bottom"/>
            <w:tcBorders>
              <w:top w:val="single" w:sz="8" w:color="auto"/>
              <w:left w:val="single" w:sz="8" w:color="auto"/>
              <w:right w:val="single" w:sz="8" w:color="auto"/>
            </w:tcBorders>
            <w:shd w:val="clear" w:color="auto" w:fill="4F81BD"/>
          </w:tcPr>
          <w:p>
            <w:pPr>
              <w:spacing w:after="0"/>
              <w:rPr>
                <w:sz w:val="23"/>
                <w:szCs w:val="23"/>
                <w:color w:val="auto"/>
              </w:rPr>
            </w:pPr>
          </w:p>
        </w:tc>
        <w:tc>
          <w:tcPr>
            <w:tcW w:w="2240" w:type="dxa"/>
            <w:vAlign w:val="bottom"/>
            <w:tcBorders>
              <w:top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United States of</w:t>
            </w:r>
          </w:p>
        </w:tc>
        <w:tc>
          <w:tcPr>
            <w:tcW w:w="1260" w:type="dxa"/>
            <w:vAlign w:val="bottom"/>
            <w:tcBorders>
              <w:top w:val="single" w:sz="8" w:color="auto"/>
              <w:right w:val="single" w:sz="8" w:color="auto"/>
            </w:tcBorders>
          </w:tcPr>
          <w:p>
            <w:pPr>
              <w:spacing w:after="0"/>
              <w:rPr>
                <w:sz w:val="23"/>
                <w:szCs w:val="23"/>
                <w:color w:val="auto"/>
              </w:rPr>
            </w:pPr>
          </w:p>
        </w:tc>
        <w:tc>
          <w:tcPr>
            <w:tcW w:w="1000" w:type="dxa"/>
            <w:vAlign w:val="bottom"/>
            <w:tcBorders>
              <w:top w:val="single" w:sz="8" w:color="auto"/>
              <w:right w:val="single" w:sz="8" w:color="auto"/>
            </w:tcBorders>
          </w:tcPr>
          <w:p>
            <w:pPr>
              <w:spacing w:after="0"/>
              <w:rPr>
                <w:sz w:val="23"/>
                <w:szCs w:val="23"/>
                <w:color w:val="auto"/>
              </w:rPr>
            </w:pPr>
          </w:p>
        </w:tc>
        <w:tc>
          <w:tcPr>
            <w:tcW w:w="1620" w:type="dxa"/>
            <w:vAlign w:val="bottom"/>
            <w:tcBorders>
              <w:top w:val="single" w:sz="8" w:color="auto"/>
              <w:right w:val="single" w:sz="8" w:color="auto"/>
            </w:tcBorders>
          </w:tcPr>
          <w:p>
            <w:pPr>
              <w:spacing w:after="0"/>
              <w:rPr>
                <w:sz w:val="23"/>
                <w:szCs w:val="23"/>
                <w:color w:val="auto"/>
              </w:rPr>
            </w:pPr>
          </w:p>
        </w:tc>
        <w:tc>
          <w:tcPr>
            <w:tcW w:w="1540" w:type="dxa"/>
            <w:vAlign w:val="bottom"/>
            <w:tcBorders>
              <w:top w:val="single" w:sz="8" w:color="auto"/>
              <w:right w:val="single" w:sz="8" w:color="auto"/>
            </w:tcBorders>
          </w:tcPr>
          <w:p>
            <w:pPr>
              <w:spacing w:after="0"/>
              <w:rPr>
                <w:sz w:val="23"/>
                <w:szCs w:val="23"/>
                <w:color w:val="auto"/>
              </w:rPr>
            </w:pPr>
          </w:p>
        </w:tc>
        <w:tc>
          <w:tcPr>
            <w:tcW w:w="126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6"/>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16 (0)</w:t>
            </w:r>
          </w:p>
        </w:tc>
        <w:tc>
          <w:tcPr>
            <w:tcW w:w="100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14 (0)</w:t>
            </w:r>
          </w:p>
        </w:tc>
        <w:tc>
          <w:tcPr>
            <w:tcW w:w="15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9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2"/>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w:t>
            </w:r>
            <w:r>
              <w:rPr>
                <w:rFonts w:ascii="Calibri" w:cs="Calibri" w:eastAsia="Calibri" w:hAnsi="Calibri"/>
                <w:sz w:val="12"/>
                <w:szCs w:val="12"/>
                <w:b w:val="1"/>
                <w:bCs w:val="1"/>
                <w:color w:val="auto"/>
                <w:w w:val="98"/>
              </w:rPr>
              <w:t>††</w:t>
            </w:r>
            <w:r>
              <w:rPr>
                <w:rFonts w:ascii="Calibri" w:cs="Calibri" w:eastAsia="Calibri" w:hAnsi="Calibri"/>
                <w:sz w:val="22"/>
                <w:szCs w:val="22"/>
                <w:color w:val="auto"/>
                <w:w w:val="98"/>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7"/>
        </w:trPr>
        <w:tc>
          <w:tcPr>
            <w:tcW w:w="2280" w:type="dxa"/>
            <w:vAlign w:val="bottom"/>
            <w:tcBorders>
              <w:top w:val="single" w:sz="8" w:color="auto"/>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top w:val="single" w:sz="8" w:color="auto"/>
              <w:bottom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United Arab Emirates</w:t>
            </w:r>
          </w:p>
        </w:tc>
        <w:tc>
          <w:tcPr>
            <w:tcW w:w="126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9 (1)</w:t>
            </w:r>
          </w:p>
        </w:tc>
        <w:tc>
          <w:tcPr>
            <w:tcW w:w="100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6 (0)</w:t>
            </w:r>
          </w:p>
        </w:tc>
        <w:tc>
          <w:tcPr>
            <w:tcW w:w="162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2 (1)</w:t>
            </w:r>
          </w:p>
        </w:tc>
        <w:tc>
          <w:tcPr>
            <w:tcW w:w="154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 (0)</w:t>
            </w:r>
          </w:p>
        </w:tc>
        <w:tc>
          <w:tcPr>
            <w:tcW w:w="126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1"/>
        </w:trPr>
        <w:tc>
          <w:tcPr>
            <w:tcW w:w="2280" w:type="dxa"/>
            <w:vAlign w:val="bottom"/>
            <w:tcBorders>
              <w:left w:val="single" w:sz="8" w:color="auto"/>
              <w:bottom w:val="single" w:sz="8" w:color="4F81BD"/>
              <w:right w:val="single" w:sz="8" w:color="auto"/>
            </w:tcBorders>
            <w:shd w:val="clear" w:color="auto" w:fill="4F81BD"/>
          </w:tcPr>
          <w:p>
            <w:pPr>
              <w:jc w:val="center"/>
              <w:spacing w:after="0" w:line="265" w:lineRule="exact"/>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Egypt</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7"/>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top w:val="single" w:sz="8" w:color="auto"/>
              <w:right w:val="single" w:sz="8" w:color="auto"/>
            </w:tcBorders>
          </w:tcPr>
          <w:p>
            <w:pPr>
              <w:spacing w:after="0"/>
              <w:rPr>
                <w:sz w:val="24"/>
                <w:szCs w:val="24"/>
                <w:color w:val="auto"/>
              </w:rPr>
            </w:pP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126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3"/>
        </w:trPr>
        <w:tc>
          <w:tcPr>
            <w:tcW w:w="2280" w:type="dxa"/>
            <w:vAlign w:val="bottom"/>
            <w:tcBorders>
              <w:left w:val="single" w:sz="8" w:color="auto"/>
              <w:right w:val="single" w:sz="8" w:color="auto"/>
            </w:tcBorders>
            <w:vMerge w:val="continue"/>
            <w:shd w:val="clear" w:color="auto" w:fill="4F81BD"/>
          </w:tcPr>
          <w:p>
            <w:pPr>
              <w:spacing w:after="0"/>
              <w:rPr>
                <w:sz w:val="8"/>
                <w:szCs w:val="8"/>
                <w:color w:val="auto"/>
              </w:rPr>
            </w:pPr>
          </w:p>
        </w:tc>
        <w:tc>
          <w:tcPr>
            <w:tcW w:w="2240" w:type="dxa"/>
            <w:vAlign w:val="bottom"/>
            <w:tcBorders>
              <w:right w:val="single" w:sz="8" w:color="auto"/>
            </w:tcBorders>
            <w:vMerge w:val="restart"/>
          </w:tcPr>
          <w:p>
            <w:pPr>
              <w:spacing w:after="0" w:line="267" w:lineRule="exact"/>
              <w:rPr>
                <w:sz w:val="20"/>
                <w:szCs w:val="20"/>
                <w:color w:val="auto"/>
              </w:rPr>
            </w:pPr>
            <w:r>
              <w:rPr>
                <w:rFonts w:ascii="Calibri" w:cs="Calibri" w:eastAsia="Calibri" w:hAnsi="Calibri"/>
                <w:sz w:val="22"/>
                <w:szCs w:val="22"/>
                <w:color w:val="auto"/>
              </w:rPr>
              <w:t>conveyance (Japan)</w:t>
            </w:r>
          </w:p>
        </w:tc>
        <w:tc>
          <w:tcPr>
            <w:tcW w:w="126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rPr>
              <w:t>454</w:t>
            </w:r>
            <w:r>
              <w:rPr>
                <w:rFonts w:ascii="Calibri" w:cs="Calibri" w:eastAsia="Calibri" w:hAnsi="Calibri"/>
                <w:sz w:val="12"/>
                <w:szCs w:val="12"/>
                <w:color w:val="auto"/>
              </w:rPr>
              <w:t>‡‡</w:t>
            </w:r>
            <w:r>
              <w:rPr>
                <w:rFonts w:ascii="Calibri" w:cs="Calibri" w:eastAsia="Calibri" w:hAnsi="Calibri"/>
                <w:sz w:val="22"/>
                <w:szCs w:val="22"/>
                <w:color w:val="auto"/>
              </w:rPr>
              <w:t xml:space="preserve"> (99)</w:t>
            </w:r>
          </w:p>
        </w:tc>
        <w:tc>
          <w:tcPr>
            <w:tcW w:w="100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w w:val="99"/>
              </w:rPr>
              <w:t>454 (99)</w:t>
            </w:r>
          </w:p>
        </w:tc>
        <w:tc>
          <w:tcPr>
            <w:tcW w:w="126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66"/>
        </w:trPr>
        <w:tc>
          <w:tcPr>
            <w:tcW w:w="2280" w:type="dxa"/>
            <w:vAlign w:val="bottom"/>
            <w:tcBorders>
              <w:left w:val="single" w:sz="8" w:color="auto"/>
              <w:bottom w:val="single" w:sz="8" w:color="4F81BD"/>
              <w:right w:val="single" w:sz="8" w:color="auto"/>
            </w:tcBorders>
            <w:shd w:val="clear" w:color="auto" w:fill="4F81BD"/>
          </w:tcPr>
          <w:p>
            <w:pPr>
              <w:spacing w:after="0"/>
              <w:rPr>
                <w:sz w:val="14"/>
                <w:szCs w:val="14"/>
                <w:color w:val="auto"/>
              </w:rPr>
            </w:pPr>
          </w:p>
        </w:tc>
        <w:tc>
          <w:tcPr>
            <w:tcW w:w="2240" w:type="dxa"/>
            <w:vAlign w:val="bottom"/>
            <w:tcBorders>
              <w:right w:val="single" w:sz="8" w:color="auto"/>
            </w:tcBorders>
            <w:vMerge w:val="continue"/>
          </w:tcPr>
          <w:p>
            <w:pPr>
              <w:spacing w:after="0"/>
              <w:rPr>
                <w:sz w:val="14"/>
                <w:szCs w:val="14"/>
                <w:color w:val="auto"/>
              </w:rPr>
            </w:pPr>
          </w:p>
        </w:tc>
        <w:tc>
          <w:tcPr>
            <w:tcW w:w="1260" w:type="dxa"/>
            <w:vAlign w:val="bottom"/>
            <w:tcBorders>
              <w:right w:val="single" w:sz="8" w:color="auto"/>
            </w:tcBorders>
            <w:vMerge w:val="continue"/>
          </w:tcPr>
          <w:p>
            <w:pPr>
              <w:spacing w:after="0"/>
              <w:rPr>
                <w:sz w:val="14"/>
                <w:szCs w:val="14"/>
                <w:color w:val="auto"/>
              </w:rPr>
            </w:pPr>
          </w:p>
        </w:tc>
        <w:tc>
          <w:tcPr>
            <w:tcW w:w="1000" w:type="dxa"/>
            <w:vAlign w:val="bottom"/>
            <w:tcBorders>
              <w:right w:val="single" w:sz="8" w:color="auto"/>
            </w:tcBorders>
            <w:vMerge w:val="continue"/>
          </w:tcPr>
          <w:p>
            <w:pPr>
              <w:spacing w:after="0"/>
              <w:rPr>
                <w:sz w:val="14"/>
                <w:szCs w:val="14"/>
                <w:color w:val="auto"/>
              </w:rPr>
            </w:pPr>
          </w:p>
        </w:tc>
        <w:tc>
          <w:tcPr>
            <w:tcW w:w="1620" w:type="dxa"/>
            <w:vAlign w:val="bottom"/>
            <w:tcBorders>
              <w:right w:val="single" w:sz="8" w:color="auto"/>
            </w:tcBorders>
            <w:vMerge w:val="continue"/>
          </w:tcPr>
          <w:p>
            <w:pPr>
              <w:spacing w:after="0"/>
              <w:rPr>
                <w:sz w:val="14"/>
                <w:szCs w:val="14"/>
                <w:color w:val="auto"/>
              </w:rPr>
            </w:pPr>
          </w:p>
        </w:tc>
        <w:tc>
          <w:tcPr>
            <w:tcW w:w="1540" w:type="dxa"/>
            <w:vAlign w:val="bottom"/>
            <w:tcBorders>
              <w:right w:val="single" w:sz="8" w:color="auto"/>
            </w:tcBorders>
            <w:vMerge w:val="continue"/>
          </w:tcPr>
          <w:p>
            <w:pPr>
              <w:spacing w:after="0"/>
              <w:rPr>
                <w:sz w:val="14"/>
                <w:szCs w:val="14"/>
                <w:color w:val="auto"/>
              </w:rPr>
            </w:pPr>
          </w:p>
        </w:tc>
        <w:tc>
          <w:tcPr>
            <w:tcW w:w="126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2240" w:type="dxa"/>
            <w:vAlign w:val="bottom"/>
            <w:tcBorders>
              <w:right w:val="single" w:sz="8" w:color="auto"/>
            </w:tcBorders>
            <w:shd w:val="clear" w:color="auto" w:fill="000000"/>
          </w:tcPr>
          <w:p>
            <w:pPr>
              <w:spacing w:after="0" w:line="20" w:lineRule="exact"/>
              <w:rPr>
                <w:sz w:val="1"/>
                <w:szCs w:val="1"/>
                <w:color w:val="auto"/>
              </w:rPr>
            </w:pPr>
          </w:p>
        </w:tc>
        <w:tc>
          <w:tcPr>
            <w:tcW w:w="1260" w:type="dxa"/>
            <w:vAlign w:val="bottom"/>
            <w:tcBorders>
              <w:right w:val="single" w:sz="8" w:color="auto"/>
            </w:tcBorders>
            <w:shd w:val="clear" w:color="auto" w:fill="000000"/>
          </w:tcPr>
          <w:p>
            <w:pPr>
              <w:spacing w:after="0" w:line="20" w:lineRule="exact"/>
              <w:rPr>
                <w:sz w:val="1"/>
                <w:szCs w:val="1"/>
                <w:color w:val="auto"/>
              </w:rPr>
            </w:pPr>
          </w:p>
        </w:tc>
        <w:tc>
          <w:tcPr>
            <w:tcW w:w="1000" w:type="dxa"/>
            <w:vAlign w:val="bottom"/>
            <w:tcBorders>
              <w:right w:val="single" w:sz="8" w:color="auto"/>
            </w:tcBorders>
            <w:shd w:val="clear" w:color="auto" w:fill="000000"/>
          </w:tcPr>
          <w:p>
            <w:pPr>
              <w:spacing w:after="0" w:line="20" w:lineRule="exact"/>
              <w:rPr>
                <w:sz w:val="1"/>
                <w:szCs w:val="1"/>
                <w:color w:val="auto"/>
              </w:rPr>
            </w:pPr>
          </w:p>
        </w:tc>
        <w:tc>
          <w:tcPr>
            <w:tcW w:w="1620" w:type="dxa"/>
            <w:vAlign w:val="bottom"/>
            <w:tcBorders>
              <w:right w:val="single" w:sz="8" w:color="auto"/>
            </w:tcBorders>
            <w:shd w:val="clear" w:color="auto" w:fill="000000"/>
          </w:tcPr>
          <w:p>
            <w:pPr>
              <w:spacing w:after="0" w:line="20" w:lineRule="exact"/>
              <w:rPr>
                <w:sz w:val="1"/>
                <w:szCs w:val="1"/>
                <w:color w:val="auto"/>
              </w:rPr>
            </w:pPr>
          </w:p>
        </w:tc>
        <w:tc>
          <w:tcPr>
            <w:tcW w:w="1540" w:type="dxa"/>
            <w:vAlign w:val="bottom"/>
            <w:tcBorders>
              <w:right w:val="single" w:sz="8" w:color="auto"/>
            </w:tcBorders>
            <w:shd w:val="clear" w:color="auto" w:fill="000000"/>
          </w:tcPr>
          <w:p>
            <w:pPr>
              <w:spacing w:after="0" w:line="20" w:lineRule="exact"/>
              <w:rPr>
                <w:sz w:val="1"/>
                <w:szCs w:val="1"/>
                <w:color w:val="auto"/>
              </w:rPr>
            </w:pPr>
          </w:p>
        </w:tc>
        <w:tc>
          <w:tcPr>
            <w:tcW w:w="126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176"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3">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ind w:left="360" w:right="360"/>
        <w:spacing w:after="0" w:line="189"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3 cases occurred outside of Republic of Korea.</w:t>
      </w:r>
    </w:p>
    <w:p>
      <w:pPr>
        <w:spacing w:after="0" w:line="1" w:lineRule="exact"/>
        <w:rPr>
          <w:sz w:val="20"/>
          <w:szCs w:val="20"/>
          <w:color w:val="auto"/>
        </w:rPr>
      </w:pPr>
    </w:p>
    <w:p>
      <w:pPr>
        <w:ind w:left="360" w:right="360"/>
        <w:spacing w:after="0" w:line="18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1 case occurred outside of Malaysia. One patient also had travel history to China, but exposure likely occurred after return to Malaysia.</w:t>
      </w:r>
    </w:p>
    <w:p>
      <w:pPr>
        <w:ind w:left="360"/>
        <w:spacing w:after="0" w:line="214"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6 cases occurred outside of the United Kingdom.</w:t>
      </w:r>
    </w:p>
    <w:p>
      <w:pPr>
        <w:ind w:left="360"/>
        <w:spacing w:after="0" w:line="182" w:lineRule="auto"/>
        <w:rPr>
          <w:sz w:val="20"/>
          <w:szCs w:val="20"/>
          <w:color w:val="auto"/>
        </w:rPr>
      </w:pPr>
      <w:r>
        <w:rPr>
          <w:rFonts w:ascii="Calibri" w:cs="Calibri" w:eastAsia="Calibri" w:hAnsi="Calibri"/>
          <w:sz w:val="23"/>
          <w:szCs w:val="23"/>
          <w:b w:val="1"/>
          <w:bCs w:val="1"/>
          <w:color w:val="auto"/>
          <w:vertAlign w:val="superscript"/>
        </w:rPr>
        <w:t>††</w:t>
      </w:r>
      <w:r>
        <w:rPr>
          <w:rFonts w:ascii="Calibri" w:cs="Calibri" w:eastAsia="Calibri" w:hAnsi="Calibri"/>
          <w:sz w:val="17"/>
          <w:szCs w:val="17"/>
          <w:color w:val="auto"/>
        </w:rPr>
        <w:t>The exposure for 2 cases occurred outside of Spain.</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ectPr>
          <w:pgSz w:w="11920" w:h="16841" w:orient="portrait"/>
          <w:cols w:equalWidth="0" w:num="1">
            <w:col w:w="11180"/>
          </w:cols>
          <w:pgMar w:left="360" w:top="943" w:right="371" w:bottom="1440" w:gutter="0" w:footer="0" w:header="0"/>
        </w:sectPr>
      </w:pPr>
    </w:p>
    <w:bookmarkStart w:id="4" w:name="page5"/>
    <w:bookmarkEnd w:id="4"/>
    <w:p>
      <w:pPr>
        <w:spacing w:after="0" w:line="218" w:lineRule="auto"/>
        <w:rPr>
          <w:sz w:val="20"/>
          <w:szCs w:val="20"/>
          <w:color w:val="auto"/>
        </w:rPr>
      </w:pPr>
      <w:r>
        <w:rPr>
          <w:rFonts w:ascii="Calibri" w:cs="Calibri" w:eastAsia="Calibri" w:hAnsi="Calibri"/>
          <w:sz w:val="22"/>
          <w:szCs w:val="22"/>
          <w:b w:val="1"/>
          <w:bCs w:val="1"/>
          <w:color w:val="007AB0"/>
        </w:rPr>
        <w:t>Figure 2. Epidemic curve of COVID-19 cases (n=210) identified outside of China, by date of onset of symptoms and travel history, 17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7815" cy="32912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6647815" cy="32912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right="240"/>
        <w:spacing w:after="0" w:line="253" w:lineRule="auto"/>
        <w:rPr>
          <w:sz w:val="20"/>
          <w:szCs w:val="20"/>
          <w:color w:val="auto"/>
        </w:rPr>
      </w:pPr>
      <w:r>
        <w:rPr>
          <w:rFonts w:ascii="Calibri" w:cs="Calibri" w:eastAsia="Calibri" w:hAnsi="Calibri"/>
          <w:sz w:val="22"/>
          <w:szCs w:val="22"/>
          <w:color w:val="auto"/>
        </w:rPr>
        <w:t>Note for figure 2: Of the 794 cases reported outside China, 26 were detected while apparently asymptomatic. For the remaining 768 cases, information on date of onset is available only for the 210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right="320"/>
        <w:spacing w:after="0" w:line="218" w:lineRule="auto"/>
        <w:rPr>
          <w:sz w:val="20"/>
          <w:szCs w:val="20"/>
          <w:color w:val="auto"/>
        </w:rPr>
      </w:pPr>
      <w:r>
        <w:rPr>
          <w:rFonts w:ascii="Calibri" w:cs="Calibri" w:eastAsia="Calibri" w:hAnsi="Calibri"/>
          <w:sz w:val="22"/>
          <w:szCs w:val="22"/>
          <w:b w:val="1"/>
          <w:bCs w:val="1"/>
          <w:color w:val="007AB0"/>
        </w:rPr>
        <w:t>Figure 3. Epidemic curve of COVID-19 cases (n=794) identified outside of China, by date of reporting and travel history, 17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646545" cy="35890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6646545" cy="3589020"/>
                    </a:xfrm>
                    <a:prstGeom prst="rect">
                      <a:avLst/>
                    </a:prstGeom>
                    <a:noFill/>
                  </pic:spPr>
                </pic:pic>
              </a:graphicData>
            </a:graphic>
          </wp:anchor>
        </w:drawing>
      </w:r>
    </w:p>
    <w:p>
      <w:pPr>
        <w:sectPr>
          <w:pgSz w:w="11920" w:h="16841" w:orient="portrait"/>
          <w:cols w:equalWidth="0" w:num="1">
            <w:col w:w="10380"/>
          </w:cols>
          <w:pgMar w:left="720" w:top="943" w:right="81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30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6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8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6">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jc w:val="both"/>
        <w:ind w:left="360" w:right="860" w:hanging="360"/>
        <w:spacing w:after="0" w:line="253"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7">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80" w:hanging="360"/>
        <w:spacing w:after="0" w:line="264"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8">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8">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8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8" w:lineRule="exact"/>
        <w:rPr>
          <w:rFonts w:ascii="Arial" w:cs="Arial" w:eastAsia="Arial" w:hAnsi="Arial"/>
          <w:sz w:val="22"/>
          <w:szCs w:val="22"/>
          <w:color w:val="auto"/>
        </w:rPr>
      </w:pPr>
    </w:p>
    <w:p>
      <w:pPr>
        <w:ind w:left="360" w:right="40" w:hanging="360"/>
        <w:spacing w:after="0" w:line="265"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9">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0">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0">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1">
        <w:r>
          <w:rPr>
            <w:rFonts w:ascii="Calibri" w:cs="Calibri" w:eastAsia="Calibri" w:hAnsi="Calibri"/>
            <w:sz w:val="22"/>
            <w:szCs w:val="22"/>
            <w:u w:val="single" w:color="auto"/>
            <w:color w:val="0000FF"/>
          </w:rPr>
          <w:t>clinical management</w:t>
        </w:r>
      </w:hyperlink>
      <w:hyperlink r:id="rId22">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2">
        <w:r>
          <w:rPr>
            <w:rFonts w:ascii="Calibri" w:cs="Calibri" w:eastAsia="Calibri" w:hAnsi="Calibri"/>
            <w:sz w:val="22"/>
            <w:szCs w:val="22"/>
            <w:u w:val="single" w:color="auto"/>
            <w:color w:val="0000FF"/>
          </w:rPr>
          <w:t xml:space="preserve">infection prevention and control in health care settings, </w:t>
        </w:r>
      </w:hyperlink>
      <w:hyperlink r:id="rId23">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3">
        <w:r>
          <w:rPr>
            <w:rFonts w:ascii="Calibri" w:cs="Calibri" w:eastAsia="Calibri" w:hAnsi="Calibri"/>
            <w:sz w:val="22"/>
            <w:szCs w:val="22"/>
            <w:u w:val="single" w:color="auto"/>
            <w:color w:val="0000FF"/>
          </w:rPr>
          <w:t xml:space="preserve">coronavirus, </w:t>
        </w:r>
      </w:hyperlink>
      <w:hyperlink r:id="rId24">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3">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3">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8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5">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6">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1020" w:hanging="360"/>
        <w:spacing w:after="0" w:line="236"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7">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7">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39"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36"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8">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88" w:lineRule="exact"/>
        <w:rPr>
          <w:rFonts w:ascii="Calibri" w:cs="Calibri" w:eastAsia="Calibri" w:hAnsi="Calibri"/>
          <w:sz w:val="22"/>
          <w:szCs w:val="22"/>
          <w:color w:val="auto"/>
        </w:rPr>
      </w:pPr>
    </w:p>
    <w:p>
      <w:pPr>
        <w:ind w:left="360" w:hanging="360"/>
        <w:spacing w:after="0" w:line="261"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-3173095</wp:posOffset>
                </wp:positionV>
                <wp:extent cx="31750" cy="1333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3335"/>
                        </a:xfrm>
                        <a:prstGeom prst="rect">
                          <a:avLst/>
                        </a:prstGeom>
                        <a:solidFill>
                          <a:srgbClr val="000000"/>
                        </a:solidFill>
                      </wps:spPr>
                      <wps:bodyPr/>
                    </wps:wsp>
                  </a:graphicData>
                </a:graphic>
              </wp:anchor>
            </w:drawing>
          </mc:Choice>
          <mc:Fallback>
            <w:pict>
              <v:rect id="Shape 10" o:spid="_x0000_s1035" style="position:absolute;margin-left:202.95pt;margin-top:-249.8499pt;width:2.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6278880</wp:posOffset>
                </wp:positionH>
                <wp:positionV relativeFrom="paragraph">
                  <wp:posOffset>-2976245</wp:posOffset>
                </wp:positionV>
                <wp:extent cx="3048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11" o:spid="_x0000_s1036" style="position:absolute;margin-left:494.4pt;margin-top:-234.34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80"/>
          </w:cols>
          <w:pgMar w:left="720" w:top="1440" w:right="711" w:bottom="212" w:gutter="0" w:footer="0" w:header="0"/>
        </w:sectPr>
      </w:pPr>
    </w:p>
    <w:bookmarkStart w:id="6" w:name="page7"/>
    <w:bookmarkEnd w:id="6"/>
    <w:p>
      <w:pPr>
        <w:ind w:left="360"/>
        <w:spacing w:after="0"/>
        <w:rPr>
          <w:sz w:val="20"/>
          <w:szCs w:val="20"/>
          <w:color w:val="auto"/>
        </w:rPr>
      </w:pPr>
      <w:r>
        <w:rPr>
          <w:rFonts w:ascii="Calibri" w:cs="Calibri" w:eastAsia="Calibri" w:hAnsi="Calibri"/>
          <w:sz w:val="22"/>
          <w:szCs w:val="22"/>
          <w:color w:val="auto"/>
        </w:rPr>
        <w:t>countermeasures such as case isolation, contact tracing and isolation. Several protocols are available here:</w:t>
      </w:r>
    </w:p>
    <w:p>
      <w:pPr>
        <w:spacing w:after="0" w:line="41" w:lineRule="exact"/>
        <w:rPr>
          <w:sz w:val="20"/>
          <w:szCs w:val="20"/>
          <w:color w:val="auto"/>
        </w:rPr>
      </w:pPr>
    </w:p>
    <w:p>
      <w:pPr>
        <w:ind w:left="360"/>
        <w:spacing w:after="0"/>
        <w:rPr>
          <w:rFonts w:ascii="Calibri" w:cs="Calibri" w:eastAsia="Calibri" w:hAnsi="Calibri"/>
          <w:sz w:val="22"/>
          <w:szCs w:val="22"/>
          <w:u w:val="single" w:color="auto"/>
          <w:color w:val="0000FF"/>
        </w:rPr>
      </w:pPr>
      <w:hyperlink r:id="rId29">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88" w:lineRule="exact"/>
        <w:rPr>
          <w:sz w:val="20"/>
          <w:szCs w:val="20"/>
          <w:color w:val="auto"/>
        </w:rPr>
      </w:pPr>
    </w:p>
    <w:p>
      <w:pPr>
        <w:ind w:left="360" w:right="300" w:hanging="360"/>
        <w:spacing w:after="0" w:line="261"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00" w:hanging="360"/>
        <w:spacing w:after="0" w:line="236"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right="32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29" w:lineRule="exact"/>
        <w:rPr>
          <w:sz w:val="20"/>
          <w:szCs w:val="20"/>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38"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90" w:lineRule="exact"/>
        <w:rPr>
          <w:rFonts w:ascii="Arial" w:cs="Arial" w:eastAsia="Arial" w:hAnsi="Arial"/>
          <w:sz w:val="22"/>
          <w:szCs w:val="22"/>
          <w:color w:val="auto"/>
        </w:rPr>
      </w:pPr>
    </w:p>
    <w:p>
      <w:pPr>
        <w:ind w:left="360" w:right="200" w:hanging="360"/>
        <w:spacing w:after="0" w:line="235"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2"/>
          <w:szCs w:val="22"/>
          <w:color w:val="auto"/>
        </w:rPr>
      </w:pPr>
    </w:p>
    <w:p>
      <w:pPr>
        <w:ind w:left="360" w:right="10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1" w:lineRule="exact"/>
        <w:rPr>
          <w:sz w:val="20"/>
          <w:szCs w:val="20"/>
          <w:color w:val="auto"/>
        </w:rPr>
      </w:pPr>
    </w:p>
    <w:p>
      <w:pPr>
        <w:jc w:val="both"/>
        <w:spacing w:after="0" w:line="253"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1" w:orient="portrait"/>
      <w:cols w:equalWidth="0" w:num="1">
        <w:col w:w="10460"/>
      </w:cols>
      <w:pgMar w:left="720" w:top="894"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1"/>
      <w:numFmt w:val="decimal"/>
      <w:start w:val="25"/>
    </w:lvl>
  </w:abstractNum>
  <w:abstractNum w:abstractNumId="2">
    <w:nsid w:val="46E87CCD"/>
    <w:multiLevelType w:val="hybridMultilevel"/>
    <w:lvl w:ilvl="0">
      <w:lvlJc w:val="left"/>
      <w:lvlText w:val="•"/>
      <w:numFmt w:val="bullet"/>
      <w:start w:val="1"/>
    </w:lvl>
    <w:lvl w:ilvl="1">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2"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9" Type="http://schemas.openxmlformats.org/officeDocument/2006/relationships/hyperlink" Target="https://www.who.int/docs/default-source/coronaviruse/situation-reports/20200213-sitrep-24-covid-19.pdf?sfvrsn=9a7406a4_4" TargetMode="External"/><Relationship Id="rId10" Type="http://schemas.openxmlformats.org/officeDocument/2006/relationships/hyperlink" Target="https://www.who.int/emergencies/diseases/novel-coronavirus-2019/technical-guidance/points-of-entry-and-mass-gatherings" TargetMode="External"/><Relationship Id="rId11" Type="http://schemas.openxmlformats.org/officeDocument/2006/relationships/hyperlink" Target="http://www.emro.who.int/media/news/update-on-covid-19-in-the-eastern-mediterranean-region.html" TargetMode="External"/><Relationship Id="rId13" Type="http://schemas.openxmlformats.org/officeDocument/2006/relationships/hyperlink" Target="https://www.who.int/publications-detail/global-surveillance-for-human-infection-with-novel-coronavirus-(2019-ncov)" TargetMode="External"/><Relationship Id="rId16" Type="http://schemas.openxmlformats.org/officeDocument/2006/relationships/hyperlink" Target="https://www.who.int/emergencies/diseases/novel-coronavirus-2019/technical-guidance" TargetMode="External"/><Relationship Id="rId17" Type="http://schemas.openxmlformats.org/officeDocument/2006/relationships/hyperlink" Target="https://www.iata.org/en/programs/safety/health/diseases/#tab-2" TargetMode="External"/><Relationship Id="rId18" Type="http://schemas.openxmlformats.org/officeDocument/2006/relationships/hyperlink" Target="https://www.who.int/publications-detail/the-first-few-x-(ffx)-cases-and-contact-investigation-protocol-for-2019-novel-coronavirus-(2019-ncov)-infection" TargetMode="External"/><Relationship Id="rId19" Type="http://schemas.openxmlformats.org/officeDocument/2006/relationships/hyperlink" Target="https://www.who.int/emergencies/diseases/novel-coronavirus-2019/technical-guidance/laboratory-guidance" TargetMode="External"/><Relationship Id="rId20" Type="http://schemas.openxmlformats.org/officeDocument/2006/relationships/hyperlink" Target="https://www.who.int/publications-detail/advice-on-the-use-of-masks-in-the-community-during-home-care-and-in-healthcare-settings-in-the-context-of-the-novel-coronavirus-(2019-ncov)-outbreak" TargetMode="External"/><Relationship Id="rId21" Type="http://schemas.openxmlformats.org/officeDocument/2006/relationships/hyperlink" Target="https://www.who.int/publications-detail/clinical-management-of-severe-acute-respiratory-infection-when-novel-coronavirus-(ncov)-infection-is-suspected" TargetMode="External"/><Relationship Id="rId22" Type="http://schemas.openxmlformats.org/officeDocument/2006/relationships/hyperlink" Target="https://www.who.int/emergencies/diseases/novel-coronavirus-2019/technical-guidance/infection-prevention-and-control" TargetMode="External"/><Relationship Id="rId23" Type="http://schemas.openxmlformats.org/officeDocument/2006/relationships/hyperlink" Target="https://www.who.int/publications-detail/home-care-for-patients-with-suspected-novel-coronavirus-(ncov)-infection-presenting-with-mild-symptoms-and-management-of-contacts" TargetMode="External"/><Relationship Id="rId24" Type="http://schemas.openxmlformats.org/officeDocument/2006/relationships/hyperlink" Target="https://www.who.int/publications-detail/risk-communication-and-community-engagement-readiness-and-initial-response-for-novel-coronaviruses-(-ncov)" TargetMode="External"/><Relationship Id="rId25" Type="http://schemas.openxmlformats.org/officeDocument/2006/relationships/hyperlink" Target="https://www.who.int/publications-detail/disease-commodity-package---novel-coronavirus-(ncov)" TargetMode="External"/><Relationship Id="rId26" Type="http://schemas.openxmlformats.org/officeDocument/2006/relationships/hyperlink" Target="https://www.who.int/health-topics/coronavirus/who-recommendations-to-reduce-risk-of-transmission-of-emerging-pathogens-from-animals-to-humans-in-live-animal-markets" TargetMode="External"/><Relationship Id="rId27" Type="http://schemas.openxmlformats.org/officeDocument/2006/relationships/hyperlink" Target="https://www.who.int/ith/2019-nCoV_advice_for_international_traffic/en/" TargetMode="External"/><Relationship Id="rId28" Type="http://schemas.openxmlformats.org/officeDocument/2006/relationships/hyperlink" Target="https://openwho.org/courses/introduction-to-ncov" TargetMode="External"/><Relationship Id="rId29"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2020-03-10T16:46:11Z</dcterms:created>
  <dcterms:modified xsi:type="dcterms:W3CDTF">2020-03-10T16:46:11Z</dcterms:modified>
</cp:coreProperties>
</file>