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Coronavirus disease 2019 (COVID-19)</w:t>
      </w:r>
    </w:p>
    <w:p>
      <w:pPr>
        <w:ind w:left="200"/>
        <w:spacing w:after="0" w:line="238" w:lineRule="auto"/>
        <w:rPr>
          <w:sz w:val="20"/>
          <w:szCs w:val="20"/>
          <w:color w:val="auto"/>
        </w:rPr>
      </w:pPr>
      <w:r>
        <w:rPr>
          <w:rFonts w:ascii="Arial" w:cs="Arial" w:eastAsia="Arial" w:hAnsi="Arial"/>
          <w:sz w:val="34"/>
          <w:szCs w:val="34"/>
          <w:b w:val="1"/>
          <w:bCs w:val="1"/>
          <w:color w:val="FFFFFF"/>
        </w:rPr>
        <w:t>Situation Report – 29</w:t>
      </w:r>
    </w:p>
    <w:p>
      <w:pPr>
        <w:spacing w:after="0" w:line="318"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18 February 2020*</w:t>
      </w:r>
    </w:p>
    <w:p>
      <w:pPr>
        <w:spacing w:after="0" w:line="196"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3" w:lineRule="exact"/>
        <w:rPr>
          <w:sz w:val="24"/>
          <w:szCs w:val="24"/>
          <w:color w:val="auto"/>
        </w:rPr>
      </w:pPr>
    </w:p>
    <w:p>
      <w:pPr>
        <w:ind w:left="720" w:hanging="362"/>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COVID-19 in the past 24 hours.</w:t>
      </w:r>
    </w:p>
    <w:p>
      <w:pPr>
        <w:spacing w:after="0" w:line="330" w:lineRule="exact"/>
        <w:rPr>
          <w:rFonts w:ascii="Arial" w:cs="Arial" w:eastAsia="Arial" w:hAnsi="Arial"/>
          <w:sz w:val="22"/>
          <w:szCs w:val="22"/>
          <w:color w:val="auto"/>
        </w:rPr>
      </w:pPr>
    </w:p>
    <w:p>
      <w:pPr>
        <w:jc w:val="both"/>
        <w:ind w:left="720" w:hanging="362"/>
        <w:spacing w:after="0" w:line="230"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WHO Operations Support and Logistics (OSL) continues to gather and assess the needs of Member States for critical items such as Personal Protective Equipment (PPE). On 14 February, OSL started the dispatch of laboratory COVID-19 testing kits for 56 countries. As of 17 February, 37 shipments have been dispatched to 34 countries and three regional offices.</w:t>
      </w:r>
    </w:p>
    <w:p>
      <w:pPr>
        <w:spacing w:after="0" w:line="200" w:lineRule="exact"/>
        <w:rPr>
          <w:rFonts w:ascii="Arial" w:cs="Arial" w:eastAsia="Arial" w:hAnsi="Arial"/>
          <w:sz w:val="22"/>
          <w:szCs w:val="22"/>
          <w:color w:val="auto"/>
        </w:rPr>
      </w:pPr>
    </w:p>
    <w:p>
      <w:pPr>
        <w:spacing w:after="0" w:line="280" w:lineRule="exact"/>
        <w:rPr>
          <w:rFonts w:ascii="Arial" w:cs="Arial" w:eastAsia="Arial" w:hAnsi="Arial"/>
          <w:sz w:val="22"/>
          <w:szCs w:val="22"/>
          <w:color w:val="auto"/>
        </w:rPr>
      </w:pPr>
    </w:p>
    <w:p>
      <w:pPr>
        <w:jc w:val="both"/>
        <w:ind w:left="720" w:hanging="362"/>
        <w:spacing w:after="0" w:line="228" w:lineRule="auto"/>
        <w:tabs>
          <w:tab w:leader="none" w:pos="720"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 xml:space="preserve">Health care workers are on the front line of the response to the COVID-19 outbreak. WHO has developed guidance on the </w:t>
      </w:r>
      <w:hyperlink r:id="rId9">
        <w:r>
          <w:rPr>
            <w:rFonts w:ascii="Calibri" w:cs="Calibri" w:eastAsia="Calibri" w:hAnsi="Calibri"/>
            <w:sz w:val="22"/>
            <w:szCs w:val="22"/>
            <w:u w:val="single" w:color="auto"/>
            <w:color w:val="0000FF"/>
          </w:rPr>
          <w:t>Rights, Roles and</w:t>
        </w:r>
      </w:hyperlink>
      <w:r>
        <w:rPr>
          <w:rFonts w:ascii="Calibri" w:cs="Calibri" w:eastAsia="Calibri" w:hAnsi="Calibri"/>
          <w:sz w:val="22"/>
          <w:szCs w:val="22"/>
          <w:color w:val="auto"/>
        </w:rPr>
        <w:t xml:space="preserve"> </w:t>
      </w:r>
      <w:hyperlink r:id="rId9">
        <w:r>
          <w:rPr>
            <w:rFonts w:ascii="Calibri" w:cs="Calibri" w:eastAsia="Calibri" w:hAnsi="Calibri"/>
            <w:sz w:val="22"/>
            <w:szCs w:val="22"/>
            <w:u w:val="single" w:color="auto"/>
            <w:color w:val="0000FF"/>
          </w:rPr>
          <w:t>Responsibilities Of Health Workers, Including Key Considerations For</w:t>
        </w:r>
      </w:hyperlink>
      <w:r>
        <w:rPr>
          <w:rFonts w:ascii="Calibri" w:cs="Calibri" w:eastAsia="Calibri" w:hAnsi="Calibri"/>
          <w:sz w:val="22"/>
          <w:szCs w:val="22"/>
          <w:u w:val="single" w:color="auto"/>
          <w:color w:val="0000FF"/>
        </w:rPr>
        <w:t xml:space="preserve"> </w:t>
      </w:r>
      <w:hyperlink r:id="rId9">
        <w:r>
          <w:rPr>
            <w:rFonts w:ascii="Calibri" w:cs="Calibri" w:eastAsia="Calibri" w:hAnsi="Calibri"/>
            <w:sz w:val="22"/>
            <w:szCs w:val="22"/>
            <w:u w:val="single" w:color="auto"/>
            <w:color w:val="0000FF"/>
          </w:rPr>
          <w:t>Occupational Safety And Health</w:t>
        </w:r>
        <w:r>
          <w:rPr>
            <w:rFonts w:ascii="Calibri" w:cs="Calibri" w:eastAsia="Calibri" w:hAnsi="Calibri"/>
            <w:sz w:val="22"/>
            <w:szCs w:val="22"/>
            <w:color w:val="000000"/>
          </w:rPr>
          <w:t>.</w:t>
        </w:r>
      </w:hyperlink>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w:br w:type="column"/>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18" w:lineRule="exact"/>
        <w:rPr>
          <w:rFonts w:ascii="Calibri" w:cs="Calibri" w:eastAsia="Calibri" w:hAnsi="Calibri"/>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-88900</wp:posOffset>
                </wp:positionH>
                <wp:positionV relativeFrom="paragraph">
                  <wp:posOffset>-280035</wp:posOffset>
                </wp:positionV>
                <wp:extent cx="225679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6790" cy="4314190"/>
                        </a:xfrm>
                        <a:prstGeom prst="rect">
                          <a:avLst/>
                        </a:prstGeom>
                        <a:solidFill>
                          <a:srgbClr val="E9E6D7"/>
                        </a:solidFill>
                      </wps:spPr>
                      <wps:bodyPr/>
                    </wps:wsp>
                  </a:graphicData>
                </a:graphic>
              </wp:anchor>
            </w:drawing>
          </mc:Choice>
          <mc:Fallback>
            <w:pict>
              <v:rect id="Shape 2" o:spid="_x0000_s1027" style="position:absolute;margin-left:-7pt;margin-top:-22.0499pt;width:177.7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20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73 332 confirmed (1901 new)</w:t>
      </w:r>
    </w:p>
    <w:p>
      <w:pPr>
        <w:spacing w:after="0" w:line="292"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72 528 confirmed (1891 new)</w:t>
      </w:r>
    </w:p>
    <w:p>
      <w:pPr>
        <w:ind w:left="280"/>
        <w:spacing w:after="0" w:line="231" w:lineRule="auto"/>
        <w:rPr>
          <w:sz w:val="20"/>
          <w:szCs w:val="20"/>
          <w:color w:val="auto"/>
        </w:rPr>
      </w:pPr>
      <w:r>
        <w:rPr>
          <w:rFonts w:ascii="Calibri" w:cs="Calibri" w:eastAsia="Calibri" w:hAnsi="Calibri"/>
          <w:sz w:val="24"/>
          <w:szCs w:val="24"/>
          <w:color w:val="FF6600"/>
        </w:rPr>
        <w:t xml:space="preserve">1870 deaths (98 new) </w:t>
      </w:r>
      <w:r>
        <w:rPr>
          <w:rFonts w:ascii="Calibri" w:cs="Calibri" w:eastAsia="Calibri" w:hAnsi="Calibri"/>
          <w:sz w:val="32"/>
          <w:szCs w:val="32"/>
          <w:b w:val="1"/>
          <w:bCs w:val="1"/>
          <w:color w:val="FF6600"/>
          <w:vertAlign w:val="superscript"/>
        </w:rPr>
        <w:t>†</w:t>
      </w:r>
    </w:p>
    <w:p>
      <w:pPr>
        <w:spacing w:after="0" w:line="212"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Outside of China</w:t>
      </w:r>
    </w:p>
    <w:p>
      <w:pPr>
        <w:ind w:left="120"/>
        <w:spacing w:after="0"/>
        <w:rPr>
          <w:sz w:val="20"/>
          <w:szCs w:val="20"/>
          <w:color w:val="auto"/>
        </w:rPr>
      </w:pPr>
      <w:r>
        <w:rPr>
          <w:rFonts w:ascii="Calibri" w:cs="Calibri" w:eastAsia="Calibri" w:hAnsi="Calibri"/>
          <w:sz w:val="24"/>
          <w:szCs w:val="24"/>
          <w:color w:val="FF6600"/>
        </w:rPr>
        <w:t>804 confirmed (10 new)</w:t>
      </w:r>
    </w:p>
    <w:p>
      <w:pPr>
        <w:ind w:left="520" w:hanging="296"/>
        <w:spacing w:after="0"/>
        <w:tabs>
          <w:tab w:leader="none" w:pos="52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340"/>
        <w:spacing w:after="0"/>
        <w:rPr>
          <w:rFonts w:ascii="Calibri" w:cs="Calibri" w:eastAsia="Calibri" w:hAnsi="Calibri"/>
          <w:sz w:val="24"/>
          <w:szCs w:val="24"/>
          <w:color w:val="FF6600"/>
        </w:rPr>
      </w:pPr>
      <w:r>
        <w:rPr>
          <w:rFonts w:ascii="Calibri" w:cs="Calibri" w:eastAsia="Calibri" w:hAnsi="Calibri"/>
          <w:sz w:val="24"/>
          <w:szCs w:val="24"/>
          <w:color w:val="FF6600"/>
        </w:rPr>
        <w:t>3 deaths</w:t>
      </w:r>
    </w:p>
    <w:p>
      <w:pPr>
        <w:spacing w:after="0" w:line="292"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Calibri" w:cs="Calibri" w:eastAsia="Calibri" w:hAnsi="Calibri"/>
          <w:sz w:val="22"/>
          <w:szCs w:val="22"/>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rFonts w:ascii="Calibri" w:cs="Calibri" w:eastAsia="Calibri" w:hAnsi="Calibri"/>
          <w:sz w:val="22"/>
          <w:szCs w:val="22"/>
          <w:color w:val="auto"/>
        </w:rPr>
      </w:pPr>
    </w:p>
    <w:p>
      <w:pPr>
        <w:sectPr>
          <w:pgSz w:w="11920" w:h="16841" w:orient="portrait"/>
          <w:cols w:equalWidth="0" w:num="2">
            <w:col w:w="7600" w:space="420"/>
            <w:col w:w="3000"/>
          </w:cols>
          <w:pgMar w:left="400" w:top="521" w:right="491" w:bottom="0" w:gutter="0" w:footer="0" w:header="0"/>
        </w:sect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333" w:lineRule="exact"/>
        <w:rPr>
          <w:rFonts w:ascii="Calibri" w:cs="Calibri" w:eastAsia="Calibri" w:hAnsi="Calibri"/>
          <w:sz w:val="22"/>
          <w:szCs w:val="22"/>
          <w:color w:val="auto"/>
        </w:rPr>
      </w:pPr>
    </w:p>
    <w:p>
      <w:pPr>
        <w:ind w:left="48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18 February 2020</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w:drawing>
          <wp:anchor simplePos="0" relativeHeight="251657728" behindDoc="1" locked="0" layoutInCell="0" allowOverlap="1">
            <wp:simplePos x="0" y="0"/>
            <wp:positionH relativeFrom="column">
              <wp:posOffset>303530</wp:posOffset>
            </wp:positionH>
            <wp:positionV relativeFrom="paragraph">
              <wp:posOffset>223520</wp:posOffset>
            </wp:positionV>
            <wp:extent cx="6447790" cy="36302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447790" cy="3630295"/>
                    </a:xfrm>
                    <a:prstGeom prst="rect">
                      <a:avLst/>
                    </a:prstGeom>
                    <a:noFill/>
                  </pic:spPr>
                </pic:pic>
              </a:graphicData>
            </a:graphic>
          </wp:anchor>
        </w:drawing>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12" w:lineRule="exact"/>
        <w:rPr>
          <w:rFonts w:ascii="Calibri" w:cs="Calibri" w:eastAsia="Calibri" w:hAnsi="Calibri"/>
          <w:sz w:val="22"/>
          <w:szCs w:val="22"/>
          <w:color w:val="auto"/>
        </w:rPr>
      </w:pPr>
    </w:p>
    <w:p>
      <w:pPr>
        <w:ind w:left="160" w:right="3640"/>
        <w:spacing w:after="0" w:line="218" w:lineRule="auto"/>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 †As reported by China</w:t>
      </w:r>
    </w:p>
    <w:p>
      <w:pPr>
        <w:sectPr>
          <w:pgSz w:w="11920" w:h="16841" w:orient="portrait"/>
          <w:cols w:equalWidth="0" w:num="1">
            <w:col w:w="11020"/>
          </w:cols>
          <w:pgMar w:left="400" w:top="521" w:right="491"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TECHNICAL FOCUS: Operations Support and Logistics</w:t>
      </w:r>
    </w:p>
    <w:p>
      <w:pPr>
        <w:spacing w:after="0" w:line="324" w:lineRule="exact"/>
        <w:rPr>
          <w:sz w:val="20"/>
          <w:szCs w:val="20"/>
          <w:color w:val="auto"/>
        </w:rPr>
      </w:pPr>
    </w:p>
    <w:p>
      <w:pPr>
        <w:jc w:val="both"/>
        <w:spacing w:after="0" w:line="265" w:lineRule="auto"/>
        <w:rPr>
          <w:sz w:val="20"/>
          <w:szCs w:val="20"/>
          <w:color w:val="auto"/>
        </w:rPr>
      </w:pPr>
      <w:r>
        <w:rPr>
          <w:rFonts w:ascii="Calibri" w:cs="Calibri" w:eastAsia="Calibri" w:hAnsi="Calibri"/>
          <w:sz w:val="22"/>
          <w:szCs w:val="22"/>
          <w:color w:val="auto"/>
        </w:rPr>
        <w:t>WHO Operations Support and Logistics (OSL) continues to gather and assess the needs of Member States for critical items such as personal protective equipment (PPE). The country- level perspective is aggregated to obtain a global view on the overall demand for PPE necessary for frontline healthcare workers. Due to the growing demand and consumption of PPE, OSL is collaborating with WHO disease specialists to develop and disseminate a guiding document on the rational use of PPE.</w:t>
      </w:r>
    </w:p>
    <w:p>
      <w:pPr>
        <w:spacing w:after="0" w:line="371" w:lineRule="exact"/>
        <w:rPr>
          <w:sz w:val="20"/>
          <w:szCs w:val="20"/>
          <w:color w:val="auto"/>
        </w:rPr>
      </w:pPr>
    </w:p>
    <w:p>
      <w:pPr>
        <w:jc w:val="both"/>
        <w:spacing w:after="0" w:line="236" w:lineRule="auto"/>
        <w:rPr>
          <w:sz w:val="20"/>
          <w:szCs w:val="20"/>
          <w:color w:val="auto"/>
        </w:rPr>
      </w:pPr>
      <w:r>
        <w:rPr>
          <w:rFonts w:ascii="Calibri" w:cs="Calibri" w:eastAsia="Calibri" w:hAnsi="Calibri"/>
          <w:sz w:val="22"/>
          <w:szCs w:val="22"/>
          <w:color w:val="auto"/>
        </w:rPr>
        <w:t>In the meantime, OSL continues to accelerate the work of the Pandemic Supply Chain Network (PSCN), which includes manufacturers of medical products and medicines, medical distributors, and logistics providers.</w:t>
      </w:r>
    </w:p>
    <w:p>
      <w:pPr>
        <w:spacing w:after="0" w:line="398" w:lineRule="exact"/>
        <w:rPr>
          <w:sz w:val="20"/>
          <w:szCs w:val="20"/>
          <w:color w:val="auto"/>
        </w:rPr>
      </w:pPr>
    </w:p>
    <w:p>
      <w:pPr>
        <w:jc w:val="both"/>
        <w:spacing w:after="0" w:line="269" w:lineRule="auto"/>
        <w:rPr>
          <w:rFonts w:ascii="Calibri" w:cs="Calibri" w:eastAsia="Calibri" w:hAnsi="Calibri"/>
          <w:sz w:val="22"/>
          <w:szCs w:val="22"/>
          <w:color w:val="0000FF"/>
        </w:rPr>
      </w:pPr>
      <w:r>
        <w:rPr>
          <w:rFonts w:ascii="Calibri" w:cs="Calibri" w:eastAsia="Calibri" w:hAnsi="Calibri"/>
          <w:sz w:val="22"/>
          <w:szCs w:val="22"/>
          <w:color w:val="auto"/>
        </w:rPr>
        <w:t xml:space="preserve">Since the activation of the PSCN, the market for PPE continues to experience unprecedented demand. Government export restrictions have continued to limit the supply of products across borders. The PSCN is continuously exploring options with its stakeholders to alleviate the demand and increase the supply to ensure access to PPE for those countries most vulnerable and most in need. This includes working with WHO technical specialists to advocate via the PSCN on the proper use of PPE, understanding the potential for manufacturing expansion outside China (a major source of crucial commodities), and working with stakeholders to support the prioritization of PPE for frontline healthcare workers. The PSCN will also prepare for any bottlenecks in the market for other supplies as listed in the </w:t>
      </w:r>
      <w:hyperlink r:id="rId11">
        <w:r>
          <w:rPr>
            <w:rFonts w:ascii="Calibri" w:cs="Calibri" w:eastAsia="Calibri" w:hAnsi="Calibri"/>
            <w:sz w:val="22"/>
            <w:szCs w:val="22"/>
            <w:u w:val="single" w:color="auto"/>
            <w:color w:val="0000FF"/>
          </w:rPr>
          <w:t>Disease Commodity Package</w:t>
        </w:r>
        <w:r>
          <w:rPr>
            <w:rFonts w:ascii="Calibri" w:cs="Calibri" w:eastAsia="Calibri" w:hAnsi="Calibri"/>
            <w:sz w:val="22"/>
            <w:szCs w:val="22"/>
            <w:color w:val="000000"/>
          </w:rPr>
          <w:t>.</w:t>
        </w:r>
      </w:hyperlink>
    </w:p>
    <w:p>
      <w:pPr>
        <w:spacing w:after="0" w:line="372" w:lineRule="exact"/>
        <w:rPr>
          <w:sz w:val="20"/>
          <w:szCs w:val="20"/>
          <w:color w:val="auto"/>
        </w:rPr>
      </w:pPr>
    </w:p>
    <w:p>
      <w:pPr>
        <w:jc w:val="both"/>
        <w:spacing w:after="0" w:line="236" w:lineRule="auto"/>
        <w:rPr>
          <w:sz w:val="20"/>
          <w:szCs w:val="20"/>
          <w:color w:val="auto"/>
        </w:rPr>
      </w:pPr>
      <w:r>
        <w:rPr>
          <w:rFonts w:ascii="Calibri" w:cs="Calibri" w:eastAsia="Calibri" w:hAnsi="Calibri"/>
          <w:sz w:val="22"/>
          <w:szCs w:val="22"/>
          <w:color w:val="auto"/>
        </w:rPr>
        <w:t>On 14 February, OSL started the dispatch of COVID-19 laboratory testing kits for 56 countries. As of 17 February, 37 shipments have been dispatched to 34 countries and three regional offices.</w:t>
      </w:r>
    </w:p>
    <w:p>
      <w:pPr>
        <w:spacing w:after="0" w:line="398" w:lineRule="exact"/>
        <w:rPr>
          <w:sz w:val="20"/>
          <w:szCs w:val="20"/>
          <w:color w:val="auto"/>
        </w:rPr>
      </w:pPr>
    </w:p>
    <w:p>
      <w:pPr>
        <w:jc w:val="both"/>
        <w:spacing w:after="0" w:line="254" w:lineRule="auto"/>
        <w:rPr>
          <w:sz w:val="20"/>
          <w:szCs w:val="20"/>
          <w:color w:val="auto"/>
        </w:rPr>
      </w:pPr>
      <w:r>
        <w:rPr>
          <w:rFonts w:ascii="Calibri" w:cs="Calibri" w:eastAsia="Calibri" w:hAnsi="Calibri"/>
          <w:sz w:val="22"/>
          <w:szCs w:val="22"/>
          <w:color w:val="auto"/>
        </w:rPr>
        <w:t>The WHO global supply team had already dispatched 28 PPE shipments totalling more than 12 000 kg to priority countries in the Western Pacific, South-East Asia and African regions. Another 24 shipments are being processed this week to cover other priority countries.</w:t>
      </w:r>
    </w:p>
    <w:p>
      <w:pPr>
        <w:spacing w:after="0" w:line="384" w:lineRule="exact"/>
        <w:rPr>
          <w:sz w:val="20"/>
          <w:szCs w:val="20"/>
          <w:color w:val="auto"/>
        </w:rPr>
      </w:pPr>
    </w:p>
    <w:p>
      <w:pPr>
        <w:jc w:val="both"/>
        <w:spacing w:after="0" w:line="265" w:lineRule="auto"/>
        <w:rPr>
          <w:sz w:val="20"/>
          <w:szCs w:val="20"/>
          <w:color w:val="auto"/>
        </w:rPr>
      </w:pPr>
      <w:r>
        <w:rPr>
          <w:rFonts w:ascii="Calibri" w:cs="Calibri" w:eastAsia="Calibri" w:hAnsi="Calibri"/>
          <w:sz w:val="22"/>
          <w:szCs w:val="22"/>
          <w:color w:val="auto"/>
        </w:rPr>
        <w:t>With the technical support of the WHO Infection Prevention &amp; Control (IPC) team, OSL continues to update the Disease Commodity Package (DCP) for COVID-19. This document provides the technical guidance and specifications on the critical supplies necessary to fight COVID-19. Responding organizations and countries preparing and responding to COVID-19 are able to use the DCP to secure the correct supplies in the areas of surveillance, prevention and control, and case management.</w:t>
      </w:r>
    </w:p>
    <w:p>
      <w:pPr>
        <w:sectPr>
          <w:pgSz w:w="11920" w:h="16841" w:orient="portrait"/>
          <w:cols w:equalWidth="0" w:num="1">
            <w:col w:w="10480"/>
          </w:cols>
          <w:pgMar w:left="720" w:top="899" w:right="711" w:bottom="1440" w:gutter="0" w:footer="0" w:header="0"/>
        </w:sectPr>
      </w:pPr>
    </w:p>
    <w:bookmarkStart w:id="2" w:name="page3"/>
    <w:bookmarkEnd w:id="2"/>
    <w:p>
      <w:pPr>
        <w:ind w:left="10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100" w:right="10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18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372"/>
        </w:trPr>
        <w:tc>
          <w:tcPr>
            <w:tcW w:w="120" w:type="dxa"/>
            <w:vAlign w:val="bottom"/>
            <w:tcBorders>
              <w:top w:val="single" w:sz="8" w:color="auto"/>
              <w:left w:val="single" w:sz="8" w:color="auto"/>
            </w:tcBorders>
            <w:shd w:val="clear" w:color="auto" w:fill="5B9BD5"/>
          </w:tcPr>
          <w:p>
            <w:pPr>
              <w:spacing w:after="0"/>
              <w:rPr>
                <w:sz w:val="24"/>
                <w:szCs w:val="24"/>
                <w:color w:val="auto"/>
              </w:rPr>
            </w:pPr>
          </w:p>
        </w:tc>
        <w:tc>
          <w:tcPr>
            <w:tcW w:w="174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100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7"/>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128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5B9BD5"/>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1440" w:type="dxa"/>
            <w:vAlign w:val="bottom"/>
            <w:tcBorders>
              <w:top w:val="single" w:sz="8" w:color="auto"/>
              <w:right w:val="single" w:sz="8" w:color="5B9BD5"/>
            </w:tcBorders>
            <w:gridSpan w:val="2"/>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Daily</w:t>
            </w:r>
          </w:p>
        </w:tc>
        <w:tc>
          <w:tcPr>
            <w:tcW w:w="80" w:type="dxa"/>
            <w:vAlign w:val="bottom"/>
            <w:tcBorders>
              <w:top w:val="single" w:sz="8" w:color="auto"/>
            </w:tcBorders>
            <w:shd w:val="clear" w:color="auto" w:fill="5B9BD5"/>
          </w:tcPr>
          <w:p>
            <w:pPr>
              <w:spacing w:after="0"/>
              <w:rPr>
                <w:sz w:val="24"/>
                <w:szCs w:val="24"/>
                <w:color w:val="auto"/>
              </w:rPr>
            </w:pPr>
          </w:p>
        </w:tc>
        <w:tc>
          <w:tcPr>
            <w:tcW w:w="106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0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20" w:type="dxa"/>
            <w:vAlign w:val="bottom"/>
            <w:tcBorders>
              <w:left w:val="single" w:sz="8" w:color="auto"/>
              <w:bottom w:val="single" w:sz="8" w:color="5B9BD5"/>
            </w:tcBorders>
            <w:shd w:val="clear" w:color="auto" w:fill="5B9BD5"/>
          </w:tcPr>
          <w:p>
            <w:pPr>
              <w:spacing w:after="0"/>
              <w:rPr>
                <w:sz w:val="13"/>
                <w:szCs w:val="13"/>
                <w:color w:val="auto"/>
              </w:rPr>
            </w:pPr>
          </w:p>
        </w:tc>
        <w:tc>
          <w:tcPr>
            <w:tcW w:w="174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0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8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6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20" w:type="dxa"/>
            <w:vAlign w:val="bottom"/>
            <w:tcBorders>
              <w:top w:val="single" w:sz="8" w:color="5B9BD5"/>
              <w:left w:val="single" w:sz="8" w:color="auto"/>
            </w:tcBorders>
            <w:shd w:val="clear" w:color="auto" w:fill="5B9BD5"/>
          </w:tcPr>
          <w:p>
            <w:pPr>
              <w:spacing w:after="0"/>
              <w:rPr>
                <w:sz w:val="7"/>
                <w:szCs w:val="7"/>
                <w:color w:val="auto"/>
              </w:rPr>
            </w:pPr>
          </w:p>
        </w:tc>
        <w:tc>
          <w:tcPr>
            <w:tcW w:w="1740" w:type="dxa"/>
            <w:vAlign w:val="bottom"/>
            <w:tcBorders>
              <w:top w:val="single" w:sz="8" w:color="5B9BD5"/>
            </w:tcBorders>
            <w:vMerge w:val="restart"/>
            <w:shd w:val="clear" w:color="auto" w:fill="5B9BD5"/>
          </w:tcPr>
          <w:p>
            <w:pPr>
              <w:jc w:val="center"/>
              <w:spacing w:after="0" w:line="219" w:lineRule="exact"/>
              <w:rPr>
                <w:sz w:val="20"/>
                <w:szCs w:val="20"/>
                <w:color w:val="auto"/>
              </w:rPr>
            </w:pPr>
            <w:r>
              <w:rPr>
                <w:rFonts w:ascii="Calibri" w:cs="Calibri" w:eastAsia="Calibri" w:hAnsi="Calibri"/>
                <w:sz w:val="22"/>
                <w:szCs w:val="22"/>
                <w:b w:val="1"/>
                <w:bCs w:val="1"/>
                <w:color w:val="FFFFFF"/>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100" w:type="dxa"/>
            <w:vAlign w:val="bottom"/>
            <w:tcBorders>
              <w:top w:val="single" w:sz="8" w:color="5B9BD5"/>
            </w:tcBorders>
            <w:shd w:val="clear" w:color="auto" w:fill="5B9BD5"/>
          </w:tcPr>
          <w:p>
            <w:pPr>
              <w:spacing w:after="0"/>
              <w:rPr>
                <w:sz w:val="7"/>
                <w:szCs w:val="7"/>
                <w:color w:val="auto"/>
              </w:rPr>
            </w:pPr>
          </w:p>
        </w:tc>
        <w:tc>
          <w:tcPr>
            <w:tcW w:w="100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8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06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20" w:type="dxa"/>
            <w:vAlign w:val="bottom"/>
            <w:tcBorders>
              <w:left w:val="single" w:sz="8" w:color="auto"/>
            </w:tcBorders>
            <w:shd w:val="clear" w:color="auto" w:fill="5B9BD5"/>
          </w:tcPr>
          <w:p>
            <w:pPr>
              <w:spacing w:after="0"/>
              <w:rPr>
                <w:sz w:val="12"/>
                <w:szCs w:val="12"/>
                <w:color w:val="auto"/>
              </w:rPr>
            </w:pPr>
          </w:p>
        </w:tc>
        <w:tc>
          <w:tcPr>
            <w:tcW w:w="17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8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60" w:type="dxa"/>
            <w:vAlign w:val="bottom"/>
            <w:vMerge w:val="restart"/>
            <w:shd w:val="clear" w:color="auto" w:fill="5B9BD5"/>
          </w:tcPr>
          <w:p>
            <w:pPr>
              <w:ind w:left="22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20" w:type="dxa"/>
            <w:vAlign w:val="bottom"/>
            <w:tcBorders>
              <w:left w:val="single" w:sz="8" w:color="auto"/>
            </w:tcBorders>
            <w:shd w:val="clear" w:color="auto" w:fill="5B9BD5"/>
          </w:tcPr>
          <w:p>
            <w:pPr>
              <w:spacing w:after="0"/>
              <w:rPr>
                <w:sz w:val="11"/>
                <w:szCs w:val="11"/>
                <w:color w:val="auto"/>
              </w:rPr>
            </w:pPr>
          </w:p>
        </w:tc>
        <w:tc>
          <w:tcPr>
            <w:tcW w:w="174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w w:val="96"/>
              </w:rPr>
              <w:t>City</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8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6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20" w:type="dxa"/>
            <w:vAlign w:val="bottom"/>
            <w:tcBorders>
              <w:left w:val="single" w:sz="8" w:color="auto"/>
            </w:tcBorders>
            <w:shd w:val="clear" w:color="auto" w:fill="5B9BD5"/>
          </w:tcPr>
          <w:p>
            <w:pPr>
              <w:spacing w:after="0"/>
              <w:rPr>
                <w:sz w:val="12"/>
                <w:szCs w:val="12"/>
                <w:color w:val="auto"/>
              </w:rPr>
            </w:pPr>
          </w:p>
        </w:tc>
        <w:tc>
          <w:tcPr>
            <w:tcW w:w="17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0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8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20" w:type="dxa"/>
            <w:vAlign w:val="bottom"/>
            <w:tcBorders>
              <w:left w:val="single" w:sz="8" w:color="auto"/>
            </w:tcBorders>
            <w:shd w:val="clear" w:color="auto" w:fill="5B9BD5"/>
          </w:tcPr>
          <w:p>
            <w:pPr>
              <w:spacing w:after="0"/>
              <w:rPr>
                <w:sz w:val="11"/>
                <w:szCs w:val="11"/>
                <w:color w:val="auto"/>
              </w:rPr>
            </w:pPr>
          </w:p>
        </w:tc>
        <w:tc>
          <w:tcPr>
            <w:tcW w:w="17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8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120" w:type="dxa"/>
            <w:vAlign w:val="bottom"/>
            <w:tcBorders>
              <w:left w:val="single" w:sz="8" w:color="auto"/>
              <w:bottom w:val="single" w:sz="8" w:color="auto"/>
            </w:tcBorders>
            <w:shd w:val="clear" w:color="auto" w:fill="5B9BD5"/>
          </w:tcPr>
          <w:p>
            <w:pPr>
              <w:spacing w:after="0"/>
              <w:rPr>
                <w:sz w:val="8"/>
                <w:szCs w:val="8"/>
                <w:color w:val="auto"/>
              </w:rPr>
            </w:pPr>
          </w:p>
        </w:tc>
        <w:tc>
          <w:tcPr>
            <w:tcW w:w="17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8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87"/>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5917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1807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788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59989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1789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11346</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1328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102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1257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5737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1172</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1007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6324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982</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933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Jiangsu</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8051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629</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Chongqing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3102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50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553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10047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17</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543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508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3773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464</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49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387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2424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65</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333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302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3941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292</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4926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242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3864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172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934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163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3718</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130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Tianjin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1560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83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125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4359</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64</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121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2637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Jilin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2704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89</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Xinjiang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2487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Inner Mongolia</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2534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73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Ningxia</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5"/>
              </w:rPr>
              <w:t>688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Hong Kong SAR</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745</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60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8"/>
                <w:shd w:val="clear" w:color="auto" w:fill="DDEBF7"/>
              </w:rPr>
              <w:t>Taipei and environs</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603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344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Total</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142823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1891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1432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72528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1870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bl>
    <w:p>
      <w:pPr>
        <w:ind w:left="100"/>
        <w:spacing w:after="0" w:line="234" w:lineRule="auto"/>
        <w:rPr>
          <w:sz w:val="20"/>
          <w:szCs w:val="20"/>
          <w:color w:val="auto"/>
        </w:rPr>
      </w:pPr>
      <w:r>
        <w:rPr>
          <w:rFonts w:ascii="Calibri" w:cs="Calibri" w:eastAsia="Calibri" w:hAnsi="Calibri"/>
          <w:sz w:val="22"/>
          <w:szCs w:val="22"/>
          <w:b w:val="1"/>
          <w:bCs w:val="1"/>
          <w:color w:val="auto"/>
        </w:rPr>
        <w:t>*</w:t>
      </w:r>
      <w:r>
        <w:rPr>
          <w:rFonts w:ascii="Calibri" w:cs="Calibri" w:eastAsia="Calibri" w:hAnsi="Calibri"/>
          <w:sz w:val="18"/>
          <w:szCs w:val="18"/>
          <w:color w:val="auto"/>
        </w:rPr>
        <w:t>‘Confirmed’</w:t>
      </w:r>
      <w:r>
        <w:rPr>
          <w:rFonts w:ascii="Calibri" w:cs="Calibri" w:eastAsia="Calibri" w:hAnsi="Calibri"/>
          <w:sz w:val="22"/>
          <w:szCs w:val="22"/>
          <w:b w:val="1"/>
          <w:bCs w:val="1"/>
          <w:color w:val="auto"/>
        </w:rPr>
        <w:t xml:space="preserve"> </w:t>
      </w:r>
      <w:r>
        <w:rPr>
          <w:rFonts w:ascii="Calibri" w:cs="Calibri" w:eastAsia="Calibri" w:hAnsi="Calibri"/>
          <w:sz w:val="18"/>
          <w:szCs w:val="18"/>
          <w:color w:val="auto"/>
        </w:rPr>
        <w:t>cases include both laboratory confirmed and clinically diagnosed cases (currently only applicable to Hubei province, China)</w:t>
      </w:r>
    </w:p>
    <w:p>
      <w:pPr>
        <w:sectPr>
          <w:pgSz w:w="11920" w:h="16841" w:orient="portrait"/>
          <w:cols w:equalWidth="0" w:num="1">
            <w:col w:w="10580"/>
          </w:cols>
          <w:pgMar w:left="620" w:top="899" w:right="711" w:bottom="1440" w:gutter="0" w:footer="0" w:header="0"/>
        </w:sectPr>
      </w:pPr>
    </w:p>
    <w:bookmarkStart w:id="3" w:name="page4"/>
    <w:bookmarkEnd w:id="3"/>
    <w:p>
      <w:pPr>
        <w:ind w:left="360" w:right="840"/>
        <w:spacing w:after="0" w:line="21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18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424"/>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shd w:val="clear" w:color="auto" w:fill="4F81BD"/>
          </w:tcPr>
          <w:p>
            <w:pPr>
              <w:spacing w:after="0"/>
              <w:rPr>
                <w:sz w:val="24"/>
                <w:szCs w:val="24"/>
                <w:color w:val="auto"/>
              </w:rPr>
            </w:pP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100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2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 cases with</w:t>
            </w:r>
          </w:p>
        </w:tc>
        <w:tc>
          <w:tcPr>
            <w:tcW w:w="154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cases with</w:t>
            </w: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cases with</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possible or</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site of</w:t>
            </w:r>
          </w:p>
        </w:tc>
        <w:tc>
          <w:tcPr>
            <w:tcW w:w="126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2"/>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WHO Region</w:t>
            </w:r>
          </w:p>
        </w:tc>
        <w:tc>
          <w:tcPr>
            <w:tcW w:w="2240" w:type="dxa"/>
            <w:vAlign w:val="bottom"/>
            <w:tcBorders>
              <w:right w:val="single" w:sz="8" w:color="auto"/>
            </w:tcBorders>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60" w:type="dxa"/>
            <w:vAlign w:val="bottom"/>
            <w:tcBorders>
              <w:right w:val="single" w:sz="8" w:color="auto"/>
            </w:tcBorders>
            <w:shd w:val="clear" w:color="auto" w:fill="4F81BD"/>
          </w:tcPr>
          <w:p>
            <w:pPr>
              <w:ind w:left="100"/>
              <w:spacing w:after="0" w:line="272" w:lineRule="exact"/>
              <w:rPr>
                <w:sz w:val="20"/>
                <w:szCs w:val="20"/>
                <w:color w:val="auto"/>
              </w:rPr>
            </w:pPr>
            <w:r>
              <w:rPr>
                <w:rFonts w:ascii="Calibri" w:cs="Calibri" w:eastAsia="Calibri" w:hAnsi="Calibri"/>
                <w:sz w:val="22"/>
                <w:szCs w:val="22"/>
                <w:b w:val="1"/>
                <w:bCs w:val="1"/>
                <w:color w:val="FFFFFF"/>
                <w:shd w:val="clear" w:color="auto" w:fill="4F81BD"/>
              </w:rPr>
              <w:t>Confirmed</w:t>
            </w:r>
            <w:r>
              <w:rPr>
                <w:rFonts w:ascii="Calibri" w:cs="Calibri" w:eastAsia="Calibri" w:hAnsi="Calibri"/>
                <w:sz w:val="27"/>
                <w:szCs w:val="27"/>
                <w:b w:val="1"/>
                <w:bCs w:val="1"/>
                <w:color w:val="FFFFFF"/>
                <w:vertAlign w:val="superscript"/>
                <w:shd w:val="clear" w:color="auto" w:fill="4F81BD"/>
              </w:rPr>
              <w:t>*</w:t>
            </w:r>
          </w:p>
        </w:tc>
        <w:tc>
          <w:tcPr>
            <w:tcW w:w="1000" w:type="dxa"/>
            <w:vAlign w:val="bottom"/>
            <w:tcBorders>
              <w:right w:val="single" w:sz="8" w:color="auto"/>
            </w:tcBorders>
            <w:shd w:val="clear" w:color="auto" w:fill="4F81BD"/>
          </w:tcPr>
          <w:p>
            <w:pPr>
              <w:jc w:val="center"/>
              <w:spacing w:after="0" w:line="267" w:lineRule="exact"/>
              <w:rPr>
                <w:sz w:val="20"/>
                <w:szCs w:val="20"/>
                <w:color w:val="auto"/>
              </w:rPr>
            </w:pPr>
            <w:r>
              <w:rPr>
                <w:rFonts w:ascii="Calibri" w:cs="Calibri" w:eastAsia="Calibri" w:hAnsi="Calibri"/>
                <w:sz w:val="22"/>
                <w:szCs w:val="22"/>
                <w:b w:val="1"/>
                <w:bCs w:val="1"/>
                <w:color w:val="FFFFFF"/>
              </w:rPr>
              <w:t>travel</w:t>
            </w:r>
          </w:p>
        </w:tc>
        <w:tc>
          <w:tcPr>
            <w:tcW w:w="1620" w:type="dxa"/>
            <w:vAlign w:val="bottom"/>
            <w:tcBorders>
              <w:right w:val="single" w:sz="8" w:color="auto"/>
            </w:tcBorders>
            <w:shd w:val="clear" w:color="auto" w:fill="4F81BD"/>
          </w:tcPr>
          <w:p>
            <w:pPr>
              <w:jc w:val="center"/>
              <w:spacing w:after="0" w:line="267" w:lineRule="exact"/>
              <w:rPr>
                <w:sz w:val="20"/>
                <w:szCs w:val="20"/>
                <w:color w:val="auto"/>
              </w:rPr>
            </w:pPr>
            <w:r>
              <w:rPr>
                <w:rFonts w:ascii="Calibri" w:cs="Calibri" w:eastAsia="Calibri" w:hAnsi="Calibri"/>
                <w:sz w:val="22"/>
                <w:szCs w:val="22"/>
                <w:b w:val="1"/>
                <w:bCs w:val="1"/>
                <w:color w:val="FFFFFF"/>
              </w:rPr>
              <w:t>confirmed</w:t>
            </w:r>
          </w:p>
        </w:tc>
        <w:tc>
          <w:tcPr>
            <w:tcW w:w="1540" w:type="dxa"/>
            <w:vAlign w:val="bottom"/>
            <w:tcBorders>
              <w:right w:val="single" w:sz="8" w:color="auto"/>
            </w:tcBorders>
            <w:shd w:val="clear" w:color="auto" w:fill="4F81BD"/>
          </w:tcPr>
          <w:p>
            <w:pPr>
              <w:jc w:val="center"/>
              <w:spacing w:after="0" w:line="267" w:lineRule="exact"/>
              <w:rPr>
                <w:sz w:val="20"/>
                <w:szCs w:val="20"/>
                <w:color w:val="auto"/>
              </w:rPr>
            </w:pPr>
            <w:r>
              <w:rPr>
                <w:rFonts w:ascii="Calibri" w:cs="Calibri" w:eastAsia="Calibri" w:hAnsi="Calibri"/>
                <w:sz w:val="22"/>
                <w:szCs w:val="22"/>
                <w:b w:val="1"/>
                <w:bCs w:val="1"/>
                <w:color w:val="FFFFFF"/>
                <w:shd w:val="clear" w:color="auto" w:fill="4F81BD"/>
              </w:rPr>
              <w:t>transmission</w:t>
            </w:r>
          </w:p>
        </w:tc>
        <w:tc>
          <w:tcPr>
            <w:tcW w:w="1260" w:type="dxa"/>
            <w:vAlign w:val="bottom"/>
            <w:tcBorders>
              <w:right w:val="single" w:sz="8" w:color="auto"/>
            </w:tcBorders>
            <w:shd w:val="clear" w:color="auto" w:fill="4F81BD"/>
          </w:tcPr>
          <w:p>
            <w:pPr>
              <w:jc w:val="center"/>
              <w:spacing w:after="0" w:line="267" w:lineRule="exact"/>
              <w:rPr>
                <w:sz w:val="20"/>
                <w:szCs w:val="20"/>
                <w:color w:val="auto"/>
              </w:rPr>
            </w:pPr>
            <w:r>
              <w:rPr>
                <w:rFonts w:ascii="Calibri" w:cs="Calibri" w:eastAsia="Calibri" w:hAnsi="Calibri"/>
                <w:sz w:val="22"/>
                <w:szCs w:val="22"/>
                <w:b w:val="1"/>
                <w:bCs w:val="1"/>
                <w:color w:val="FFFFFF"/>
                <w:shd w:val="clear" w:color="auto" w:fill="4F81BD"/>
              </w:rPr>
              <w:t>Total deaths</w:t>
            </w:r>
          </w:p>
        </w:tc>
        <w:tc>
          <w:tcPr>
            <w:tcW w:w="0" w:type="dxa"/>
            <w:vAlign w:val="bottom"/>
          </w:tcPr>
          <w:p>
            <w:pPr>
              <w:spacing w:after="0"/>
              <w:rPr>
                <w:sz w:val="1"/>
                <w:szCs w:val="1"/>
                <w:color w:val="auto"/>
              </w:rPr>
            </w:pPr>
          </w:p>
        </w:tc>
      </w:tr>
      <w:tr>
        <w:trPr>
          <w:trHeight w:val="128"/>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80"/>
              <w:spacing w:after="0" w:line="262" w:lineRule="exact"/>
              <w:rPr>
                <w:sz w:val="20"/>
                <w:szCs w:val="20"/>
                <w:color w:val="auto"/>
              </w:rPr>
            </w:pPr>
            <w:r>
              <w:rPr>
                <w:rFonts w:ascii="Calibri" w:cs="Calibri" w:eastAsia="Calibri" w:hAnsi="Calibri"/>
                <w:sz w:val="22"/>
                <w:szCs w:val="22"/>
                <w:b w:val="1"/>
                <w:bCs w:val="1"/>
                <w:color w:val="FFFFFF"/>
              </w:rPr>
              <w:t>cases (new)</w:t>
            </w:r>
          </w:p>
        </w:tc>
        <w:tc>
          <w:tcPr>
            <w:tcW w:w="100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shd w:val="clear" w:color="auto" w:fill="4F81BD"/>
              </w:rPr>
              <w:t>history to</w:t>
            </w:r>
          </w:p>
        </w:tc>
        <w:tc>
          <w:tcPr>
            <w:tcW w:w="162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transmission</w:t>
            </w:r>
          </w:p>
        </w:tc>
        <w:tc>
          <w:tcPr>
            <w:tcW w:w="154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under</w:t>
            </w:r>
          </w:p>
        </w:tc>
        <w:tc>
          <w:tcPr>
            <w:tcW w:w="126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(new)</w:t>
            </w: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75"/>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China</w:t>
            </w:r>
          </w:p>
        </w:tc>
        <w:tc>
          <w:tcPr>
            <w:tcW w:w="1620" w:type="dxa"/>
            <w:vAlign w:val="bottom"/>
            <w:tcBorders>
              <w:right w:val="single" w:sz="8" w:color="auto"/>
            </w:tcBorders>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shd w:val="clear" w:color="auto" w:fill="4F81BD"/>
              </w:rPr>
              <w:t>outside of China</w:t>
            </w:r>
            <w:r>
              <w:rPr>
                <w:rFonts w:ascii="Calibri" w:cs="Calibri" w:eastAsia="Calibri" w:hAnsi="Calibri"/>
                <w:sz w:val="27"/>
                <w:szCs w:val="27"/>
                <w:b w:val="1"/>
                <w:bCs w:val="1"/>
                <w:color w:val="FFFFFF"/>
                <w:w w:val="98"/>
                <w:vertAlign w:val="superscript"/>
                <w:shd w:val="clear" w:color="auto" w:fill="4F81BD"/>
              </w:rPr>
              <w:t>†</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investigation</w:t>
            </w:r>
          </w:p>
        </w:tc>
        <w:tc>
          <w:tcPr>
            <w:tcW w:w="126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63"/>
        </w:trPr>
        <w:tc>
          <w:tcPr>
            <w:tcW w:w="2280" w:type="dxa"/>
            <w:vAlign w:val="bottom"/>
            <w:tcBorders>
              <w:left w:val="single" w:sz="8" w:color="auto"/>
              <w:right w:val="single" w:sz="8" w:color="auto"/>
            </w:tcBorders>
            <w:shd w:val="clear" w:color="auto" w:fill="4F81BD"/>
          </w:tcPr>
          <w:p>
            <w:pPr>
              <w:spacing w:after="0"/>
              <w:rPr>
                <w:sz w:val="22"/>
                <w:szCs w:val="22"/>
                <w:color w:val="auto"/>
              </w:rPr>
            </w:pPr>
          </w:p>
        </w:tc>
        <w:tc>
          <w:tcPr>
            <w:tcW w:w="2240" w:type="dxa"/>
            <w:vAlign w:val="bottom"/>
            <w:tcBorders>
              <w:right w:val="single" w:sz="8" w:color="auto"/>
            </w:tcBorders>
            <w:shd w:val="clear" w:color="auto" w:fill="4F81BD"/>
          </w:tcPr>
          <w:p>
            <w:pPr>
              <w:spacing w:after="0"/>
              <w:rPr>
                <w:sz w:val="22"/>
                <w:szCs w:val="22"/>
                <w:color w:val="auto"/>
              </w:rPr>
            </w:pPr>
          </w:p>
        </w:tc>
        <w:tc>
          <w:tcPr>
            <w:tcW w:w="1260" w:type="dxa"/>
            <w:vAlign w:val="bottom"/>
            <w:tcBorders>
              <w:right w:val="single" w:sz="8" w:color="auto"/>
            </w:tcBorders>
            <w:shd w:val="clear" w:color="auto" w:fill="4F81BD"/>
          </w:tcPr>
          <w:p>
            <w:pPr>
              <w:spacing w:after="0"/>
              <w:rPr>
                <w:sz w:val="22"/>
                <w:szCs w:val="22"/>
                <w:color w:val="auto"/>
              </w:rPr>
            </w:pPr>
          </w:p>
        </w:tc>
        <w:tc>
          <w:tcPr>
            <w:tcW w:w="1000" w:type="dxa"/>
            <w:vAlign w:val="bottom"/>
            <w:tcBorders>
              <w:right w:val="single" w:sz="8" w:color="auto"/>
            </w:tcBorders>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(new)</w:t>
            </w:r>
          </w:p>
        </w:tc>
        <w:tc>
          <w:tcPr>
            <w:tcW w:w="1620" w:type="dxa"/>
            <w:vAlign w:val="bottom"/>
            <w:tcBorders>
              <w:right w:val="single" w:sz="8" w:color="auto"/>
            </w:tcBorders>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8"/>
              </w:rPr>
              <w:t>(new)</w:t>
            </w:r>
          </w:p>
        </w:tc>
        <w:tc>
          <w:tcPr>
            <w:tcW w:w="1540" w:type="dxa"/>
            <w:vAlign w:val="bottom"/>
            <w:tcBorders>
              <w:right w:val="single" w:sz="8" w:color="auto"/>
            </w:tcBorders>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(new)</w:t>
            </w:r>
          </w:p>
        </w:tc>
        <w:tc>
          <w:tcPr>
            <w:tcW w:w="1260" w:type="dxa"/>
            <w:vAlign w:val="bottom"/>
            <w:tcBorders>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47"/>
        </w:trPr>
        <w:tc>
          <w:tcPr>
            <w:tcW w:w="2280" w:type="dxa"/>
            <w:vAlign w:val="bottom"/>
            <w:tcBorders>
              <w:left w:val="single" w:sz="8" w:color="auto"/>
              <w:bottom w:val="single" w:sz="8" w:color="auto"/>
              <w:right w:val="single" w:sz="8" w:color="auto"/>
            </w:tcBorders>
            <w:shd w:val="clear" w:color="auto" w:fill="4F81BD"/>
          </w:tcPr>
          <w:p>
            <w:pPr>
              <w:spacing w:after="0"/>
              <w:rPr>
                <w:sz w:val="12"/>
                <w:szCs w:val="12"/>
                <w:color w:val="auto"/>
              </w:rPr>
            </w:pPr>
          </w:p>
        </w:tc>
        <w:tc>
          <w:tcPr>
            <w:tcW w:w="2240" w:type="dxa"/>
            <w:vAlign w:val="bottom"/>
            <w:tcBorders>
              <w:bottom w:val="single" w:sz="8" w:color="auto"/>
              <w:right w:val="single" w:sz="8" w:color="auto"/>
            </w:tcBorders>
            <w:shd w:val="clear" w:color="auto" w:fill="4F81BD"/>
          </w:tcPr>
          <w:p>
            <w:pPr>
              <w:spacing w:after="0"/>
              <w:rPr>
                <w:sz w:val="12"/>
                <w:szCs w:val="12"/>
                <w:color w:val="auto"/>
              </w:rPr>
            </w:pPr>
          </w:p>
        </w:tc>
        <w:tc>
          <w:tcPr>
            <w:tcW w:w="1260" w:type="dxa"/>
            <w:vAlign w:val="bottom"/>
            <w:tcBorders>
              <w:bottom w:val="single" w:sz="8" w:color="auto"/>
              <w:right w:val="single" w:sz="8" w:color="auto"/>
            </w:tcBorders>
            <w:shd w:val="clear" w:color="auto" w:fill="4F81BD"/>
          </w:tcPr>
          <w:p>
            <w:pPr>
              <w:spacing w:after="0"/>
              <w:rPr>
                <w:sz w:val="12"/>
                <w:szCs w:val="12"/>
                <w:color w:val="auto"/>
              </w:rPr>
            </w:pPr>
          </w:p>
        </w:tc>
        <w:tc>
          <w:tcPr>
            <w:tcW w:w="1000" w:type="dxa"/>
            <w:vAlign w:val="bottom"/>
            <w:tcBorders>
              <w:bottom w:val="single" w:sz="8" w:color="auto"/>
              <w:right w:val="single" w:sz="8" w:color="auto"/>
            </w:tcBorders>
            <w:shd w:val="clear" w:color="auto" w:fill="4F81BD"/>
          </w:tcPr>
          <w:p>
            <w:pPr>
              <w:spacing w:after="0"/>
              <w:rPr>
                <w:sz w:val="12"/>
                <w:szCs w:val="12"/>
                <w:color w:val="auto"/>
              </w:rPr>
            </w:pPr>
          </w:p>
        </w:tc>
        <w:tc>
          <w:tcPr>
            <w:tcW w:w="1620" w:type="dxa"/>
            <w:vAlign w:val="bottom"/>
            <w:tcBorders>
              <w:bottom w:val="single" w:sz="8" w:color="auto"/>
              <w:right w:val="single" w:sz="8" w:color="auto"/>
            </w:tcBorders>
            <w:shd w:val="clear" w:color="auto" w:fill="4F81BD"/>
          </w:tcPr>
          <w:p>
            <w:pPr>
              <w:spacing w:after="0"/>
              <w:rPr>
                <w:sz w:val="12"/>
                <w:szCs w:val="12"/>
                <w:color w:val="auto"/>
              </w:rPr>
            </w:pPr>
          </w:p>
        </w:tc>
        <w:tc>
          <w:tcPr>
            <w:tcW w:w="1540" w:type="dxa"/>
            <w:vAlign w:val="bottom"/>
            <w:tcBorders>
              <w:bottom w:val="single" w:sz="8" w:color="auto"/>
              <w:right w:val="single" w:sz="8" w:color="auto"/>
            </w:tcBorders>
            <w:shd w:val="clear" w:color="auto" w:fill="4F81BD"/>
          </w:tcPr>
          <w:p>
            <w:pPr>
              <w:spacing w:after="0"/>
              <w:rPr>
                <w:sz w:val="12"/>
                <w:szCs w:val="12"/>
                <w:color w:val="auto"/>
              </w:rPr>
            </w:pPr>
          </w:p>
        </w:tc>
        <w:tc>
          <w:tcPr>
            <w:tcW w:w="1260" w:type="dxa"/>
            <w:vAlign w:val="bottom"/>
            <w:tcBorders>
              <w:bottom w:val="single" w:sz="8" w:color="auto"/>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77 (2)</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23 (1)</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53 (1)</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line="20" w:lineRule="exact"/>
              <w:rPr>
                <w:sz w:val="1"/>
                <w:szCs w:val="1"/>
                <w:color w:val="auto"/>
              </w:rPr>
            </w:pPr>
          </w:p>
        </w:tc>
      </w:tr>
      <w:tr>
        <w:trPr>
          <w:trHeight w:val="257"/>
        </w:trPr>
        <w:tc>
          <w:tcPr>
            <w:tcW w:w="2280" w:type="dxa"/>
            <w:vAlign w:val="bottom"/>
            <w:tcBorders>
              <w:left w:val="single" w:sz="8" w:color="auto"/>
              <w:right w:val="single" w:sz="8" w:color="auto"/>
            </w:tcBorders>
            <w:shd w:val="clear" w:color="auto" w:fill="4F81BD"/>
          </w:tcPr>
          <w:p>
            <w:pPr>
              <w:spacing w:after="0"/>
              <w:rPr>
                <w:sz w:val="22"/>
                <w:szCs w:val="22"/>
                <w:color w:val="auto"/>
              </w:rPr>
            </w:pPr>
          </w:p>
        </w:tc>
        <w:tc>
          <w:tcPr>
            <w:tcW w:w="2240" w:type="dxa"/>
            <w:vAlign w:val="bottom"/>
            <w:tcBorders>
              <w:right w:val="single" w:sz="8" w:color="auto"/>
            </w:tcBorders>
            <w:vMerge w:val="continue"/>
          </w:tcPr>
          <w:p>
            <w:pPr>
              <w:spacing w:after="0"/>
              <w:rPr>
                <w:sz w:val="22"/>
                <w:szCs w:val="22"/>
                <w:color w:val="auto"/>
              </w:rPr>
            </w:pPr>
          </w:p>
        </w:tc>
        <w:tc>
          <w:tcPr>
            <w:tcW w:w="1260" w:type="dxa"/>
            <w:vAlign w:val="bottom"/>
            <w:tcBorders>
              <w:right w:val="single" w:sz="8" w:color="auto"/>
            </w:tcBorders>
            <w:vMerge w:val="continue"/>
          </w:tcPr>
          <w:p>
            <w:pPr>
              <w:spacing w:after="0"/>
              <w:rPr>
                <w:sz w:val="22"/>
                <w:szCs w:val="22"/>
                <w:color w:val="auto"/>
              </w:rPr>
            </w:pPr>
          </w:p>
        </w:tc>
        <w:tc>
          <w:tcPr>
            <w:tcW w:w="1000" w:type="dxa"/>
            <w:vAlign w:val="bottom"/>
            <w:tcBorders>
              <w:right w:val="single" w:sz="8" w:color="auto"/>
            </w:tcBorders>
            <w:vMerge w:val="continue"/>
          </w:tcPr>
          <w:p>
            <w:pPr>
              <w:spacing w:after="0"/>
              <w:rPr>
                <w:sz w:val="22"/>
                <w:szCs w:val="22"/>
                <w:color w:val="auto"/>
              </w:rPr>
            </w:pPr>
          </w:p>
        </w:tc>
        <w:tc>
          <w:tcPr>
            <w:tcW w:w="1620" w:type="dxa"/>
            <w:vAlign w:val="bottom"/>
            <w:tcBorders>
              <w:right w:val="single" w:sz="8" w:color="auto"/>
            </w:tcBorders>
            <w:vMerge w:val="continue"/>
          </w:tcPr>
          <w:p>
            <w:pPr>
              <w:spacing w:after="0"/>
              <w:rPr>
                <w:sz w:val="22"/>
                <w:szCs w:val="22"/>
                <w:color w:val="auto"/>
              </w:rPr>
            </w:pPr>
          </w:p>
        </w:tc>
        <w:tc>
          <w:tcPr>
            <w:tcW w:w="1540" w:type="dxa"/>
            <w:vAlign w:val="bottom"/>
            <w:tcBorders>
              <w:right w:val="single" w:sz="8" w:color="auto"/>
            </w:tcBorders>
            <w:vMerge w:val="continue"/>
          </w:tcPr>
          <w:p>
            <w:pPr>
              <w:spacing w:after="0"/>
              <w:rPr>
                <w:sz w:val="22"/>
                <w:szCs w:val="22"/>
                <w:color w:val="auto"/>
              </w:rPr>
            </w:pPr>
          </w:p>
        </w:tc>
        <w:tc>
          <w:tcPr>
            <w:tcW w:w="1260" w:type="dxa"/>
            <w:vAlign w:val="bottom"/>
            <w:tcBorders>
              <w:right w:val="single" w:sz="8" w:color="auto"/>
            </w:tcBorders>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42"/>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7"/>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line="267" w:lineRule="exact"/>
              <w:rPr>
                <w:sz w:val="20"/>
                <w:szCs w:val="20"/>
                <w:color w:val="auto"/>
              </w:rPr>
            </w:pPr>
            <w:r>
              <w:rPr>
                <w:rFonts w:ascii="Calibri" w:cs="Calibri" w:eastAsia="Calibri" w:hAnsi="Calibri"/>
                <w:sz w:val="22"/>
                <w:szCs w:val="22"/>
                <w:color w:val="auto"/>
              </w:rPr>
              <w:t>Japan</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65 (6)</w:t>
            </w:r>
          </w:p>
        </w:tc>
        <w:tc>
          <w:tcPr>
            <w:tcW w:w="100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26 (0)</w:t>
            </w:r>
          </w:p>
        </w:tc>
        <w:tc>
          <w:tcPr>
            <w:tcW w:w="162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39 (6)</w:t>
            </w:r>
          </w:p>
        </w:tc>
        <w:tc>
          <w:tcPr>
            <w:tcW w:w="154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 (0)</w:t>
            </w:r>
          </w:p>
        </w:tc>
        <w:tc>
          <w:tcPr>
            <w:tcW w:w="0" w:type="dxa"/>
            <w:vAlign w:val="bottom"/>
          </w:tcPr>
          <w:p>
            <w:pPr>
              <w:spacing w:after="0"/>
              <w:rPr>
                <w:sz w:val="1"/>
                <w:szCs w:val="1"/>
                <w:color w:val="auto"/>
              </w:rPr>
            </w:pPr>
          </w:p>
        </w:tc>
      </w:tr>
      <w:tr>
        <w:trPr>
          <w:trHeight w:val="40"/>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9"/>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31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w:t>
            </w:r>
            <w:r>
              <w:rPr>
                <w:rFonts w:ascii="Calibri" w:cs="Calibri" w:eastAsia="Calibri" w:hAnsi="Calibri"/>
                <w:sz w:val="12"/>
                <w:szCs w:val="12"/>
                <w:color w:val="auto"/>
              </w:rPr>
              <w:t>‡</w:t>
            </w:r>
            <w:r>
              <w:rPr>
                <w:rFonts w:ascii="Calibri" w:cs="Calibri" w:eastAsia="Calibri" w:hAnsi="Calibri"/>
                <w:sz w:val="22"/>
                <w:szCs w:val="22"/>
                <w:color w:val="auto"/>
              </w:rPr>
              <w:t xml:space="preserve"> (1)</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40"/>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8"/>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Western Pacific Region</w:t>
            </w:r>
          </w:p>
        </w:tc>
        <w:tc>
          <w:tcPr>
            <w:tcW w:w="2240" w:type="dxa"/>
            <w:vAlign w:val="bottom"/>
            <w:tcBorders>
              <w:bottom w:val="single" w:sz="8" w:color="auto"/>
              <w:right w:val="single" w:sz="8" w:color="auto"/>
            </w:tcBorders>
          </w:tcPr>
          <w:p>
            <w:pPr>
              <w:spacing w:after="0" w:line="267" w:lineRule="exact"/>
              <w:rPr>
                <w:sz w:val="20"/>
                <w:szCs w:val="20"/>
                <w:color w:val="auto"/>
              </w:rPr>
            </w:pPr>
            <w:r>
              <w:rPr>
                <w:rFonts w:ascii="Calibri" w:cs="Calibri" w:eastAsia="Calibri" w:hAnsi="Calibri"/>
                <w:sz w:val="22"/>
                <w:szCs w:val="22"/>
                <w:color w:val="auto"/>
              </w:rPr>
              <w:t>Malaysia</w:t>
            </w:r>
          </w:p>
        </w:tc>
        <w:tc>
          <w:tcPr>
            <w:tcW w:w="126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22 (0)</w:t>
            </w:r>
          </w:p>
        </w:tc>
        <w:tc>
          <w:tcPr>
            <w:tcW w:w="100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17 (0)</w:t>
            </w:r>
          </w:p>
        </w:tc>
        <w:tc>
          <w:tcPr>
            <w:tcW w:w="162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4</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54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 (0)</w:t>
            </w:r>
          </w:p>
        </w:tc>
        <w:tc>
          <w:tcPr>
            <w:tcW w:w="126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55"/>
        </w:trPr>
        <w:tc>
          <w:tcPr>
            <w:tcW w:w="2280" w:type="dxa"/>
            <w:vAlign w:val="bottom"/>
            <w:tcBorders>
              <w:left w:val="single" w:sz="8" w:color="auto"/>
              <w:right w:val="single" w:sz="8" w:color="auto"/>
            </w:tcBorders>
            <w:shd w:val="clear" w:color="auto" w:fill="4F81BD"/>
          </w:tcPr>
          <w:p>
            <w:pPr>
              <w:spacing w:after="0"/>
              <w:rPr>
                <w:sz w:val="22"/>
                <w:szCs w:val="22"/>
                <w:color w:val="auto"/>
              </w:rPr>
            </w:pPr>
          </w:p>
        </w:tc>
        <w:tc>
          <w:tcPr>
            <w:tcW w:w="2240" w:type="dxa"/>
            <w:vAlign w:val="bottom"/>
            <w:tcBorders>
              <w:right w:val="single" w:sz="8" w:color="auto"/>
            </w:tcBorders>
          </w:tcPr>
          <w:p>
            <w:pPr>
              <w:spacing w:after="0" w:line="255" w:lineRule="exact"/>
              <w:rPr>
                <w:sz w:val="20"/>
                <w:szCs w:val="20"/>
                <w:color w:val="auto"/>
              </w:rPr>
            </w:pPr>
            <w:r>
              <w:rPr>
                <w:rFonts w:ascii="Calibri" w:cs="Calibri" w:eastAsia="Calibri" w:hAnsi="Calibri"/>
                <w:sz w:val="22"/>
                <w:szCs w:val="22"/>
                <w:color w:val="auto"/>
              </w:rPr>
              <w:t>Viet Nam</w:t>
            </w:r>
          </w:p>
        </w:tc>
        <w:tc>
          <w:tcPr>
            <w:tcW w:w="126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16 (0)</w:t>
            </w:r>
          </w:p>
        </w:tc>
        <w:tc>
          <w:tcPr>
            <w:tcW w:w="100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8 (0)</w:t>
            </w:r>
          </w:p>
        </w:tc>
        <w:tc>
          <w:tcPr>
            <w:tcW w:w="162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w w:val="98"/>
              </w:rPr>
              <w:t>8 (0)</w:t>
            </w:r>
          </w:p>
        </w:tc>
        <w:tc>
          <w:tcPr>
            <w:tcW w:w="154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53"/>
        </w:trPr>
        <w:tc>
          <w:tcPr>
            <w:tcW w:w="2280" w:type="dxa"/>
            <w:vAlign w:val="bottom"/>
            <w:tcBorders>
              <w:left w:val="single" w:sz="8" w:color="auto"/>
              <w:bottom w:val="single" w:sz="8" w:color="4F81BD"/>
              <w:right w:val="single" w:sz="8" w:color="auto"/>
            </w:tcBorders>
            <w:shd w:val="clear" w:color="auto" w:fill="4F81BD"/>
          </w:tcPr>
          <w:p>
            <w:pPr>
              <w:spacing w:after="0"/>
              <w:rPr>
                <w:sz w:val="4"/>
                <w:szCs w:val="4"/>
                <w:color w:val="auto"/>
              </w:rPr>
            </w:pPr>
          </w:p>
        </w:tc>
        <w:tc>
          <w:tcPr>
            <w:tcW w:w="2240" w:type="dxa"/>
            <w:vAlign w:val="bottom"/>
            <w:tcBorders>
              <w:bottom w:val="single" w:sz="8" w:color="auto"/>
              <w:right w:val="single" w:sz="8" w:color="auto"/>
            </w:tcBorders>
          </w:tcPr>
          <w:p>
            <w:pPr>
              <w:spacing w:after="0"/>
              <w:rPr>
                <w:sz w:val="4"/>
                <w:szCs w:val="4"/>
                <w:color w:val="auto"/>
              </w:rPr>
            </w:pPr>
          </w:p>
        </w:tc>
        <w:tc>
          <w:tcPr>
            <w:tcW w:w="1260" w:type="dxa"/>
            <w:vAlign w:val="bottom"/>
            <w:tcBorders>
              <w:bottom w:val="single" w:sz="8" w:color="auto"/>
              <w:right w:val="single" w:sz="8" w:color="auto"/>
            </w:tcBorders>
          </w:tcPr>
          <w:p>
            <w:pPr>
              <w:spacing w:after="0"/>
              <w:rPr>
                <w:sz w:val="4"/>
                <w:szCs w:val="4"/>
                <w:color w:val="auto"/>
              </w:rPr>
            </w:pPr>
          </w:p>
        </w:tc>
        <w:tc>
          <w:tcPr>
            <w:tcW w:w="1000" w:type="dxa"/>
            <w:vAlign w:val="bottom"/>
            <w:tcBorders>
              <w:bottom w:val="single" w:sz="8" w:color="auto"/>
              <w:right w:val="single" w:sz="8" w:color="auto"/>
            </w:tcBorders>
          </w:tcPr>
          <w:p>
            <w:pPr>
              <w:spacing w:after="0"/>
              <w:rPr>
                <w:sz w:val="4"/>
                <w:szCs w:val="4"/>
                <w:color w:val="auto"/>
              </w:rPr>
            </w:pPr>
          </w:p>
        </w:tc>
        <w:tc>
          <w:tcPr>
            <w:tcW w:w="1620" w:type="dxa"/>
            <w:vAlign w:val="bottom"/>
            <w:tcBorders>
              <w:bottom w:val="single" w:sz="8" w:color="auto"/>
              <w:right w:val="single" w:sz="8" w:color="auto"/>
            </w:tcBorders>
          </w:tcPr>
          <w:p>
            <w:pPr>
              <w:spacing w:after="0"/>
              <w:rPr>
                <w:sz w:val="4"/>
                <w:szCs w:val="4"/>
                <w:color w:val="auto"/>
              </w:rPr>
            </w:pPr>
          </w:p>
        </w:tc>
        <w:tc>
          <w:tcPr>
            <w:tcW w:w="1540" w:type="dxa"/>
            <w:vAlign w:val="bottom"/>
            <w:tcBorders>
              <w:bottom w:val="single" w:sz="8" w:color="auto"/>
              <w:right w:val="single" w:sz="8" w:color="auto"/>
            </w:tcBorders>
          </w:tcPr>
          <w:p>
            <w:pPr>
              <w:spacing w:after="0"/>
              <w:rPr>
                <w:sz w:val="4"/>
                <w:szCs w:val="4"/>
                <w:color w:val="auto"/>
              </w:rPr>
            </w:pPr>
          </w:p>
        </w:tc>
        <w:tc>
          <w:tcPr>
            <w:tcW w:w="12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9"/>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Australia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40"/>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7"/>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line="267" w:lineRule="exact"/>
              <w:rPr>
                <w:sz w:val="20"/>
                <w:szCs w:val="20"/>
                <w:color w:val="auto"/>
              </w:rPr>
            </w:pPr>
            <w:r>
              <w:rPr>
                <w:rFonts w:ascii="Calibri" w:cs="Calibri" w:eastAsia="Calibri" w:hAnsi="Calibri"/>
                <w:sz w:val="22"/>
                <w:szCs w:val="22"/>
                <w:color w:val="auto"/>
              </w:rPr>
              <w:t>Philippines</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3 (0)</w:t>
            </w:r>
          </w:p>
        </w:tc>
        <w:tc>
          <w:tcPr>
            <w:tcW w:w="162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 (0)</w:t>
            </w:r>
          </w:p>
        </w:tc>
        <w:tc>
          <w:tcPr>
            <w:tcW w:w="0" w:type="dxa"/>
            <w:vAlign w:val="bottom"/>
          </w:tcPr>
          <w:p>
            <w:pPr>
              <w:spacing w:after="0"/>
              <w:rPr>
                <w:sz w:val="1"/>
                <w:szCs w:val="1"/>
                <w:color w:val="auto"/>
              </w:rPr>
            </w:pPr>
          </w:p>
        </w:tc>
      </w:tr>
      <w:tr>
        <w:trPr>
          <w:trHeight w:val="42"/>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6"/>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line="267" w:lineRule="exact"/>
              <w:rPr>
                <w:sz w:val="20"/>
                <w:szCs w:val="20"/>
                <w:color w:val="auto"/>
              </w:rPr>
            </w:pPr>
            <w:r>
              <w:rPr>
                <w:rFonts w:ascii="Calibri" w:cs="Calibri" w:eastAsia="Calibri" w:hAnsi="Calibri"/>
                <w:sz w:val="22"/>
                <w:szCs w:val="22"/>
                <w:color w:val="auto"/>
              </w:rPr>
              <w:t>Cambodia</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69"/>
        </w:trPr>
        <w:tc>
          <w:tcPr>
            <w:tcW w:w="2280" w:type="dxa"/>
            <w:vAlign w:val="bottom"/>
            <w:tcBorders>
              <w:top w:val="single" w:sz="8" w:color="auto"/>
              <w:left w:val="single" w:sz="8" w:color="auto"/>
              <w:right w:val="single" w:sz="8" w:color="auto"/>
            </w:tcBorders>
            <w:shd w:val="clear" w:color="auto" w:fill="4F81BD"/>
          </w:tcPr>
          <w:p>
            <w:pPr>
              <w:spacing w:after="0"/>
              <w:rPr>
                <w:sz w:val="23"/>
                <w:szCs w:val="23"/>
                <w:color w:val="auto"/>
              </w:rPr>
            </w:pP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Thailand</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35 (0)</w:t>
            </w:r>
          </w:p>
        </w:tc>
        <w:tc>
          <w:tcPr>
            <w:tcW w:w="100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23 (0)</w:t>
            </w:r>
          </w:p>
        </w:tc>
        <w:tc>
          <w:tcPr>
            <w:tcW w:w="162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54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5 (0)</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40"/>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7"/>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South-East Asia Region</w:t>
            </w:r>
          </w:p>
        </w:tc>
        <w:tc>
          <w:tcPr>
            <w:tcW w:w="2240" w:type="dxa"/>
            <w:vAlign w:val="bottom"/>
            <w:tcBorders>
              <w:right w:val="single" w:sz="8" w:color="auto"/>
            </w:tcBorders>
          </w:tcPr>
          <w:p>
            <w:pPr>
              <w:spacing w:after="0" w:line="267" w:lineRule="exact"/>
              <w:rPr>
                <w:sz w:val="20"/>
                <w:szCs w:val="20"/>
                <w:color w:val="auto"/>
              </w:rPr>
            </w:pPr>
            <w:r>
              <w:rPr>
                <w:rFonts w:ascii="Calibri" w:cs="Calibri" w:eastAsia="Calibri" w:hAnsi="Calibri"/>
                <w:sz w:val="22"/>
                <w:szCs w:val="22"/>
                <w:color w:val="auto"/>
              </w:rPr>
              <w:t>India</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3 (0)</w:t>
            </w:r>
          </w:p>
        </w:tc>
        <w:tc>
          <w:tcPr>
            <w:tcW w:w="162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42"/>
        </w:trPr>
        <w:tc>
          <w:tcPr>
            <w:tcW w:w="2280" w:type="dxa"/>
            <w:vAlign w:val="bottom"/>
            <w:tcBorders>
              <w:left w:val="single" w:sz="8" w:color="auto"/>
              <w:bottom w:val="single" w:sz="8" w:color="4F81BD"/>
              <w:right w:val="single" w:sz="8" w:color="auto"/>
            </w:tcBorders>
            <w:vMerge w:val="continue"/>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13"/>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line="267" w:lineRule="exact"/>
              <w:rPr>
                <w:sz w:val="20"/>
                <w:szCs w:val="20"/>
                <w:color w:val="auto"/>
              </w:rPr>
            </w:pPr>
            <w:r>
              <w:rPr>
                <w:rFonts w:ascii="Calibri" w:cs="Calibri" w:eastAsia="Calibri" w:hAnsi="Calibri"/>
                <w:sz w:val="22"/>
                <w:szCs w:val="22"/>
                <w:color w:val="auto"/>
              </w:rPr>
              <w:t>Nepal</w:t>
            </w:r>
          </w:p>
        </w:tc>
        <w:tc>
          <w:tcPr>
            <w:tcW w:w="126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54"/>
        </w:trPr>
        <w:tc>
          <w:tcPr>
            <w:tcW w:w="2280" w:type="dxa"/>
            <w:vAlign w:val="bottom"/>
            <w:tcBorders>
              <w:left w:val="single" w:sz="8" w:color="auto"/>
              <w:right w:val="single" w:sz="8" w:color="auto"/>
            </w:tcBorders>
            <w:shd w:val="clear" w:color="auto" w:fill="4F81BD"/>
          </w:tcPr>
          <w:p>
            <w:pPr>
              <w:spacing w:after="0"/>
              <w:rPr>
                <w:sz w:val="13"/>
                <w:szCs w:val="13"/>
                <w:color w:val="auto"/>
              </w:rPr>
            </w:pPr>
          </w:p>
        </w:tc>
        <w:tc>
          <w:tcPr>
            <w:tcW w:w="2240" w:type="dxa"/>
            <w:vAlign w:val="bottom"/>
            <w:tcBorders>
              <w:right w:val="single" w:sz="8" w:color="auto"/>
            </w:tcBorders>
            <w:vMerge w:val="continue"/>
          </w:tcPr>
          <w:p>
            <w:pPr>
              <w:spacing w:after="0"/>
              <w:rPr>
                <w:sz w:val="13"/>
                <w:szCs w:val="13"/>
                <w:color w:val="auto"/>
              </w:rPr>
            </w:pPr>
          </w:p>
        </w:tc>
        <w:tc>
          <w:tcPr>
            <w:tcW w:w="1260" w:type="dxa"/>
            <w:vAlign w:val="bottom"/>
            <w:tcBorders>
              <w:right w:val="single" w:sz="8" w:color="auto"/>
            </w:tcBorders>
            <w:vMerge w:val="continue"/>
          </w:tcPr>
          <w:p>
            <w:pPr>
              <w:spacing w:after="0"/>
              <w:rPr>
                <w:sz w:val="13"/>
                <w:szCs w:val="13"/>
                <w:color w:val="auto"/>
              </w:rPr>
            </w:pPr>
          </w:p>
        </w:tc>
        <w:tc>
          <w:tcPr>
            <w:tcW w:w="1000" w:type="dxa"/>
            <w:vAlign w:val="bottom"/>
            <w:tcBorders>
              <w:right w:val="single" w:sz="8" w:color="auto"/>
            </w:tcBorders>
            <w:vMerge w:val="continue"/>
          </w:tcPr>
          <w:p>
            <w:pPr>
              <w:spacing w:after="0"/>
              <w:rPr>
                <w:sz w:val="13"/>
                <w:szCs w:val="13"/>
                <w:color w:val="auto"/>
              </w:rPr>
            </w:pPr>
          </w:p>
        </w:tc>
        <w:tc>
          <w:tcPr>
            <w:tcW w:w="1620" w:type="dxa"/>
            <w:vAlign w:val="bottom"/>
            <w:tcBorders>
              <w:right w:val="single" w:sz="8" w:color="auto"/>
            </w:tcBorders>
            <w:vMerge w:val="continue"/>
          </w:tcPr>
          <w:p>
            <w:pPr>
              <w:spacing w:after="0"/>
              <w:rPr>
                <w:sz w:val="13"/>
                <w:szCs w:val="13"/>
                <w:color w:val="auto"/>
              </w:rPr>
            </w:pPr>
          </w:p>
        </w:tc>
        <w:tc>
          <w:tcPr>
            <w:tcW w:w="1540" w:type="dxa"/>
            <w:vAlign w:val="bottom"/>
            <w:tcBorders>
              <w:right w:val="single" w:sz="8" w:color="auto"/>
            </w:tcBorders>
            <w:vMerge w:val="continue"/>
          </w:tcPr>
          <w:p>
            <w:pPr>
              <w:spacing w:after="0"/>
              <w:rPr>
                <w:sz w:val="13"/>
                <w:szCs w:val="13"/>
                <w:color w:val="auto"/>
              </w:rPr>
            </w:pPr>
          </w:p>
        </w:tc>
        <w:tc>
          <w:tcPr>
            <w:tcW w:w="126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40"/>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Sri Lanka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67"/>
        </w:trPr>
        <w:tc>
          <w:tcPr>
            <w:tcW w:w="2280" w:type="dxa"/>
            <w:vAlign w:val="bottom"/>
            <w:tcBorders>
              <w:top w:val="single" w:sz="8" w:color="auto"/>
              <w:left w:val="single" w:sz="8" w:color="auto"/>
              <w:right w:val="single" w:sz="8" w:color="auto"/>
            </w:tcBorders>
            <w:shd w:val="clear" w:color="auto" w:fill="4F81BD"/>
          </w:tcPr>
          <w:p>
            <w:pPr>
              <w:spacing w:after="0"/>
              <w:rPr>
                <w:sz w:val="23"/>
                <w:szCs w:val="23"/>
                <w:color w:val="auto"/>
              </w:rPr>
            </w:pPr>
          </w:p>
        </w:tc>
        <w:tc>
          <w:tcPr>
            <w:tcW w:w="2240" w:type="dxa"/>
            <w:vAlign w:val="bottom"/>
            <w:tcBorders>
              <w:top w:val="single" w:sz="8" w:color="auto"/>
              <w:right w:val="single" w:sz="8" w:color="auto"/>
            </w:tcBorders>
          </w:tcPr>
          <w:p>
            <w:pPr>
              <w:spacing w:after="0" w:line="267" w:lineRule="exact"/>
              <w:rPr>
                <w:sz w:val="20"/>
                <w:szCs w:val="20"/>
                <w:color w:val="auto"/>
              </w:rPr>
            </w:pPr>
            <w:r>
              <w:rPr>
                <w:rFonts w:ascii="Calibri" w:cs="Calibri" w:eastAsia="Calibri" w:hAnsi="Calibri"/>
                <w:sz w:val="22"/>
                <w:szCs w:val="22"/>
                <w:color w:val="auto"/>
              </w:rPr>
              <w:t>United States of</w:t>
            </w:r>
          </w:p>
        </w:tc>
        <w:tc>
          <w:tcPr>
            <w:tcW w:w="1260" w:type="dxa"/>
            <w:vAlign w:val="bottom"/>
            <w:tcBorders>
              <w:top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15 (0)</w:t>
            </w:r>
          </w:p>
        </w:tc>
        <w:tc>
          <w:tcPr>
            <w:tcW w:w="1000" w:type="dxa"/>
            <w:vAlign w:val="bottom"/>
            <w:tcBorders>
              <w:top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13 (0)</w:t>
            </w:r>
          </w:p>
        </w:tc>
        <w:tc>
          <w:tcPr>
            <w:tcW w:w="1620" w:type="dxa"/>
            <w:vAlign w:val="bottom"/>
            <w:tcBorders>
              <w:top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2 (0)</w:t>
            </w:r>
          </w:p>
        </w:tc>
        <w:tc>
          <w:tcPr>
            <w:tcW w:w="1540" w:type="dxa"/>
            <w:vAlign w:val="bottom"/>
            <w:tcBorders>
              <w:top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America</w:t>
            </w:r>
          </w:p>
        </w:tc>
        <w:tc>
          <w:tcPr>
            <w:tcW w:w="126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Canada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8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6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(1)</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67"/>
        </w:trPr>
        <w:tc>
          <w:tcPr>
            <w:tcW w:w="2280" w:type="dxa"/>
            <w:vAlign w:val="bottom"/>
            <w:tcBorders>
              <w:top w:val="single" w:sz="8" w:color="auto"/>
              <w:left w:val="single" w:sz="8" w:color="auto"/>
              <w:right w:val="single" w:sz="8" w:color="auto"/>
            </w:tcBorders>
            <w:shd w:val="clear" w:color="auto" w:fill="4F81BD"/>
          </w:tcPr>
          <w:p>
            <w:pPr>
              <w:spacing w:after="0"/>
              <w:rPr>
                <w:sz w:val="23"/>
                <w:szCs w:val="23"/>
                <w:color w:val="auto"/>
              </w:rPr>
            </w:pPr>
          </w:p>
        </w:tc>
        <w:tc>
          <w:tcPr>
            <w:tcW w:w="2240" w:type="dxa"/>
            <w:vAlign w:val="bottom"/>
            <w:tcBorders>
              <w:top w:val="single" w:sz="8" w:color="auto"/>
              <w:right w:val="single" w:sz="8" w:color="auto"/>
            </w:tcBorders>
          </w:tcPr>
          <w:p>
            <w:pPr>
              <w:spacing w:after="0" w:line="267" w:lineRule="exact"/>
              <w:rPr>
                <w:sz w:val="20"/>
                <w:szCs w:val="20"/>
                <w:color w:val="auto"/>
              </w:rPr>
            </w:pPr>
            <w:r>
              <w:rPr>
                <w:rFonts w:ascii="Calibri" w:cs="Calibri" w:eastAsia="Calibri" w:hAnsi="Calibri"/>
                <w:sz w:val="22"/>
                <w:szCs w:val="22"/>
                <w:color w:val="auto"/>
              </w:rPr>
              <w:t>Germany</w:t>
            </w:r>
          </w:p>
        </w:tc>
        <w:tc>
          <w:tcPr>
            <w:tcW w:w="1260" w:type="dxa"/>
            <w:vAlign w:val="bottom"/>
            <w:tcBorders>
              <w:top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16 (0)</w:t>
            </w:r>
          </w:p>
        </w:tc>
        <w:tc>
          <w:tcPr>
            <w:tcW w:w="1000" w:type="dxa"/>
            <w:vAlign w:val="bottom"/>
            <w:tcBorders>
              <w:top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2 (0)</w:t>
            </w:r>
          </w:p>
        </w:tc>
        <w:tc>
          <w:tcPr>
            <w:tcW w:w="1620" w:type="dxa"/>
            <w:vAlign w:val="bottom"/>
            <w:tcBorders>
              <w:top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14 (0)</w:t>
            </w:r>
          </w:p>
        </w:tc>
        <w:tc>
          <w:tcPr>
            <w:tcW w:w="1540" w:type="dxa"/>
            <w:vAlign w:val="bottom"/>
            <w:tcBorders>
              <w:top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42"/>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7"/>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line="267" w:lineRule="exact"/>
              <w:rPr>
                <w:sz w:val="20"/>
                <w:szCs w:val="20"/>
                <w:color w:val="auto"/>
              </w:rPr>
            </w:pPr>
            <w:r>
              <w:rPr>
                <w:rFonts w:ascii="Calibri" w:cs="Calibri" w:eastAsia="Calibri" w:hAnsi="Calibri"/>
                <w:sz w:val="22"/>
                <w:szCs w:val="22"/>
                <w:color w:val="auto"/>
              </w:rPr>
              <w:t>France</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12 (0)</w:t>
            </w:r>
          </w:p>
        </w:tc>
        <w:tc>
          <w:tcPr>
            <w:tcW w:w="100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7 (0)</w:t>
            </w:r>
          </w:p>
        </w:tc>
        <w:tc>
          <w:tcPr>
            <w:tcW w:w="154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 (0)</w:t>
            </w:r>
          </w:p>
        </w:tc>
        <w:tc>
          <w:tcPr>
            <w:tcW w:w="0" w:type="dxa"/>
            <w:vAlign w:val="bottom"/>
          </w:tcPr>
          <w:p>
            <w:pPr>
              <w:spacing w:after="0"/>
              <w:rPr>
                <w:sz w:val="1"/>
                <w:szCs w:val="1"/>
                <w:color w:val="auto"/>
              </w:rPr>
            </w:pPr>
          </w:p>
        </w:tc>
      </w:tr>
      <w:tr>
        <w:trPr>
          <w:trHeight w:val="40"/>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9"/>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The United Kingdom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9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w:t>
            </w:r>
            <w:r>
              <w:rPr>
                <w:rFonts w:ascii="Calibri" w:cs="Calibri" w:eastAsia="Calibri" w:hAnsi="Calibri"/>
                <w:sz w:val="12"/>
                <w:szCs w:val="12"/>
                <w:color w:val="auto"/>
                <w:w w:val="98"/>
              </w:rPr>
              <w:t>**</w:t>
            </w:r>
            <w:r>
              <w:rPr>
                <w:rFonts w:ascii="Calibri" w:cs="Calibri" w:eastAsia="Calibri" w:hAnsi="Calibri"/>
                <w:sz w:val="22"/>
                <w:szCs w:val="22"/>
                <w:color w:val="auto"/>
                <w:w w:val="98"/>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40"/>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7"/>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line="267" w:lineRule="exact"/>
              <w:rPr>
                <w:sz w:val="20"/>
                <w:szCs w:val="20"/>
                <w:color w:val="auto"/>
              </w:rPr>
            </w:pPr>
            <w:r>
              <w:rPr>
                <w:rFonts w:ascii="Calibri" w:cs="Calibri" w:eastAsia="Calibri" w:hAnsi="Calibri"/>
                <w:sz w:val="22"/>
                <w:szCs w:val="22"/>
                <w:color w:val="auto"/>
              </w:rPr>
              <w:t>Italy</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3 (0)</w:t>
            </w:r>
          </w:p>
        </w:tc>
        <w:tc>
          <w:tcPr>
            <w:tcW w:w="162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42"/>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76"/>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2240" w:type="dxa"/>
            <w:vAlign w:val="bottom"/>
            <w:tcBorders>
              <w:right w:val="single" w:sz="8" w:color="auto"/>
            </w:tcBorders>
          </w:tcPr>
          <w:p>
            <w:pPr>
              <w:spacing w:after="0" w:line="267" w:lineRule="exact"/>
              <w:rPr>
                <w:sz w:val="20"/>
                <w:szCs w:val="20"/>
                <w:color w:val="auto"/>
              </w:rPr>
            </w:pPr>
            <w:r>
              <w:rPr>
                <w:rFonts w:ascii="Calibri" w:cs="Calibri" w:eastAsia="Calibri" w:hAnsi="Calibri"/>
                <w:sz w:val="22"/>
                <w:szCs w:val="22"/>
                <w:color w:val="auto"/>
              </w:rPr>
              <w:t>Russian Federation</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9"/>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Spain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w:t>
            </w:r>
            <w:r>
              <w:rPr>
                <w:rFonts w:ascii="Calibri" w:cs="Calibri" w:eastAsia="Calibri" w:hAnsi="Calibri"/>
                <w:sz w:val="12"/>
                <w:szCs w:val="12"/>
                <w:b w:val="1"/>
                <w:bCs w:val="1"/>
                <w:color w:val="auto"/>
                <w:w w:val="98"/>
              </w:rPr>
              <w:t>††</w:t>
            </w:r>
            <w:r>
              <w:rPr>
                <w:rFonts w:ascii="Calibri" w:cs="Calibri" w:eastAsia="Calibri" w:hAnsi="Calibri"/>
                <w:sz w:val="22"/>
                <w:szCs w:val="22"/>
                <w:color w:val="auto"/>
                <w:w w:val="98"/>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40"/>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7"/>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line="267" w:lineRule="exact"/>
              <w:rPr>
                <w:sz w:val="20"/>
                <w:szCs w:val="20"/>
                <w:color w:val="auto"/>
              </w:rPr>
            </w:pPr>
            <w:r>
              <w:rPr>
                <w:rFonts w:ascii="Calibri" w:cs="Calibri" w:eastAsia="Calibri" w:hAnsi="Calibri"/>
                <w:sz w:val="22"/>
                <w:szCs w:val="22"/>
                <w:color w:val="auto"/>
              </w:rPr>
              <w:t>Belgium</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42"/>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7"/>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line="267" w:lineRule="exact"/>
              <w:rPr>
                <w:sz w:val="20"/>
                <w:szCs w:val="20"/>
                <w:color w:val="auto"/>
              </w:rPr>
            </w:pPr>
            <w:r>
              <w:rPr>
                <w:rFonts w:ascii="Calibri" w:cs="Calibri" w:eastAsia="Calibri" w:hAnsi="Calibri"/>
                <w:sz w:val="22"/>
                <w:szCs w:val="22"/>
                <w:color w:val="auto"/>
              </w:rPr>
              <w:t>Finland</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40"/>
        </w:trPr>
        <w:tc>
          <w:tcPr>
            <w:tcW w:w="2280" w:type="dxa"/>
            <w:vAlign w:val="bottom"/>
            <w:tcBorders>
              <w:left w:val="single" w:sz="8" w:color="auto"/>
              <w:bottom w:val="single" w:sz="8" w:color="4F81BD"/>
              <w:right w:val="single" w:sz="8" w:color="auto"/>
            </w:tcBorders>
            <w:shd w:val="clear" w:color="auto" w:fill="4F81BD"/>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1540" w:type="dxa"/>
            <w:vAlign w:val="bottom"/>
            <w:tcBorders>
              <w:bottom w:val="single" w:sz="8" w:color="auto"/>
              <w:right w:val="single" w:sz="8" w:color="auto"/>
            </w:tcBorders>
          </w:tcPr>
          <w:p>
            <w:pPr>
              <w:spacing w:after="0"/>
              <w:rPr>
                <w:sz w:val="3"/>
                <w:szCs w:val="3"/>
                <w:color w:val="auto"/>
              </w:rPr>
            </w:pPr>
          </w:p>
        </w:tc>
        <w:tc>
          <w:tcPr>
            <w:tcW w:w="1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Sweden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90"/>
        </w:trPr>
        <w:tc>
          <w:tcPr>
            <w:tcW w:w="2280" w:type="dxa"/>
            <w:vAlign w:val="bottom"/>
            <w:tcBorders>
              <w:top w:val="single" w:sz="8" w:color="auto"/>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2240" w:type="dxa"/>
            <w:vAlign w:val="bottom"/>
            <w:tcBorders>
              <w:top w:val="single" w:sz="8" w:color="auto"/>
              <w:bottom w:val="single" w:sz="8" w:color="auto"/>
              <w:right w:val="single" w:sz="8" w:color="auto"/>
            </w:tcBorders>
          </w:tcPr>
          <w:p>
            <w:pPr>
              <w:spacing w:after="0" w:line="267" w:lineRule="exact"/>
              <w:rPr>
                <w:sz w:val="20"/>
                <w:szCs w:val="20"/>
                <w:color w:val="auto"/>
              </w:rPr>
            </w:pPr>
            <w:r>
              <w:rPr>
                <w:rFonts w:ascii="Calibri" w:cs="Calibri" w:eastAsia="Calibri" w:hAnsi="Calibri"/>
                <w:sz w:val="22"/>
                <w:szCs w:val="22"/>
                <w:color w:val="auto"/>
              </w:rPr>
              <w:t>United Arab Emirates</w:t>
            </w:r>
          </w:p>
        </w:tc>
        <w:tc>
          <w:tcPr>
            <w:tcW w:w="126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9 (0)</w:t>
            </w:r>
          </w:p>
        </w:tc>
        <w:tc>
          <w:tcPr>
            <w:tcW w:w="100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6 (0)</w:t>
            </w:r>
          </w:p>
        </w:tc>
        <w:tc>
          <w:tcPr>
            <w:tcW w:w="162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2 (0)</w:t>
            </w:r>
          </w:p>
        </w:tc>
        <w:tc>
          <w:tcPr>
            <w:tcW w:w="154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 (0)</w:t>
            </w:r>
          </w:p>
        </w:tc>
        <w:tc>
          <w:tcPr>
            <w:tcW w:w="126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19"/>
        </w:trPr>
        <w:tc>
          <w:tcPr>
            <w:tcW w:w="2280" w:type="dxa"/>
            <w:vAlign w:val="bottom"/>
            <w:tcBorders>
              <w:left w:val="single" w:sz="8" w:color="auto"/>
              <w:bottom w:val="single" w:sz="8" w:color="4F81BD"/>
              <w:right w:val="single" w:sz="8" w:color="auto"/>
            </w:tcBorders>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Region</w:t>
            </w:r>
          </w:p>
        </w:tc>
        <w:tc>
          <w:tcPr>
            <w:tcW w:w="2240" w:type="dxa"/>
            <w:vAlign w:val="bottom"/>
            <w:tcBorders>
              <w:right w:val="single" w:sz="8" w:color="auto"/>
            </w:tcBorders>
          </w:tcPr>
          <w:p>
            <w:pPr>
              <w:spacing w:after="0" w:line="267" w:lineRule="exact"/>
              <w:rPr>
                <w:sz w:val="20"/>
                <w:szCs w:val="20"/>
                <w:color w:val="auto"/>
              </w:rPr>
            </w:pPr>
            <w:r>
              <w:rPr>
                <w:rFonts w:ascii="Calibri" w:cs="Calibri" w:eastAsia="Calibri" w:hAnsi="Calibri"/>
                <w:sz w:val="22"/>
                <w:szCs w:val="22"/>
                <w:color w:val="auto"/>
              </w:rPr>
              <w:t>Egypt</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1 (0)</w:t>
            </w:r>
          </w:p>
        </w:tc>
        <w:tc>
          <w:tcPr>
            <w:tcW w:w="154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7"/>
        </w:trPr>
        <w:tc>
          <w:tcPr>
            <w:tcW w:w="2280" w:type="dxa"/>
            <w:vAlign w:val="bottom"/>
            <w:tcBorders>
              <w:top w:val="single" w:sz="8" w:color="auto"/>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7"/>
              </w:rPr>
              <w:t>Other</w:t>
            </w: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International</w:t>
            </w:r>
          </w:p>
        </w:tc>
        <w:tc>
          <w:tcPr>
            <w:tcW w:w="1260" w:type="dxa"/>
            <w:vAlign w:val="bottom"/>
            <w:tcBorders>
              <w:top w:val="single" w:sz="8" w:color="auto"/>
              <w:right w:val="single" w:sz="8" w:color="auto"/>
            </w:tcBorders>
          </w:tcPr>
          <w:p>
            <w:pPr>
              <w:spacing w:after="0"/>
              <w:rPr>
                <w:sz w:val="24"/>
                <w:szCs w:val="24"/>
                <w:color w:val="auto"/>
              </w:rPr>
            </w:pPr>
          </w:p>
        </w:tc>
        <w:tc>
          <w:tcPr>
            <w:tcW w:w="1000" w:type="dxa"/>
            <w:vAlign w:val="bottom"/>
            <w:tcBorders>
              <w:top w:val="single" w:sz="8" w:color="auto"/>
              <w:right w:val="single" w:sz="8" w:color="auto"/>
            </w:tcBorders>
          </w:tcPr>
          <w:p>
            <w:pPr>
              <w:spacing w:after="0"/>
              <w:rPr>
                <w:sz w:val="24"/>
                <w:szCs w:val="24"/>
                <w:color w:val="auto"/>
              </w:rPr>
            </w:pPr>
          </w:p>
        </w:tc>
        <w:tc>
          <w:tcPr>
            <w:tcW w:w="162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spacing w:after="0"/>
              <w:rPr>
                <w:sz w:val="24"/>
                <w:szCs w:val="24"/>
                <w:color w:val="auto"/>
              </w:rPr>
            </w:pPr>
          </w:p>
        </w:tc>
        <w:tc>
          <w:tcPr>
            <w:tcW w:w="126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3"/>
        </w:trPr>
        <w:tc>
          <w:tcPr>
            <w:tcW w:w="2280" w:type="dxa"/>
            <w:vAlign w:val="bottom"/>
            <w:tcBorders>
              <w:left w:val="single" w:sz="8" w:color="auto"/>
              <w:right w:val="single" w:sz="8" w:color="auto"/>
            </w:tcBorders>
            <w:vMerge w:val="continue"/>
            <w:shd w:val="clear" w:color="auto" w:fill="4F81BD"/>
          </w:tcPr>
          <w:p>
            <w:pPr>
              <w:spacing w:after="0"/>
              <w:rPr>
                <w:sz w:val="8"/>
                <w:szCs w:val="8"/>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conveyance (Japan)</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454</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454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66"/>
        </w:trPr>
        <w:tc>
          <w:tcPr>
            <w:tcW w:w="2280" w:type="dxa"/>
            <w:vAlign w:val="bottom"/>
            <w:tcBorders>
              <w:left w:val="single" w:sz="8" w:color="auto"/>
              <w:bottom w:val="single" w:sz="8" w:color="4F81BD"/>
              <w:right w:val="single" w:sz="8" w:color="auto"/>
            </w:tcBorders>
            <w:shd w:val="clear" w:color="auto" w:fill="4F81BD"/>
          </w:tcPr>
          <w:p>
            <w:pPr>
              <w:spacing w:after="0"/>
              <w:rPr>
                <w:sz w:val="14"/>
                <w:szCs w:val="14"/>
                <w:color w:val="auto"/>
              </w:rPr>
            </w:pPr>
          </w:p>
        </w:tc>
        <w:tc>
          <w:tcPr>
            <w:tcW w:w="2240" w:type="dxa"/>
            <w:vAlign w:val="bottom"/>
            <w:tcBorders>
              <w:right w:val="single" w:sz="8" w:color="auto"/>
            </w:tcBorders>
            <w:vMerge w:val="continue"/>
          </w:tcPr>
          <w:p>
            <w:pPr>
              <w:spacing w:after="0"/>
              <w:rPr>
                <w:sz w:val="14"/>
                <w:szCs w:val="14"/>
                <w:color w:val="auto"/>
              </w:rPr>
            </w:pPr>
          </w:p>
        </w:tc>
        <w:tc>
          <w:tcPr>
            <w:tcW w:w="1260" w:type="dxa"/>
            <w:vAlign w:val="bottom"/>
            <w:tcBorders>
              <w:right w:val="single" w:sz="8" w:color="auto"/>
            </w:tcBorders>
            <w:vMerge w:val="continue"/>
          </w:tcPr>
          <w:p>
            <w:pPr>
              <w:spacing w:after="0"/>
              <w:rPr>
                <w:sz w:val="14"/>
                <w:szCs w:val="14"/>
                <w:color w:val="auto"/>
              </w:rPr>
            </w:pPr>
          </w:p>
        </w:tc>
        <w:tc>
          <w:tcPr>
            <w:tcW w:w="1000" w:type="dxa"/>
            <w:vAlign w:val="bottom"/>
            <w:tcBorders>
              <w:right w:val="single" w:sz="8" w:color="auto"/>
            </w:tcBorders>
            <w:vMerge w:val="continue"/>
          </w:tcPr>
          <w:p>
            <w:pPr>
              <w:spacing w:after="0"/>
              <w:rPr>
                <w:sz w:val="14"/>
                <w:szCs w:val="14"/>
                <w:color w:val="auto"/>
              </w:rPr>
            </w:pPr>
          </w:p>
        </w:tc>
        <w:tc>
          <w:tcPr>
            <w:tcW w:w="1620" w:type="dxa"/>
            <w:vAlign w:val="bottom"/>
            <w:tcBorders>
              <w:right w:val="single" w:sz="8" w:color="auto"/>
            </w:tcBorders>
            <w:vMerge w:val="continue"/>
          </w:tcPr>
          <w:p>
            <w:pPr>
              <w:spacing w:after="0"/>
              <w:rPr>
                <w:sz w:val="14"/>
                <w:szCs w:val="14"/>
                <w:color w:val="auto"/>
              </w:rPr>
            </w:pPr>
          </w:p>
        </w:tc>
        <w:tc>
          <w:tcPr>
            <w:tcW w:w="1540" w:type="dxa"/>
            <w:vAlign w:val="bottom"/>
            <w:tcBorders>
              <w:right w:val="single" w:sz="8" w:color="auto"/>
            </w:tcBorders>
            <w:vMerge w:val="continue"/>
          </w:tcPr>
          <w:p>
            <w:pPr>
              <w:spacing w:after="0"/>
              <w:rPr>
                <w:sz w:val="14"/>
                <w:szCs w:val="14"/>
                <w:color w:val="auto"/>
              </w:rPr>
            </w:pPr>
          </w:p>
        </w:tc>
        <w:tc>
          <w:tcPr>
            <w:tcW w:w="126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2240" w:type="dxa"/>
            <w:vAlign w:val="bottom"/>
            <w:tcBorders>
              <w:right w:val="single" w:sz="8" w:color="auto"/>
            </w:tcBorders>
            <w:shd w:val="clear" w:color="auto" w:fill="000000"/>
          </w:tcPr>
          <w:p>
            <w:pPr>
              <w:spacing w:after="0" w:line="20" w:lineRule="exact"/>
              <w:rPr>
                <w:sz w:val="1"/>
                <w:szCs w:val="1"/>
                <w:color w:val="auto"/>
              </w:rPr>
            </w:pPr>
          </w:p>
        </w:tc>
        <w:tc>
          <w:tcPr>
            <w:tcW w:w="1260" w:type="dxa"/>
            <w:vAlign w:val="bottom"/>
            <w:tcBorders>
              <w:right w:val="single" w:sz="8" w:color="auto"/>
            </w:tcBorders>
            <w:shd w:val="clear" w:color="auto" w:fill="000000"/>
          </w:tcPr>
          <w:p>
            <w:pPr>
              <w:spacing w:after="0" w:line="20" w:lineRule="exact"/>
              <w:rPr>
                <w:sz w:val="1"/>
                <w:szCs w:val="1"/>
                <w:color w:val="auto"/>
              </w:rPr>
            </w:pPr>
          </w:p>
        </w:tc>
        <w:tc>
          <w:tcPr>
            <w:tcW w:w="1000" w:type="dxa"/>
            <w:vAlign w:val="bottom"/>
            <w:tcBorders>
              <w:right w:val="single" w:sz="8" w:color="auto"/>
            </w:tcBorders>
            <w:shd w:val="clear" w:color="auto" w:fill="000000"/>
          </w:tcPr>
          <w:p>
            <w:pPr>
              <w:spacing w:after="0" w:line="20" w:lineRule="exact"/>
              <w:rPr>
                <w:sz w:val="1"/>
                <w:szCs w:val="1"/>
                <w:color w:val="auto"/>
              </w:rPr>
            </w:pPr>
          </w:p>
        </w:tc>
        <w:tc>
          <w:tcPr>
            <w:tcW w:w="1620" w:type="dxa"/>
            <w:vAlign w:val="bottom"/>
            <w:tcBorders>
              <w:right w:val="single" w:sz="8" w:color="auto"/>
            </w:tcBorders>
            <w:shd w:val="clear" w:color="auto" w:fill="000000"/>
          </w:tcPr>
          <w:p>
            <w:pPr>
              <w:spacing w:after="0" w:line="20" w:lineRule="exact"/>
              <w:rPr>
                <w:sz w:val="1"/>
                <w:szCs w:val="1"/>
                <w:color w:val="auto"/>
              </w:rPr>
            </w:pPr>
          </w:p>
        </w:tc>
        <w:tc>
          <w:tcPr>
            <w:tcW w:w="1540" w:type="dxa"/>
            <w:vAlign w:val="bottom"/>
            <w:tcBorders>
              <w:right w:val="single" w:sz="8" w:color="auto"/>
            </w:tcBorders>
            <w:shd w:val="clear" w:color="auto" w:fill="000000"/>
          </w:tcPr>
          <w:p>
            <w:pPr>
              <w:spacing w:after="0" w:line="20" w:lineRule="exact"/>
              <w:rPr>
                <w:sz w:val="1"/>
                <w:szCs w:val="1"/>
                <w:color w:val="auto"/>
              </w:rPr>
            </w:pPr>
          </w:p>
        </w:tc>
        <w:tc>
          <w:tcPr>
            <w:tcW w:w="126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179"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2">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ind w:left="360" w:right="360"/>
        <w:spacing w:after="0" w:line="188"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3 cases occurred outside of Republic of Korea.</w:t>
      </w:r>
    </w:p>
    <w:p>
      <w:pPr>
        <w:spacing w:after="0" w:line="1" w:lineRule="exact"/>
        <w:rPr>
          <w:sz w:val="20"/>
          <w:szCs w:val="20"/>
          <w:color w:val="auto"/>
        </w:rPr>
      </w:pPr>
    </w:p>
    <w:p>
      <w:pPr>
        <w:ind w:left="360" w:right="360"/>
        <w:spacing w:after="0" w:line="18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1 case occurred outside of Malaysia. One patient also had travel history to China, but exposure likely occurred after return to Malaysia.</w:t>
      </w:r>
    </w:p>
    <w:p>
      <w:pPr>
        <w:ind w:left="360"/>
        <w:spacing w:after="0" w:line="214"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6 cases occurred outside of the United Kingdom.</w:t>
      </w:r>
    </w:p>
    <w:p>
      <w:pPr>
        <w:ind w:left="360"/>
        <w:spacing w:after="0" w:line="184" w:lineRule="auto"/>
        <w:rPr>
          <w:sz w:val="20"/>
          <w:szCs w:val="20"/>
          <w:color w:val="auto"/>
        </w:rPr>
      </w:pPr>
      <w:r>
        <w:rPr>
          <w:rFonts w:ascii="Calibri" w:cs="Calibri" w:eastAsia="Calibri" w:hAnsi="Calibri"/>
          <w:sz w:val="23"/>
          <w:szCs w:val="23"/>
          <w:b w:val="1"/>
          <w:bCs w:val="1"/>
          <w:color w:val="auto"/>
          <w:vertAlign w:val="superscript"/>
        </w:rPr>
        <w:t>††</w:t>
      </w:r>
      <w:r>
        <w:rPr>
          <w:rFonts w:ascii="Calibri" w:cs="Calibri" w:eastAsia="Calibri" w:hAnsi="Calibri"/>
          <w:sz w:val="17"/>
          <w:szCs w:val="17"/>
          <w:color w:val="auto"/>
        </w:rPr>
        <w:t>The exposure for 2 cases occurred outside of Spain.</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sectPr>
          <w:pgSz w:w="11920" w:h="16841" w:orient="portrait"/>
          <w:cols w:equalWidth="0" w:num="1">
            <w:col w:w="11180"/>
          </w:cols>
          <w:pgMar w:left="360" w:top="943" w:right="371" w:bottom="1440" w:gutter="0" w:footer="0" w:header="0"/>
        </w:sectPr>
      </w:pPr>
    </w:p>
    <w:bookmarkStart w:id="4" w:name="page5"/>
    <w:bookmarkEnd w:id="4"/>
    <w:p>
      <w:pPr>
        <w:spacing w:after="0" w:line="218" w:lineRule="auto"/>
        <w:rPr>
          <w:sz w:val="20"/>
          <w:szCs w:val="20"/>
          <w:color w:val="auto"/>
        </w:rPr>
      </w:pPr>
      <w:r>
        <w:rPr>
          <w:rFonts w:ascii="Calibri" w:cs="Calibri" w:eastAsia="Calibri" w:hAnsi="Calibri"/>
          <w:sz w:val="22"/>
          <w:szCs w:val="22"/>
          <w:b w:val="1"/>
          <w:bCs w:val="1"/>
          <w:color w:val="007AB0"/>
        </w:rPr>
        <w:t>Figure 2. Epidemic curve of COVID-19 cases (n=215) identified outside of China, by date of onset of symptoms and travel history, 18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581140" cy="33127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6581140" cy="33127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right="240"/>
        <w:spacing w:after="0" w:line="254" w:lineRule="auto"/>
        <w:rPr>
          <w:sz w:val="20"/>
          <w:szCs w:val="20"/>
          <w:color w:val="auto"/>
        </w:rPr>
      </w:pPr>
      <w:r>
        <w:rPr>
          <w:rFonts w:ascii="Calibri" w:cs="Calibri" w:eastAsia="Calibri" w:hAnsi="Calibri"/>
          <w:sz w:val="22"/>
          <w:szCs w:val="22"/>
          <w:color w:val="auto"/>
        </w:rPr>
        <w:t>Note for figure 2: Of the 804 cases reported outside China, 27 were detected while apparently asymptomatic. For the remaining 777 cases, information on date of onset is available only for the 215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right="320"/>
        <w:spacing w:after="0" w:line="218" w:lineRule="auto"/>
        <w:rPr>
          <w:sz w:val="20"/>
          <w:szCs w:val="20"/>
          <w:color w:val="auto"/>
        </w:rPr>
      </w:pPr>
      <w:r>
        <w:rPr>
          <w:rFonts w:ascii="Calibri" w:cs="Calibri" w:eastAsia="Calibri" w:hAnsi="Calibri"/>
          <w:sz w:val="22"/>
          <w:szCs w:val="22"/>
          <w:b w:val="1"/>
          <w:bCs w:val="1"/>
          <w:color w:val="007AB0"/>
        </w:rPr>
        <w:t>Figure 3. Epidemic curve of COVID-19 cases (n=804) identified outside of China, by date of reporting and travel history, 18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647180" cy="36233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6647180" cy="3623310"/>
                    </a:xfrm>
                    <a:prstGeom prst="rect">
                      <a:avLst/>
                    </a:prstGeom>
                    <a:noFill/>
                  </pic:spPr>
                </pic:pic>
              </a:graphicData>
            </a:graphic>
          </wp:anchor>
        </w:drawing>
      </w:r>
    </w:p>
    <w:p>
      <w:pPr>
        <w:sectPr>
          <w:pgSz w:w="11920" w:h="16841" w:orient="portrait"/>
          <w:cols w:equalWidth="0" w:num="1">
            <w:col w:w="10380"/>
          </w:cols>
          <w:pgMar w:left="720" w:top="943" w:right="811" w:bottom="1440" w:gutter="0" w:footer="0" w:header="0"/>
        </w:sectPr>
      </w:pPr>
    </w:p>
    <w:bookmarkStart w:id="5" w:name="page6"/>
    <w:bookmarkEnd w:id="5"/>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300" w:hanging="351"/>
        <w:spacing w:after="0" w:line="225"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60" w:hanging="351"/>
        <w:spacing w:after="0" w:line="218"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8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5">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jc w:val="both"/>
        <w:ind w:left="360" w:right="860" w:hanging="360"/>
        <w:spacing w:after="0" w:line="253"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6">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80" w:hanging="360"/>
        <w:spacing w:after="0" w:line="264"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7">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7">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66" w:lineRule="exact"/>
        <w:rPr>
          <w:rFonts w:ascii="Calibri" w:cs="Calibri" w:eastAsia="Calibri" w:hAnsi="Calibri"/>
          <w:sz w:val="22"/>
          <w:szCs w:val="22"/>
          <w:color w:val="0000FF"/>
        </w:rPr>
      </w:pPr>
    </w:p>
    <w:p>
      <w:pPr>
        <w:ind w:left="360" w:right="180" w:hanging="360"/>
        <w:spacing w:after="0" w:line="236"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8" w:lineRule="exact"/>
        <w:rPr>
          <w:rFonts w:ascii="Arial" w:cs="Arial" w:eastAsia="Arial" w:hAnsi="Arial"/>
          <w:sz w:val="22"/>
          <w:szCs w:val="22"/>
          <w:color w:val="auto"/>
        </w:rPr>
      </w:pPr>
    </w:p>
    <w:p>
      <w:pPr>
        <w:ind w:left="360" w:right="40" w:hanging="360"/>
        <w:spacing w:after="0" w:line="265" w:lineRule="auto"/>
        <w:tabs>
          <w:tab w:leader="none" w:pos="360" w:val="left"/>
        </w:tabs>
        <w:numPr>
          <w:ilvl w:val="0"/>
          <w:numId w:val="4"/>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8">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9">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9">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20">
        <w:r>
          <w:rPr>
            <w:rFonts w:ascii="Calibri" w:cs="Calibri" w:eastAsia="Calibri" w:hAnsi="Calibri"/>
            <w:sz w:val="22"/>
            <w:szCs w:val="22"/>
            <w:u w:val="single" w:color="auto"/>
            <w:color w:val="0000FF"/>
          </w:rPr>
          <w:t>clinical management</w:t>
        </w:r>
      </w:hyperlink>
      <w:hyperlink r:id="rId21">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1">
        <w:r>
          <w:rPr>
            <w:rFonts w:ascii="Calibri" w:cs="Calibri" w:eastAsia="Calibri" w:hAnsi="Calibri"/>
            <w:sz w:val="22"/>
            <w:szCs w:val="22"/>
            <w:u w:val="single" w:color="auto"/>
            <w:color w:val="0000FF"/>
          </w:rPr>
          <w:t xml:space="preserve">infection prevention and control in health care settings, </w:t>
        </w:r>
      </w:hyperlink>
      <w:hyperlink r:id="rId22">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2">
        <w:r>
          <w:rPr>
            <w:rFonts w:ascii="Calibri" w:cs="Calibri" w:eastAsia="Calibri" w:hAnsi="Calibri"/>
            <w:sz w:val="22"/>
            <w:szCs w:val="22"/>
            <w:u w:val="single" w:color="auto"/>
            <w:color w:val="0000FF"/>
          </w:rPr>
          <w:t xml:space="preserve">coronavirus, </w:t>
        </w:r>
      </w:hyperlink>
      <w:hyperlink r:id="rId23">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2">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2">
        <w:r>
          <w:rPr>
            <w:rFonts w:ascii="Calibri" w:cs="Calibri" w:eastAsia="Calibri" w:hAnsi="Calibri"/>
            <w:sz w:val="22"/>
            <w:szCs w:val="22"/>
            <w:u w:val="single" w:color="auto"/>
            <w:color w:val="0000FF"/>
          </w:rPr>
          <w:t>novel coronavirus (2019-nCoV).</w:t>
        </w:r>
      </w:hyperlink>
    </w:p>
    <w:p>
      <w:pPr>
        <w:spacing w:after="0" w:line="63" w:lineRule="exact"/>
        <w:rPr>
          <w:rFonts w:ascii="Calibri" w:cs="Calibri" w:eastAsia="Calibri" w:hAnsi="Calibri"/>
          <w:sz w:val="22"/>
          <w:szCs w:val="22"/>
          <w:u w:val="single" w:color="auto"/>
          <w:color w:val="0000FF"/>
        </w:rPr>
      </w:pPr>
    </w:p>
    <w:p>
      <w:pPr>
        <w:ind w:left="360" w:right="880" w:hanging="360"/>
        <w:spacing w:after="0" w:line="235"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11">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4">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1020" w:hanging="360"/>
        <w:spacing w:after="0" w:line="236"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5">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5">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39" w:lineRule="exact"/>
        <w:rPr>
          <w:rFonts w:ascii="Calibri" w:cs="Calibri" w:eastAsia="Calibri" w:hAnsi="Calibri"/>
          <w:sz w:val="22"/>
          <w:szCs w:val="22"/>
          <w:color w:val="0000FF"/>
        </w:rPr>
      </w:pPr>
    </w:p>
    <w:p>
      <w:pPr>
        <w:ind w:left="360" w:hanging="360"/>
        <w:spacing w:after="0"/>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60" w:hanging="360"/>
        <w:spacing w:after="0" w:line="236"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6">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88" w:lineRule="exact"/>
        <w:rPr>
          <w:rFonts w:ascii="Calibri" w:cs="Calibri" w:eastAsia="Calibri" w:hAnsi="Calibri"/>
          <w:sz w:val="22"/>
          <w:szCs w:val="22"/>
          <w:color w:val="auto"/>
        </w:rPr>
      </w:pPr>
    </w:p>
    <w:p>
      <w:pPr>
        <w:ind w:left="360" w:hanging="360"/>
        <w:spacing w:after="0" w:line="261"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-3173095</wp:posOffset>
                </wp:positionV>
                <wp:extent cx="31750" cy="1333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3335"/>
                        </a:xfrm>
                        <a:prstGeom prst="rect">
                          <a:avLst/>
                        </a:prstGeom>
                        <a:solidFill>
                          <a:srgbClr val="000000"/>
                        </a:solidFill>
                      </wps:spPr>
                      <wps:bodyPr/>
                    </wps:wsp>
                  </a:graphicData>
                </a:graphic>
              </wp:anchor>
            </w:drawing>
          </mc:Choice>
          <mc:Fallback>
            <w:pict>
              <v:rect id="Shape 10" o:spid="_x0000_s1035" style="position:absolute;margin-left:202.95pt;margin-top:-249.8499pt;width:2.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6278880</wp:posOffset>
                </wp:positionH>
                <wp:positionV relativeFrom="paragraph">
                  <wp:posOffset>-2976245</wp:posOffset>
                </wp:positionV>
                <wp:extent cx="30480"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FF"/>
                        </a:solidFill>
                      </wps:spPr>
                      <wps:bodyPr/>
                    </wps:wsp>
                  </a:graphicData>
                </a:graphic>
              </wp:anchor>
            </w:drawing>
          </mc:Choice>
          <mc:Fallback>
            <w:pict>
              <v:rect id="Shape 11" o:spid="_x0000_s1036" style="position:absolute;margin-left:494.4pt;margin-top:-234.34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80"/>
          </w:cols>
          <w:pgMar w:left="720" w:top="1440" w:right="711" w:bottom="212" w:gutter="0" w:footer="0" w:header="0"/>
        </w:sectPr>
      </w:pPr>
    </w:p>
    <w:bookmarkStart w:id="6" w:name="page7"/>
    <w:bookmarkEnd w:id="6"/>
    <w:p>
      <w:pPr>
        <w:ind w:left="360"/>
        <w:spacing w:after="0"/>
        <w:rPr>
          <w:sz w:val="20"/>
          <w:szCs w:val="20"/>
          <w:color w:val="auto"/>
        </w:rPr>
      </w:pPr>
      <w:r>
        <w:rPr>
          <w:rFonts w:ascii="Calibri" w:cs="Calibri" w:eastAsia="Calibri" w:hAnsi="Calibri"/>
          <w:sz w:val="22"/>
          <w:szCs w:val="22"/>
          <w:color w:val="auto"/>
        </w:rPr>
        <w:t>countermeasures such as case isolation, contact tracing and isolation. Several protocols are available here:</w:t>
      </w:r>
    </w:p>
    <w:p>
      <w:pPr>
        <w:spacing w:after="0" w:line="41" w:lineRule="exact"/>
        <w:rPr>
          <w:sz w:val="20"/>
          <w:szCs w:val="20"/>
          <w:color w:val="auto"/>
        </w:rPr>
      </w:pPr>
    </w:p>
    <w:p>
      <w:pPr>
        <w:ind w:left="360"/>
        <w:spacing w:after="0"/>
        <w:rPr>
          <w:rFonts w:ascii="Calibri" w:cs="Calibri" w:eastAsia="Calibri" w:hAnsi="Calibri"/>
          <w:sz w:val="22"/>
          <w:szCs w:val="22"/>
          <w:u w:val="single" w:color="auto"/>
          <w:color w:val="0000FF"/>
        </w:rPr>
      </w:pPr>
      <w:hyperlink r:id="rId27">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88" w:lineRule="exact"/>
        <w:rPr>
          <w:sz w:val="20"/>
          <w:szCs w:val="20"/>
          <w:color w:val="auto"/>
        </w:rPr>
      </w:pPr>
    </w:p>
    <w:p>
      <w:pPr>
        <w:ind w:left="360" w:right="300" w:hanging="360"/>
        <w:spacing w:after="0" w:line="261"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360" w:right="20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right="32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COVID-19 can be similar. The basic principles to reduce the general risk of transmission of acute respiratory infections include the following:</w:t>
      </w:r>
    </w:p>
    <w:p>
      <w:pPr>
        <w:spacing w:after="0" w:line="329" w:lineRule="exact"/>
        <w:rPr>
          <w:sz w:val="20"/>
          <w:szCs w:val="20"/>
          <w:color w:val="auto"/>
        </w:rPr>
      </w:pPr>
    </w:p>
    <w:p>
      <w:pPr>
        <w:ind w:left="360" w:hanging="360"/>
        <w:spacing w:after="0"/>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38" w:lineRule="exact"/>
        <w:rPr>
          <w:rFonts w:ascii="Arial" w:cs="Arial" w:eastAsia="Arial" w:hAnsi="Arial"/>
          <w:sz w:val="22"/>
          <w:szCs w:val="22"/>
          <w:color w:val="auto"/>
        </w:rPr>
      </w:pPr>
    </w:p>
    <w:p>
      <w:pPr>
        <w:ind w:left="360" w:hanging="360"/>
        <w:spacing w:after="0"/>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90" w:lineRule="exact"/>
        <w:rPr>
          <w:rFonts w:ascii="Arial" w:cs="Arial" w:eastAsia="Arial" w:hAnsi="Arial"/>
          <w:sz w:val="22"/>
          <w:szCs w:val="22"/>
          <w:color w:val="auto"/>
        </w:rPr>
      </w:pPr>
    </w:p>
    <w:p>
      <w:pPr>
        <w:ind w:left="360" w:right="200" w:hanging="360"/>
        <w:spacing w:after="0" w:line="235"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0" w:lineRule="exact"/>
        <w:rPr>
          <w:rFonts w:ascii="Arial" w:cs="Arial" w:eastAsia="Arial" w:hAnsi="Arial"/>
          <w:sz w:val="22"/>
          <w:szCs w:val="22"/>
          <w:color w:val="auto"/>
        </w:rPr>
      </w:pPr>
    </w:p>
    <w:p>
      <w:pPr>
        <w:ind w:left="360" w:right="100" w:hanging="360"/>
        <w:spacing w:after="0" w:line="236"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1" w:lineRule="exact"/>
        <w:rPr>
          <w:sz w:val="20"/>
          <w:szCs w:val="20"/>
          <w:color w:val="auto"/>
        </w:rPr>
      </w:pPr>
    </w:p>
    <w:p>
      <w:pPr>
        <w:jc w:val="both"/>
        <w:spacing w:after="0" w:line="253"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1" w:orient="portrait"/>
      <w:cols w:equalWidth="0" w:num="1">
        <w:col w:w="10460"/>
      </w:cols>
      <w:pgMar w:left="720" w:top="894"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1"/>
      <w:numFmt w:val="decimal"/>
      <w:start w:val="25"/>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9" Type="http://schemas.openxmlformats.org/officeDocument/2006/relationships/hyperlink" Target="https://www.who.int/docs/default-source/coronaviruse/who-rights-roles-respon-hw-covid-19.pdf?sfvrsn=bcabd401_0" TargetMode="External"/><Relationship Id="rId11" Type="http://schemas.openxmlformats.org/officeDocument/2006/relationships/hyperlink" Target="https://www.who.int/publications-detail/disease-commodity-package---novel-coronavirus-(ncov)" TargetMode="External"/><Relationship Id="rId12" Type="http://schemas.openxmlformats.org/officeDocument/2006/relationships/hyperlink" Target="https://www.who.int/publications-detail/global-surveillance-for-human-infection-with-novel-coronavirus-(2019-ncov)" TargetMode="External"/><Relationship Id="rId15" Type="http://schemas.openxmlformats.org/officeDocument/2006/relationships/hyperlink" Target="https://www.who.int/emergencies/diseases/novel-coronavirus-2019/technical-guidance" TargetMode="External"/><Relationship Id="rId16" Type="http://schemas.openxmlformats.org/officeDocument/2006/relationships/hyperlink" Target="https://www.iata.org/en/programs/safety/health/diseases/#tab-2" TargetMode="External"/><Relationship Id="rId17" Type="http://schemas.openxmlformats.org/officeDocument/2006/relationships/hyperlink" Target="https://www.who.int/publications-detail/the-first-few-x-(ffx)-cases-and-contact-investigation-protocol-for-2019-novel-coronavirus-(2019-ncov)-infection" TargetMode="External"/><Relationship Id="rId18" Type="http://schemas.openxmlformats.org/officeDocument/2006/relationships/hyperlink" Target="https://www.who.int/emergencies/diseases/novel-coronavirus-2019/technical-guidance/laboratory-guidance" TargetMode="External"/><Relationship Id="rId19" Type="http://schemas.openxmlformats.org/officeDocument/2006/relationships/hyperlink" Target="https://www.who.int/publications-detail/advice-on-the-use-of-masks-in-the-community-during-home-care-and-in-healthcare-settings-in-the-context-of-the-novel-coronavirus-(2019-ncov)-outbreak" TargetMode="External"/><Relationship Id="rId20" Type="http://schemas.openxmlformats.org/officeDocument/2006/relationships/hyperlink" Target="https://www.who.int/publications-detail/clinical-management-of-severe-acute-respiratory-infection-when-novel-coronavirus-(ncov)-infection-is-suspected" TargetMode="External"/><Relationship Id="rId21" Type="http://schemas.openxmlformats.org/officeDocument/2006/relationships/hyperlink" Target="https://www.who.int/emergencies/diseases/novel-coronavirus-2019/technical-guidance/infection-prevention-and-control" TargetMode="External"/><Relationship Id="rId22" Type="http://schemas.openxmlformats.org/officeDocument/2006/relationships/hyperlink" Target="https://www.who.int/publications-detail/home-care-for-patients-with-suspected-novel-coronavirus-(ncov)-infection-presenting-with-mild-symptoms-and-management-of-contacts" TargetMode="External"/><Relationship Id="rId23" Type="http://schemas.openxmlformats.org/officeDocument/2006/relationships/hyperlink" Target="https://www.who.int/publications-detail/risk-communication-and-community-engagement-readiness-and-initial-response-for-novel-coronaviruses-(-ncov)" TargetMode="External"/><Relationship Id="rId24" Type="http://schemas.openxmlformats.org/officeDocument/2006/relationships/hyperlink" Target="https://www.who.int/health-topics/coronavirus/who-recommendations-to-reduce-risk-of-transmission-of-emerging-pathogens-from-animals-to-humans-in-live-animal-markets" TargetMode="External"/><Relationship Id="rId25" Type="http://schemas.openxmlformats.org/officeDocument/2006/relationships/hyperlink" Target="https://www.who.int/ith/2019-nCoV_advice_for_international_traffic/en/" TargetMode="External"/><Relationship Id="rId26" Type="http://schemas.openxmlformats.org/officeDocument/2006/relationships/hyperlink" Target="https://openwho.org/courses/introduction-to-ncov" TargetMode="External"/><Relationship Id="rId27"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2020-03-10T16:46:13Z</dcterms:created>
  <dcterms:modified xsi:type="dcterms:W3CDTF">2020-03-10T16:46:13Z</dcterms:modified>
</cp:coreProperties>
</file>