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Coronavirus disease 2019 (COVID-19)</w:t>
      </w:r>
    </w:p>
    <w:p>
      <w:pPr>
        <w:ind w:left="200"/>
        <w:spacing w:after="0"/>
        <w:rPr>
          <w:sz w:val="20"/>
          <w:szCs w:val="20"/>
          <w:color w:val="auto"/>
        </w:rPr>
      </w:pPr>
      <w:r>
        <w:rPr>
          <w:rFonts w:ascii="Arial" w:cs="Arial" w:eastAsia="Arial" w:hAnsi="Arial"/>
          <w:sz w:val="34"/>
          <w:szCs w:val="34"/>
          <w:b w:val="1"/>
          <w:bCs w:val="1"/>
          <w:color w:val="FFFFFF"/>
        </w:rPr>
        <w:t>Situation Report – 30</w:t>
      </w:r>
    </w:p>
    <w:p>
      <w:pPr>
        <w:spacing w:after="0" w:line="31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19 February 2020*</w:t>
      </w:r>
    </w:p>
    <w:p>
      <w:pPr>
        <w:spacing w:after="0" w:line="197"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4" w:lineRule="exact"/>
        <w:rPr>
          <w:sz w:val="24"/>
          <w:szCs w:val="24"/>
          <w:color w:val="auto"/>
        </w:rPr>
      </w:pPr>
    </w:p>
    <w:p>
      <w:pPr>
        <w:ind w:left="720" w:hanging="362"/>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COVID-19 in the past 24 hours.</w:t>
      </w:r>
    </w:p>
    <w:p>
      <w:pPr>
        <w:spacing w:after="0" w:line="329" w:lineRule="exact"/>
        <w:rPr>
          <w:rFonts w:ascii="Arial" w:cs="Arial" w:eastAsia="Arial" w:hAnsi="Arial"/>
          <w:sz w:val="22"/>
          <w:szCs w:val="22"/>
          <w:color w:val="auto"/>
        </w:rPr>
      </w:pPr>
    </w:p>
    <w:p>
      <w:pPr>
        <w:jc w:val="both"/>
        <w:ind w:left="720" w:hanging="362"/>
        <w:spacing w:after="0" w:line="236"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WHO is working with an international network of statisticians and mathematical modelers to estimate key epidemiologic parameters of COVID-19, such as the incubation period (the time between infection and symptom onset), case fatality ratio (CFR, the proportion of cases that die), and the serial interval (the time between symptom onset of a primary and secondary case). Reports of current analyses that have estimated these parameters are provided in this Situation Report as a summary of currently available evidence. These values should be considered preliminary and parameters will likely be updated as more information becomes available. Modelling can support decision-making but needs to be combined with rigorous data collection and a comprehensive analysis of the situation. Please see the Subject in Focus section for more information.</w:t>
      </w:r>
    </w:p>
    <w:p>
      <w:pPr>
        <w:spacing w:after="0" w:line="209" w:lineRule="exact"/>
        <w:rPr>
          <w:rFonts w:ascii="Arial" w:cs="Arial" w:eastAsia="Arial" w:hAnsi="Arial"/>
          <w:sz w:val="22"/>
          <w:szCs w:val="22"/>
          <w:color w:val="auto"/>
        </w:rPr>
      </w:pPr>
    </w:p>
    <w:p>
      <w:pPr>
        <w:ind w:left="720" w:hanging="362"/>
        <w:spacing w:after="0" w:line="217"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Several online courses related to COVID-19 have been added to the OpenWHO platform:</w:t>
      </w:r>
    </w:p>
    <w:p>
      <w:pPr>
        <w:spacing w:after="0" w:line="195" w:lineRule="exact"/>
        <w:rPr>
          <w:sz w:val="24"/>
          <w:szCs w:val="24"/>
          <w:color w:val="auto"/>
        </w:rPr>
      </w:pPr>
    </w:p>
    <w:p>
      <w:pPr>
        <w:jc w:val="both"/>
        <w:ind w:left="1440" w:hanging="362"/>
        <w:spacing w:after="0" w:line="214" w:lineRule="auto"/>
        <w:tabs>
          <w:tab w:leader="none" w:pos="1440" w:val="left"/>
        </w:tabs>
        <w:numPr>
          <w:ilvl w:val="0"/>
          <w:numId w:val="2"/>
        </w:numPr>
        <w:rPr>
          <w:rFonts w:ascii="Calibri" w:cs="Calibri" w:eastAsia="Calibri" w:hAnsi="Calibri"/>
          <w:sz w:val="22"/>
          <w:szCs w:val="22"/>
          <w:color w:val="000000"/>
        </w:rPr>
      </w:pPr>
      <w:hyperlink r:id="rId9">
        <w:r>
          <w:rPr>
            <w:rFonts w:ascii="Calibri" w:cs="Calibri" w:eastAsia="Calibri" w:hAnsi="Calibri"/>
            <w:sz w:val="22"/>
            <w:szCs w:val="22"/>
            <w:u w:val="single" w:color="auto"/>
            <w:color w:val="0000FF"/>
          </w:rPr>
          <w:t>A general introduction to emerging respiratory 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 xml:space="preserve">novel coronaviruses (available in </w:t>
      </w:r>
      <w:hyperlink r:id="rId10">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 xml:space="preserve">, </w:t>
        </w:r>
      </w:hyperlink>
      <w:hyperlink r:id="rId11">
        <w:r>
          <w:rPr>
            <w:rFonts w:ascii="Calibri" w:cs="Calibri" w:eastAsia="Calibri" w:hAnsi="Calibri"/>
            <w:sz w:val="22"/>
            <w:szCs w:val="22"/>
            <w:u w:val="single" w:color="auto"/>
            <w:color w:val="0000FF"/>
          </w:rPr>
          <w:t>Simplified Chinese</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00"/>
        </w:rPr>
        <w:t>and</w:t>
      </w:r>
    </w:p>
    <w:p>
      <w:pPr>
        <w:spacing w:after="0" w:line="2" w:lineRule="exact"/>
        <w:rPr>
          <w:rFonts w:ascii="Calibri" w:cs="Calibri" w:eastAsia="Calibri" w:hAnsi="Calibri"/>
          <w:sz w:val="22"/>
          <w:szCs w:val="22"/>
          <w:color w:val="0000FF"/>
        </w:rPr>
      </w:pPr>
    </w:p>
    <w:p>
      <w:pPr>
        <w:ind w:left="1440"/>
        <w:spacing w:after="0"/>
        <w:rPr>
          <w:rFonts w:ascii="Calibri" w:cs="Calibri" w:eastAsia="Calibri" w:hAnsi="Calibri"/>
          <w:sz w:val="22"/>
          <w:szCs w:val="22"/>
          <w:color w:val="0000FF"/>
        </w:rPr>
      </w:pPr>
      <w:hyperlink r:id="rId12">
        <w:r>
          <w:rPr>
            <w:rFonts w:ascii="Calibri" w:cs="Calibri" w:eastAsia="Calibri" w:hAnsi="Calibri"/>
            <w:sz w:val="22"/>
            <w:szCs w:val="22"/>
            <w:u w:val="single" w:color="auto"/>
            <w:color w:val="0000FF"/>
          </w:rPr>
          <w:t>Spanish</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as</w:t>
      </w:r>
      <w:r>
        <w:rPr>
          <w:rFonts w:ascii="Calibri" w:cs="Calibri" w:eastAsia="Calibri" w:hAnsi="Calibri"/>
          <w:sz w:val="22"/>
          <w:szCs w:val="22"/>
          <w:color w:val="0000FF"/>
        </w:rPr>
        <w:t xml:space="preserve"> </w:t>
      </w:r>
      <w:r>
        <w:rPr>
          <w:rFonts w:ascii="Calibri" w:cs="Calibri" w:eastAsia="Calibri" w:hAnsi="Calibri"/>
          <w:sz w:val="22"/>
          <w:szCs w:val="22"/>
          <w:color w:val="000000"/>
        </w:rPr>
        <w:t>well).</w:t>
      </w:r>
    </w:p>
    <w:p>
      <w:pPr>
        <w:ind w:left="1440" w:hanging="362"/>
        <w:spacing w:after="0" w:line="234" w:lineRule="auto"/>
        <w:tabs>
          <w:tab w:leader="none" w:pos="1440" w:val="left"/>
        </w:tabs>
        <w:numPr>
          <w:ilvl w:val="0"/>
          <w:numId w:val="3"/>
        </w:numPr>
        <w:rPr>
          <w:rFonts w:ascii="Calibri" w:cs="Calibri" w:eastAsia="Calibri" w:hAnsi="Calibri"/>
          <w:sz w:val="22"/>
          <w:szCs w:val="22"/>
          <w:u w:val="single" w:color="auto"/>
          <w:color w:val="0000FF"/>
        </w:rPr>
      </w:pPr>
      <w:hyperlink r:id="rId13">
        <w:r>
          <w:rPr>
            <w:rFonts w:ascii="Calibri" w:cs="Calibri" w:eastAsia="Calibri" w:hAnsi="Calibri"/>
            <w:sz w:val="22"/>
            <w:szCs w:val="22"/>
            <w:u w:val="single" w:color="auto"/>
            <w:color w:val="0000FF"/>
          </w:rPr>
          <w:t>Critical Care of Severe Acute Respiratory Infections</w:t>
        </w:r>
      </w:hyperlink>
    </w:p>
    <w:p>
      <w:pPr>
        <w:ind w:left="1440" w:hanging="362"/>
        <w:spacing w:after="0" w:line="234" w:lineRule="auto"/>
        <w:tabs>
          <w:tab w:leader="none" w:pos="1440" w:val="left"/>
        </w:tabs>
        <w:numPr>
          <w:ilvl w:val="0"/>
          <w:numId w:val="4"/>
        </w:numPr>
        <w:rPr>
          <w:rFonts w:ascii="Calibri" w:cs="Calibri" w:eastAsia="Calibri" w:hAnsi="Calibri"/>
          <w:sz w:val="22"/>
          <w:szCs w:val="22"/>
          <w:u w:val="single" w:color="auto"/>
          <w:color w:val="0000FF"/>
        </w:rPr>
      </w:pPr>
      <w:hyperlink r:id="rId14">
        <w:r>
          <w:rPr>
            <w:rFonts w:ascii="Calibri" w:cs="Calibri" w:eastAsia="Calibri" w:hAnsi="Calibri"/>
            <w:sz w:val="22"/>
            <w:szCs w:val="22"/>
            <w:u w:val="single" w:color="auto"/>
            <w:color w:val="0000FF"/>
          </w:rPr>
          <w:t>Health and safety briefing for respiratory diseases - ePROTECT</w:t>
        </w:r>
      </w:hyperlink>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w:br w:type="column"/>
      </w: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19" w:lineRule="exact"/>
        <w:rPr>
          <w:rFonts w:ascii="Calibri" w:cs="Calibri" w:eastAsia="Calibri" w:hAnsi="Calibri"/>
          <w:sz w:val="22"/>
          <w:szCs w:val="22"/>
          <w:color w:val="0000FF"/>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mc:AlternateContent>
          <mc:Choice Requires="wps">
            <w:drawing>
              <wp:anchor simplePos="0" relativeHeight="251657728" behindDoc="1" locked="0" layoutInCell="0" allowOverlap="1">
                <wp:simplePos x="0" y="0"/>
                <wp:positionH relativeFrom="column">
                  <wp:posOffset>-88900</wp:posOffset>
                </wp:positionH>
                <wp:positionV relativeFrom="paragraph">
                  <wp:posOffset>-278765</wp:posOffset>
                </wp:positionV>
                <wp:extent cx="225679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6790" cy="4314190"/>
                        </a:xfrm>
                        <a:prstGeom prst="rect">
                          <a:avLst/>
                        </a:prstGeom>
                        <a:solidFill>
                          <a:srgbClr val="E9E6D7"/>
                        </a:solidFill>
                      </wps:spPr>
                      <wps:bodyPr/>
                    </wps:wsp>
                  </a:graphicData>
                </a:graphic>
              </wp:anchor>
            </w:drawing>
          </mc:Choice>
          <mc:Fallback>
            <w:pict>
              <v:rect id="Shape 2" o:spid="_x0000_s1027" style="position:absolute;margin-left:-7pt;margin-top:-21.9499pt;width:177.7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200"/>
        <w:spacing w:after="0" w:line="236"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1" w:lineRule="exact"/>
        <w:rPr>
          <w:rFonts w:ascii="Calibri" w:cs="Calibri" w:eastAsia="Calibri" w:hAnsi="Calibri"/>
          <w:sz w:val="22"/>
          <w:szCs w:val="22"/>
          <w:color w:val="0000FF"/>
        </w:rPr>
      </w:pPr>
    </w:p>
    <w:p>
      <w:pPr>
        <w:ind w:left="120"/>
        <w:spacing w:after="0"/>
        <w:rPr>
          <w:sz w:val="20"/>
          <w:szCs w:val="20"/>
          <w:color w:val="auto"/>
        </w:rPr>
      </w:pPr>
      <w:r>
        <w:rPr>
          <w:rFonts w:ascii="Calibri" w:cs="Calibri" w:eastAsia="Calibri" w:hAnsi="Calibri"/>
          <w:sz w:val="24"/>
          <w:szCs w:val="24"/>
          <w:b w:val="1"/>
          <w:bCs w:val="1"/>
          <w:color w:val="FF6600"/>
        </w:rPr>
        <w:t>Globally</w:t>
      </w:r>
    </w:p>
    <w:p>
      <w:pPr>
        <w:spacing w:after="0" w:line="1" w:lineRule="exact"/>
        <w:rPr>
          <w:rFonts w:ascii="Calibri" w:cs="Calibri" w:eastAsia="Calibri" w:hAnsi="Calibri"/>
          <w:sz w:val="22"/>
          <w:szCs w:val="22"/>
          <w:color w:val="0000FF"/>
        </w:rPr>
      </w:pPr>
    </w:p>
    <w:p>
      <w:pPr>
        <w:ind w:left="120"/>
        <w:spacing w:after="0"/>
        <w:rPr>
          <w:sz w:val="20"/>
          <w:szCs w:val="20"/>
          <w:color w:val="auto"/>
        </w:rPr>
      </w:pPr>
      <w:r>
        <w:rPr>
          <w:rFonts w:ascii="Calibri" w:cs="Calibri" w:eastAsia="Calibri" w:hAnsi="Calibri"/>
          <w:sz w:val="24"/>
          <w:szCs w:val="24"/>
          <w:color w:val="FF6600"/>
        </w:rPr>
        <w:t>75 204 confirmed (1872 new)</w:t>
      </w:r>
    </w:p>
    <w:p>
      <w:pPr>
        <w:spacing w:after="0" w:line="260" w:lineRule="exact"/>
        <w:rPr>
          <w:rFonts w:ascii="Calibri" w:cs="Calibri" w:eastAsia="Calibri" w:hAnsi="Calibri"/>
          <w:sz w:val="22"/>
          <w:szCs w:val="22"/>
          <w:color w:val="0000FF"/>
        </w:rPr>
      </w:pPr>
    </w:p>
    <w:p>
      <w:pPr>
        <w:ind w:left="120"/>
        <w:spacing w:after="0"/>
        <w:rPr>
          <w:sz w:val="20"/>
          <w:szCs w:val="20"/>
          <w:color w:val="auto"/>
        </w:rPr>
      </w:pPr>
      <w:r>
        <w:rPr>
          <w:rFonts w:ascii="Calibri" w:cs="Calibri" w:eastAsia="Calibri" w:hAnsi="Calibri"/>
          <w:sz w:val="24"/>
          <w:szCs w:val="24"/>
          <w:b w:val="1"/>
          <w:bCs w:val="1"/>
          <w:color w:val="FF6600"/>
        </w:rPr>
        <w:t xml:space="preserve">China </w:t>
      </w:r>
      <w:r>
        <w:rPr>
          <w:rFonts w:ascii="Calibri" w:cs="Calibri" w:eastAsia="Calibri" w:hAnsi="Calibri"/>
          <w:sz w:val="31"/>
          <w:szCs w:val="31"/>
          <w:b w:val="1"/>
          <w:bCs w:val="1"/>
          <w:color w:val="FF6600"/>
          <w:vertAlign w:val="superscript"/>
        </w:rPr>
        <w:t>†</w:t>
      </w:r>
    </w:p>
    <w:p>
      <w:pPr>
        <w:ind w:left="120"/>
        <w:spacing w:after="0" w:line="196" w:lineRule="auto"/>
        <w:rPr>
          <w:sz w:val="20"/>
          <w:szCs w:val="20"/>
          <w:color w:val="auto"/>
        </w:rPr>
      </w:pPr>
      <w:r>
        <w:rPr>
          <w:rFonts w:ascii="Calibri" w:cs="Calibri" w:eastAsia="Calibri" w:hAnsi="Calibri"/>
          <w:sz w:val="24"/>
          <w:szCs w:val="24"/>
          <w:color w:val="FF6600"/>
        </w:rPr>
        <w:t>74 280 confirmed (1752 new)</w:t>
      </w:r>
    </w:p>
    <w:p>
      <w:pPr>
        <w:spacing w:after="0" w:line="1" w:lineRule="exact"/>
        <w:rPr>
          <w:rFonts w:ascii="Calibri" w:cs="Calibri" w:eastAsia="Calibri" w:hAnsi="Calibri"/>
          <w:sz w:val="22"/>
          <w:szCs w:val="22"/>
          <w:color w:val="0000FF"/>
        </w:rPr>
      </w:pPr>
    </w:p>
    <w:p>
      <w:pPr>
        <w:ind w:left="280"/>
        <w:spacing w:after="0"/>
        <w:rPr>
          <w:sz w:val="20"/>
          <w:szCs w:val="20"/>
          <w:color w:val="auto"/>
        </w:rPr>
      </w:pPr>
      <w:r>
        <w:rPr>
          <w:rFonts w:ascii="Calibri" w:cs="Calibri" w:eastAsia="Calibri" w:hAnsi="Calibri"/>
          <w:sz w:val="24"/>
          <w:szCs w:val="24"/>
          <w:color w:val="FF6600"/>
        </w:rPr>
        <w:t>2006 deaths (136 new)</w:t>
      </w:r>
    </w:p>
    <w:p>
      <w:pPr>
        <w:spacing w:after="0" w:line="293" w:lineRule="exact"/>
        <w:rPr>
          <w:rFonts w:ascii="Calibri" w:cs="Calibri" w:eastAsia="Calibri" w:hAnsi="Calibri"/>
          <w:sz w:val="22"/>
          <w:szCs w:val="22"/>
          <w:color w:val="0000FF"/>
        </w:rPr>
      </w:pPr>
    </w:p>
    <w:p>
      <w:pPr>
        <w:ind w:left="120"/>
        <w:spacing w:after="0"/>
        <w:rPr>
          <w:sz w:val="20"/>
          <w:szCs w:val="20"/>
          <w:color w:val="auto"/>
        </w:rPr>
      </w:pPr>
      <w:r>
        <w:rPr>
          <w:rFonts w:ascii="Calibri" w:cs="Calibri" w:eastAsia="Calibri" w:hAnsi="Calibri"/>
          <w:sz w:val="24"/>
          <w:szCs w:val="24"/>
          <w:b w:val="1"/>
          <w:bCs w:val="1"/>
          <w:color w:val="FF6600"/>
        </w:rPr>
        <w:t>Outside of China</w:t>
      </w:r>
    </w:p>
    <w:p>
      <w:pPr>
        <w:spacing w:after="0" w:line="1" w:lineRule="exact"/>
        <w:rPr>
          <w:rFonts w:ascii="Calibri" w:cs="Calibri" w:eastAsia="Calibri" w:hAnsi="Calibri"/>
          <w:sz w:val="22"/>
          <w:szCs w:val="22"/>
          <w:color w:val="0000FF"/>
        </w:rPr>
      </w:pPr>
    </w:p>
    <w:p>
      <w:pPr>
        <w:ind w:left="120"/>
        <w:spacing w:after="0"/>
        <w:rPr>
          <w:sz w:val="20"/>
          <w:szCs w:val="20"/>
          <w:color w:val="auto"/>
        </w:rPr>
      </w:pPr>
      <w:r>
        <w:rPr>
          <w:rFonts w:ascii="Calibri" w:cs="Calibri" w:eastAsia="Calibri" w:hAnsi="Calibri"/>
          <w:sz w:val="24"/>
          <w:szCs w:val="24"/>
          <w:color w:val="FF6600"/>
        </w:rPr>
        <w:t>924 confirmed (120 new)</w:t>
      </w:r>
    </w:p>
    <w:p>
      <w:pPr>
        <w:ind w:left="520" w:hanging="299"/>
        <w:spacing w:after="0"/>
        <w:tabs>
          <w:tab w:leader="none" w:pos="520" w:val="left"/>
        </w:tabs>
        <w:numPr>
          <w:ilvl w:val="0"/>
          <w:numId w:val="5"/>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320"/>
        <w:spacing w:after="0"/>
        <w:rPr>
          <w:rFonts w:ascii="Calibri" w:cs="Calibri" w:eastAsia="Calibri" w:hAnsi="Calibri"/>
          <w:sz w:val="24"/>
          <w:szCs w:val="24"/>
          <w:color w:val="FF6600"/>
        </w:rPr>
      </w:pPr>
      <w:r>
        <w:rPr>
          <w:rFonts w:ascii="Calibri" w:cs="Calibri" w:eastAsia="Calibri" w:hAnsi="Calibri"/>
          <w:sz w:val="24"/>
          <w:szCs w:val="24"/>
          <w:color w:val="FF6600"/>
        </w:rPr>
        <w:t>3 deaths</w:t>
      </w:r>
    </w:p>
    <w:p>
      <w:pPr>
        <w:spacing w:after="0" w:line="292" w:lineRule="exact"/>
        <w:rPr>
          <w:rFonts w:ascii="Calibri" w:cs="Calibri" w:eastAsia="Calibri" w:hAnsi="Calibri"/>
          <w:sz w:val="22"/>
          <w:szCs w:val="22"/>
          <w:color w:val="0000FF"/>
        </w:rPr>
      </w:pPr>
    </w:p>
    <w:p>
      <w:pPr>
        <w:ind w:left="12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Calibri" w:cs="Calibri" w:eastAsia="Calibri" w:hAnsi="Calibri"/>
          <w:sz w:val="22"/>
          <w:szCs w:val="22"/>
          <w:color w:val="0000FF"/>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spacing w:after="0" w:line="1" w:lineRule="exact"/>
        <w:rPr>
          <w:rFonts w:ascii="Calibri" w:cs="Calibri" w:eastAsia="Calibri" w:hAnsi="Calibri"/>
          <w:sz w:val="22"/>
          <w:szCs w:val="22"/>
          <w:color w:val="0000FF"/>
        </w:rPr>
      </w:pP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628" w:lineRule="exact"/>
        <w:rPr>
          <w:rFonts w:ascii="Calibri" w:cs="Calibri" w:eastAsia="Calibri" w:hAnsi="Calibri"/>
          <w:sz w:val="22"/>
          <w:szCs w:val="22"/>
          <w:color w:val="0000FF"/>
        </w:rPr>
      </w:pPr>
    </w:p>
    <w:p>
      <w:pPr>
        <w:sectPr>
          <w:pgSz w:w="11920" w:h="16840" w:orient="portrait"/>
          <w:cols w:equalWidth="0" w:num="2">
            <w:col w:w="7580" w:space="440"/>
            <w:col w:w="3000"/>
          </w:cols>
          <w:pgMar w:left="400" w:top="519" w:right="490" w:bottom="0" w:gutter="0" w:footer="0" w:header="0"/>
        </w:sect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91" w:lineRule="exact"/>
        <w:rPr>
          <w:rFonts w:ascii="Calibri" w:cs="Calibri" w:eastAsia="Calibri" w:hAnsi="Calibri"/>
          <w:sz w:val="22"/>
          <w:szCs w:val="22"/>
          <w:color w:val="0000FF"/>
        </w:rPr>
      </w:pPr>
    </w:p>
    <w:p>
      <w:pPr>
        <w:ind w:left="480"/>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COVID-19, 19 February 2020</w:t>
      </w:r>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w:drawing>
          <wp:anchor simplePos="0" relativeHeight="251657728" behindDoc="1" locked="0" layoutInCell="0" allowOverlap="1">
            <wp:simplePos x="0" y="0"/>
            <wp:positionH relativeFrom="column">
              <wp:posOffset>303530</wp:posOffset>
            </wp:positionH>
            <wp:positionV relativeFrom="paragraph">
              <wp:posOffset>224155</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200" w:lineRule="exact"/>
        <w:rPr>
          <w:rFonts w:ascii="Calibri" w:cs="Calibri" w:eastAsia="Calibri" w:hAnsi="Calibri"/>
          <w:sz w:val="22"/>
          <w:szCs w:val="22"/>
          <w:color w:val="0000FF"/>
        </w:rPr>
      </w:pPr>
    </w:p>
    <w:p>
      <w:pPr>
        <w:spacing w:after="0" w:line="376" w:lineRule="exact"/>
        <w:rPr>
          <w:rFonts w:ascii="Calibri" w:cs="Calibri" w:eastAsia="Calibri" w:hAnsi="Calibri"/>
          <w:sz w:val="22"/>
          <w:szCs w:val="22"/>
          <w:color w:val="0000FF"/>
        </w:rPr>
      </w:pPr>
    </w:p>
    <w:p>
      <w:pPr>
        <w:ind w:left="16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ind w:left="160"/>
        <w:spacing w:after="0"/>
        <w:rPr>
          <w:sz w:val="20"/>
          <w:szCs w:val="20"/>
          <w:color w:val="auto"/>
        </w:rPr>
      </w:pPr>
      <w:r>
        <w:rPr>
          <w:rFonts w:ascii="Calibri" w:cs="Calibri" w:eastAsia="Calibri" w:hAnsi="Calibri"/>
          <w:sz w:val="16"/>
          <w:szCs w:val="16"/>
          <w:color w:val="auto"/>
        </w:rPr>
        <w:t>†As reported by China, which includes both laboratory confirmed and clinically diagnosed cases (currently only applicable to Hubei province, China)</w:t>
      </w:r>
    </w:p>
    <w:p>
      <w:pPr>
        <w:sectPr>
          <w:pgSz w:w="11920" w:h="16840" w:orient="portrait"/>
          <w:cols w:equalWidth="0" w:num="1">
            <w:col w:w="11020"/>
          </w:cols>
          <w:pgMar w:left="400" w:top="519" w:right="490"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SUBJECT IN FOCUS: Advanced Analytics and Mathematical Modelling</w:t>
      </w:r>
    </w:p>
    <w:p>
      <w:pPr>
        <w:spacing w:after="0" w:line="327" w:lineRule="exact"/>
        <w:rPr>
          <w:sz w:val="20"/>
          <w:szCs w:val="20"/>
          <w:color w:val="auto"/>
        </w:rPr>
      </w:pPr>
    </w:p>
    <w:p>
      <w:pPr>
        <w:ind w:right="200"/>
        <w:spacing w:after="0" w:line="261" w:lineRule="auto"/>
        <w:rPr>
          <w:sz w:val="20"/>
          <w:szCs w:val="20"/>
          <w:color w:val="auto"/>
        </w:rPr>
      </w:pPr>
      <w:r>
        <w:rPr>
          <w:rFonts w:ascii="Calibri" w:cs="Calibri" w:eastAsia="Calibri" w:hAnsi="Calibri"/>
          <w:sz w:val="22"/>
          <w:szCs w:val="22"/>
          <w:color w:val="auto"/>
        </w:rPr>
        <w:t>In order to mount an appropriate public health response for any epidemic pathogen, information and analyses of transmission dynamics, severity of disease and the impact of control and mitigation measures are needed. In addition to descriptive analyses of available epidemiologic and clinical data, mathematical modelling and advanced analytics are helpful tools that can be used to estimate key transmission and severity parameters.</w:t>
      </w:r>
    </w:p>
    <w:p>
      <w:pPr>
        <w:spacing w:after="0" w:line="377" w:lineRule="exact"/>
        <w:rPr>
          <w:sz w:val="20"/>
          <w:szCs w:val="20"/>
          <w:color w:val="auto"/>
        </w:rPr>
      </w:pPr>
    </w:p>
    <w:p>
      <w:pPr>
        <w:ind w:right="80"/>
        <w:spacing w:after="0" w:line="261" w:lineRule="auto"/>
        <w:rPr>
          <w:sz w:val="20"/>
          <w:szCs w:val="20"/>
          <w:color w:val="auto"/>
        </w:rPr>
      </w:pPr>
      <w:r>
        <w:rPr>
          <w:rFonts w:ascii="Calibri" w:cs="Calibri" w:eastAsia="Calibri" w:hAnsi="Calibri"/>
          <w:sz w:val="22"/>
          <w:szCs w:val="22"/>
          <w:color w:val="auto"/>
        </w:rPr>
        <w:t>WHO has been working with an international network of statisticians and mathematical modelers to estimate key epidemiologic parameters of COVID-19, such as the incubation period (the time between infection and symptom onset), case fatality ratio (CFR, the proportion of cases who die), infection fatality ratio (IFR, the portion of all of those infected who die), and the serial interval (the time between symptom onset of a primary and secondary case).</w:t>
      </w:r>
    </w:p>
    <w:p>
      <w:pPr>
        <w:spacing w:after="0" w:line="376" w:lineRule="exact"/>
        <w:rPr>
          <w:sz w:val="20"/>
          <w:szCs w:val="20"/>
          <w:color w:val="auto"/>
        </w:rPr>
      </w:pPr>
    </w:p>
    <w:p>
      <w:pPr>
        <w:ind w:right="60"/>
        <w:spacing w:after="0" w:line="234" w:lineRule="auto"/>
        <w:rPr>
          <w:rFonts w:ascii="Calibri" w:cs="Calibri" w:eastAsia="Calibri" w:hAnsi="Calibri"/>
          <w:sz w:val="22"/>
          <w:szCs w:val="22"/>
          <w:color w:val="auto"/>
        </w:rPr>
      </w:pPr>
      <w:r>
        <w:rPr>
          <w:rFonts w:ascii="Calibri" w:cs="Calibri" w:eastAsia="Calibri" w:hAnsi="Calibri"/>
          <w:sz w:val="22"/>
          <w:szCs w:val="22"/>
          <w:color w:val="auto"/>
        </w:rPr>
        <w:t>To calculate these parameters, statisticians and modelers use case-based data from COVID-19 surveillance activities, and data captured from early investigations, such as those studies which evaluate transmission within clusters of cases in households or other closed settings. Preliminary estimates</w:t>
      </w:r>
      <w:r>
        <w:rPr>
          <w:rFonts w:ascii="Calibri" w:cs="Calibri" w:eastAsia="Calibri" w:hAnsi="Calibri"/>
          <w:sz w:val="28"/>
          <w:szCs w:val="28"/>
          <w:color w:val="auto"/>
          <w:vertAlign w:val="superscript"/>
        </w:rPr>
        <w:t>1,2,3,4,5,6,7</w:t>
      </w:r>
      <w:r>
        <w:rPr>
          <w:rFonts w:ascii="Calibri" w:cs="Calibri" w:eastAsia="Calibri" w:hAnsi="Calibri"/>
          <w:sz w:val="22"/>
          <w:szCs w:val="22"/>
          <w:color w:val="auto"/>
        </w:rPr>
        <w:t xml:space="preserve"> of median incubation period are 5-6 days (ranging from 0-14 days) and estimates for the serial interval</w:t>
      </w:r>
      <w:hyperlink w:anchor="page2">
        <w:r>
          <w:rPr>
            <w:rFonts w:ascii="Calibri" w:cs="Calibri" w:eastAsia="Calibri" w:hAnsi="Calibri"/>
            <w:sz w:val="28"/>
            <w:szCs w:val="28"/>
            <w:color w:val="auto"/>
            <w:vertAlign w:val="superscript"/>
          </w:rPr>
          <w:t>4,8</w:t>
        </w:r>
        <w:r>
          <w:rPr>
            <w:rFonts w:ascii="Calibri" w:cs="Calibri" w:eastAsia="Calibri" w:hAnsi="Calibri"/>
            <w:sz w:val="22"/>
            <w:szCs w:val="22"/>
            <w:color w:val="auto"/>
          </w:rPr>
          <w:t xml:space="preserve"> </w:t>
        </w:r>
      </w:hyperlink>
      <w:r>
        <w:rPr>
          <w:rFonts w:ascii="Calibri" w:cs="Calibri" w:eastAsia="Calibri" w:hAnsi="Calibri"/>
          <w:sz w:val="22"/>
          <w:szCs w:val="22"/>
          <w:color w:val="auto"/>
        </w:rPr>
        <w:t>range from 4.4 to 7.5 days. Several estimates have been shared in pre-print and information will be updated as more information becomes available.</w:t>
      </w:r>
    </w:p>
    <w:p>
      <w:pPr>
        <w:spacing w:after="0" w:line="200" w:lineRule="exact"/>
        <w:rPr>
          <w:sz w:val="20"/>
          <w:szCs w:val="20"/>
          <w:color w:val="auto"/>
        </w:rPr>
      </w:pPr>
    </w:p>
    <w:p>
      <w:pPr>
        <w:spacing w:after="0" w:line="201" w:lineRule="exact"/>
        <w:rPr>
          <w:sz w:val="20"/>
          <w:szCs w:val="20"/>
          <w:color w:val="auto"/>
        </w:rPr>
      </w:pPr>
    </w:p>
    <w:p>
      <w:pPr>
        <w:spacing w:after="0" w:line="263" w:lineRule="auto"/>
        <w:rPr>
          <w:sz w:val="20"/>
          <w:szCs w:val="20"/>
          <w:color w:val="auto"/>
        </w:rPr>
      </w:pPr>
      <w:r>
        <w:rPr>
          <w:rFonts w:ascii="Calibri" w:cs="Calibri" w:eastAsia="Calibri" w:hAnsi="Calibri"/>
          <w:sz w:val="22"/>
          <w:szCs w:val="22"/>
          <w:color w:val="auto"/>
        </w:rPr>
        <w:t>The confirmed case fatality ratio, or CFR, is the total number of deaths divided by the total number of confirmed cases at one point in time. Within China, the confirmed CFR, as reported by the Chinese Center for Disease Control and Prevention,</w:t>
      </w:r>
      <w:r>
        <w:rPr>
          <w:rFonts w:ascii="Calibri" w:cs="Calibri" w:eastAsia="Calibri" w:hAnsi="Calibri"/>
          <w:sz w:val="28"/>
          <w:szCs w:val="28"/>
          <w:color w:val="auto"/>
          <w:vertAlign w:val="superscript"/>
        </w:rPr>
        <w:t>9</w:t>
      </w:r>
      <w:r>
        <w:rPr>
          <w:rFonts w:ascii="Calibri" w:cs="Calibri" w:eastAsia="Calibri" w:hAnsi="Calibri"/>
          <w:sz w:val="22"/>
          <w:szCs w:val="22"/>
          <w:color w:val="auto"/>
        </w:rPr>
        <w:t xml:space="preserve"> is 2.3%. This is based on 1023 deaths amongst 44 415 laboratory-confirmed cases as of 11 February. This CFR does not include the number of more mild infections that may be missed from current surveillance, which has largely focused on patients with pneumonia requiring hospitalization; nor does it account for the fact that recently confirmed cases may yet develop severe disease, and some may die. As the outbreak continues, the confirmed CFR may change. Outside of China, CFR estimates among confirmed cases reported is lower than reported from within China. However, it is too early to draw conclusions as to whether there are real differences in the CFR inside and outside of China, as final outcome data (that is, who will recover and who will die) for the majority of cases reported from outside China are not yet known.</w:t>
      </w:r>
    </w:p>
    <w:p>
      <w:pPr>
        <w:spacing w:after="0" w:line="374" w:lineRule="exact"/>
        <w:rPr>
          <w:sz w:val="20"/>
          <w:szCs w:val="20"/>
          <w:color w:val="auto"/>
        </w:rPr>
      </w:pPr>
    </w:p>
    <w:p>
      <w:pPr>
        <w:ind w:right="180"/>
        <w:spacing w:after="0" w:line="253" w:lineRule="auto"/>
        <w:rPr>
          <w:sz w:val="20"/>
          <w:szCs w:val="20"/>
          <w:color w:val="auto"/>
        </w:rPr>
      </w:pPr>
      <w:r>
        <w:rPr>
          <w:rFonts w:ascii="Calibri" w:cs="Calibri" w:eastAsia="Calibri" w:hAnsi="Calibri"/>
          <w:sz w:val="22"/>
          <w:szCs w:val="22"/>
          <w:color w:val="auto"/>
        </w:rPr>
        <w:t>Modeling is a helpful tool to try to account for missed cases, such as those that are mild cases potentially missed in current surveillance activities, and the time lag between onset and death. Using an estimated number of total infections, the Infection Fatality Ratio can be calculated. This represents the fraction of all infections (both diagnosed and undiagnosed) that result in death. Based on these available analyses, current IFR estimates</w:t>
      </w:r>
      <w:r>
        <w:rPr>
          <w:rFonts w:ascii="Calibri" w:cs="Calibri" w:eastAsia="Calibri" w:hAnsi="Calibri"/>
          <w:sz w:val="28"/>
          <w:szCs w:val="28"/>
          <w:color w:val="auto"/>
          <w:vertAlign w:val="superscript"/>
        </w:rPr>
        <w:t>10,11,12</w:t>
      </w:r>
      <w:r>
        <w:rPr>
          <w:rFonts w:ascii="Calibri" w:cs="Calibri" w:eastAsia="Calibri" w:hAnsi="Calibri"/>
          <w:sz w:val="22"/>
          <w:szCs w:val="22"/>
          <w:color w:val="auto"/>
        </w:rPr>
        <w:t xml:space="preserve"> range from 0.3% to 1%. Without population-based serologic studies, it is not yet possible to know what proportion of the population has been infected with COVID-19.</w:t>
      </w:r>
    </w:p>
    <w:p>
      <w:pPr>
        <w:spacing w:after="0" w:line="385" w:lineRule="exact"/>
        <w:rPr>
          <w:sz w:val="20"/>
          <w:szCs w:val="20"/>
          <w:color w:val="auto"/>
        </w:rPr>
      </w:pPr>
    </w:p>
    <w:p>
      <w:pPr>
        <w:ind w:right="80"/>
        <w:spacing w:after="0" w:line="248" w:lineRule="auto"/>
        <w:rPr>
          <w:sz w:val="20"/>
          <w:szCs w:val="20"/>
          <w:color w:val="auto"/>
        </w:rPr>
      </w:pPr>
      <w:r>
        <w:rPr>
          <w:rFonts w:ascii="Calibri" w:cs="Calibri" w:eastAsia="Calibri" w:hAnsi="Calibri"/>
          <w:sz w:val="22"/>
          <w:szCs w:val="22"/>
          <w:color w:val="auto"/>
        </w:rPr>
        <w:t>Modeling has also been used to estimate the impact of the 23 January, 2020 Wuhan travel ban on reducing transmission both inside and outside of China.</w:t>
      </w:r>
      <w:r>
        <w:rPr>
          <w:rFonts w:ascii="Calibri" w:cs="Calibri" w:eastAsia="Calibri" w:hAnsi="Calibri"/>
          <w:sz w:val="28"/>
          <w:szCs w:val="28"/>
          <w:color w:val="auto"/>
          <w:vertAlign w:val="superscript"/>
        </w:rPr>
        <w:t>13,14</w:t>
      </w:r>
      <w:r>
        <w:rPr>
          <w:rFonts w:ascii="Calibri" w:cs="Calibri" w:eastAsia="Calibri" w:hAnsi="Calibri"/>
          <w:sz w:val="22"/>
          <w:szCs w:val="22"/>
          <w:color w:val="auto"/>
        </w:rPr>
        <w:t xml:space="preserve"> According to these models, travel restrictions alone are projected to have only a modest effect on the progression of the outbreak; they would need to be combined with other public health interventions, such as early case isolation, other forms of mobility restrictions, social distancing and population-level behavioral changes to be effective.</w:t>
      </w:r>
    </w:p>
    <w:p>
      <w:pPr>
        <w:spacing w:after="0" w:line="82" w:lineRule="exact"/>
        <w:rPr>
          <w:sz w:val="20"/>
          <w:szCs w:val="20"/>
          <w:color w:val="auto"/>
        </w:rPr>
      </w:pPr>
    </w:p>
    <w:p>
      <w:pPr>
        <w:jc w:val="both"/>
        <w:ind w:right="80"/>
        <w:spacing w:after="0" w:line="246" w:lineRule="auto"/>
        <w:rPr>
          <w:sz w:val="20"/>
          <w:szCs w:val="20"/>
          <w:color w:val="auto"/>
        </w:rPr>
      </w:pPr>
      <w:r>
        <w:rPr>
          <w:rFonts w:ascii="Calibri" w:cs="Calibri" w:eastAsia="Calibri" w:hAnsi="Calibri"/>
          <w:sz w:val="22"/>
          <w:szCs w:val="22"/>
          <w:color w:val="auto"/>
        </w:rPr>
        <w:t>This is in line with several studies on travel restrictions during past influenza pandemics, including H1N1, reported in the recently published paper on “Nonpharmaceutical Measures for Pandemic Influenza in Nonhealthcare Settings— International Travel-Related Measures”</w:t>
      </w:r>
      <w:r>
        <w:rPr>
          <w:rFonts w:ascii="Calibri" w:cs="Calibri" w:eastAsia="Calibri" w:hAnsi="Calibri"/>
          <w:sz w:val="28"/>
          <w:szCs w:val="28"/>
          <w:color w:val="auto"/>
          <w:vertAlign w:val="superscript"/>
        </w:rPr>
        <w:t>15</w:t>
      </w:r>
      <w:r>
        <w:rPr>
          <w:rFonts w:ascii="Calibri" w:cs="Calibri" w:eastAsia="Calibri" w:hAnsi="Calibri"/>
          <w:sz w:val="22"/>
          <w:szCs w:val="22"/>
          <w:color w:val="auto"/>
        </w:rPr>
        <w:t xml:space="preserve"> .</w:t>
      </w:r>
    </w:p>
    <w:p>
      <w:pPr>
        <w:spacing w:after="0" w:line="335" w:lineRule="exact"/>
        <w:rPr>
          <w:sz w:val="20"/>
          <w:szCs w:val="20"/>
          <w:color w:val="auto"/>
        </w:rPr>
      </w:pPr>
    </w:p>
    <w:p>
      <w:pPr>
        <w:ind w:right="80"/>
        <w:spacing w:after="0" w:line="261" w:lineRule="auto"/>
        <w:rPr>
          <w:sz w:val="20"/>
          <w:szCs w:val="20"/>
          <w:color w:val="auto"/>
        </w:rPr>
      </w:pPr>
      <w:r>
        <w:rPr>
          <w:rFonts w:ascii="Calibri" w:cs="Calibri" w:eastAsia="Calibri" w:hAnsi="Calibri"/>
          <w:sz w:val="22"/>
          <w:szCs w:val="22"/>
          <w:color w:val="auto"/>
        </w:rPr>
        <w:t>During the February 2019 COVID-19 WHO Global research and innovation forum, the international gathering of scientists stressed that additional information is needed to refine the forecasting models, and to inform targeted guidance and measures for the public health response. This information should come from early investigations, such as:</w:t>
      </w:r>
    </w:p>
    <w:p>
      <w:pPr>
        <w:sectPr>
          <w:pgSz w:w="11920" w:h="16840" w:orient="portrait"/>
          <w:cols w:equalWidth="0" w:num="1">
            <w:col w:w="10460"/>
          </w:cols>
          <w:pgMar w:left="720" w:top="899" w:right="730" w:bottom="323" w:gutter="0" w:footer="0" w:header="0"/>
        </w:sectPr>
      </w:pPr>
    </w:p>
    <w:bookmarkStart w:id="2" w:name="page3"/>
    <w:bookmarkEnd w:id="2"/>
    <w:p>
      <w:pPr>
        <w:ind w:left="720" w:hanging="360"/>
        <w:spacing w:after="0"/>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in the community and in households</w:t>
      </w:r>
    </w:p>
    <w:p>
      <w:pPr>
        <w:spacing w:after="0" w:line="51" w:lineRule="exact"/>
        <w:rPr>
          <w:rFonts w:ascii="Arial" w:cs="Arial" w:eastAsia="Arial" w:hAnsi="Arial"/>
          <w:sz w:val="22"/>
          <w:szCs w:val="22"/>
          <w:color w:val="auto"/>
        </w:rPr>
      </w:pPr>
    </w:p>
    <w:p>
      <w:pPr>
        <w:ind w:left="720" w:hanging="360"/>
        <w:spacing w:after="0"/>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through health care workers risk factor assessments</w:t>
      </w:r>
    </w:p>
    <w:p>
      <w:pPr>
        <w:spacing w:after="0" w:line="51" w:lineRule="exact"/>
        <w:rPr>
          <w:rFonts w:ascii="Arial" w:cs="Arial" w:eastAsia="Arial" w:hAnsi="Arial"/>
          <w:sz w:val="22"/>
          <w:szCs w:val="22"/>
          <w:color w:val="auto"/>
        </w:rPr>
      </w:pPr>
    </w:p>
    <w:p>
      <w:pPr>
        <w:ind w:left="720" w:hanging="360"/>
        <w:spacing w:after="0"/>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through clinical characterization of hospitalized cases</w:t>
      </w:r>
    </w:p>
    <w:p>
      <w:pPr>
        <w:spacing w:after="0" w:line="51" w:lineRule="exact"/>
        <w:rPr>
          <w:rFonts w:ascii="Arial" w:cs="Arial" w:eastAsia="Arial" w:hAnsi="Arial"/>
          <w:sz w:val="22"/>
          <w:szCs w:val="22"/>
          <w:color w:val="auto"/>
        </w:rPr>
      </w:pPr>
    </w:p>
    <w:p>
      <w:pPr>
        <w:ind w:left="720" w:hanging="360"/>
        <w:spacing w:after="0"/>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in returning traveller cohort studies</w:t>
      </w:r>
    </w:p>
    <w:p>
      <w:pPr>
        <w:spacing w:after="0" w:line="200" w:lineRule="exact"/>
        <w:rPr>
          <w:sz w:val="20"/>
          <w:szCs w:val="20"/>
          <w:color w:val="auto"/>
        </w:rPr>
      </w:pPr>
    </w:p>
    <w:p>
      <w:pPr>
        <w:spacing w:after="0" w:line="201" w:lineRule="exact"/>
        <w:rPr>
          <w:sz w:val="20"/>
          <w:szCs w:val="20"/>
          <w:color w:val="auto"/>
        </w:rPr>
      </w:pPr>
    </w:p>
    <w:p>
      <w:pPr>
        <w:ind w:right="330"/>
        <w:spacing w:after="0" w:line="235" w:lineRule="auto"/>
        <w:rPr>
          <w:rFonts w:ascii="Calibri" w:cs="Calibri" w:eastAsia="Calibri" w:hAnsi="Calibri"/>
          <w:sz w:val="22"/>
          <w:szCs w:val="22"/>
          <w:color w:val="auto"/>
        </w:rPr>
      </w:pPr>
      <w:r>
        <w:rPr>
          <w:rFonts w:ascii="Calibri" w:cs="Calibri" w:eastAsia="Calibri" w:hAnsi="Calibri"/>
          <w:sz w:val="22"/>
          <w:szCs w:val="22"/>
          <w:color w:val="auto"/>
        </w:rPr>
        <w:t xml:space="preserve">WHO has provided protocols for these investigations, which are available on the WHO website </w:t>
      </w:r>
      <w:hyperlink r:id="rId16">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This information will help to update the estimates of parameters.</w:t>
      </w:r>
    </w:p>
    <w:p>
      <w:pPr>
        <w:sectPr>
          <w:pgSz w:w="11920" w:h="16840" w:orient="portrait"/>
          <w:cols w:equalWidth="0" w:num="1">
            <w:col w:w="9750"/>
          </w:cols>
          <w:pgMar w:left="720" w:top="906" w:right="1440" w:bottom="1440" w:gutter="0" w:footer="0" w:header="0"/>
        </w:sectPr>
      </w:pPr>
    </w:p>
    <w:bookmarkStart w:id="3" w:name="page4"/>
    <w:bookmarkEnd w:id="3"/>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2" w:lineRule="exact"/>
        <w:rPr>
          <w:sz w:val="20"/>
          <w:szCs w:val="20"/>
          <w:color w:val="auto"/>
        </w:rPr>
      </w:pPr>
    </w:p>
    <w:p>
      <w:pPr>
        <w:ind w:left="40" w:right="140"/>
        <w:spacing w:after="0" w:line="217"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19 February 2020</w:t>
      </w:r>
    </w:p>
    <w:p>
      <w:pPr>
        <w:spacing w:after="0" w:line="254" w:lineRule="exact"/>
        <w:rPr>
          <w:sz w:val="20"/>
          <w:szCs w:val="20"/>
          <w:color w:val="auto"/>
        </w:rPr>
      </w:pPr>
    </w:p>
    <w:tbl>
      <w:tblPr>
        <w:tblLayout w:type="fixed"/>
        <w:tblInd w:w="10" w:type="dxa"/>
        <w:tblCellMar>
          <w:top w:w="0" w:type="dxa"/>
          <w:left w:w="0" w:type="dxa"/>
          <w:bottom w:w="0" w:type="dxa"/>
          <w:right w:w="0" w:type="dxa"/>
        </w:tblCellMar>
      </w:tblPr>
      <w:tr>
        <w:trPr>
          <w:trHeight w:val="373"/>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ind w:left="20"/>
              <w:spacing w:after="0"/>
              <w:rPr>
                <w:sz w:val="20"/>
                <w:szCs w:val="20"/>
                <w:color w:val="auto"/>
              </w:rPr>
            </w:pPr>
            <w:r>
              <w:rPr>
                <w:rFonts w:ascii="Calibri" w:cs="Calibri" w:eastAsia="Calibri" w:hAnsi="Calibri"/>
                <w:sz w:val="22"/>
                <w:szCs w:val="22"/>
                <w:b w:val="1"/>
                <w:bCs w:val="1"/>
                <w:color w:val="FFFFFF"/>
                <w:w w:val="97"/>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5B9BD5"/>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440" w:type="dxa"/>
            <w:vAlign w:val="bottom"/>
            <w:tcBorders>
              <w:top w:val="single" w:sz="8" w:color="auto"/>
              <w:right w:val="single" w:sz="8" w:color="5B9BD5"/>
            </w:tcBorders>
            <w:gridSpan w:val="2"/>
            <w:shd w:val="clear" w:color="auto" w:fill="5B9BD5"/>
          </w:tcPr>
          <w:p>
            <w:pPr>
              <w:ind w:left="320"/>
              <w:spacing w:after="0"/>
              <w:rPr>
                <w:sz w:val="20"/>
                <w:szCs w:val="20"/>
                <w:color w:val="auto"/>
              </w:rPr>
            </w:pPr>
            <w:r>
              <w:rPr>
                <w:rFonts w:ascii="Calibri" w:cs="Calibri" w:eastAsia="Calibri" w:hAnsi="Calibri"/>
                <w:sz w:val="22"/>
                <w:szCs w:val="22"/>
                <w:b w:val="1"/>
                <w:bCs w:val="1"/>
                <w:color w:val="FFFFFF"/>
              </w:rPr>
              <w:t>Daily</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9"/>
        </w:trPr>
        <w:tc>
          <w:tcPr>
            <w:tcW w:w="100" w:type="dxa"/>
            <w:vAlign w:val="bottom"/>
            <w:tcBorders>
              <w:left w:val="single" w:sz="8" w:color="auto"/>
              <w:bottom w:val="single" w:sz="8" w:color="5B9BD5"/>
            </w:tcBorders>
            <w:shd w:val="clear" w:color="auto" w:fill="5B9BD5"/>
          </w:tcPr>
          <w:p>
            <w:pPr>
              <w:spacing w:after="0"/>
              <w:rPr>
                <w:sz w:val="13"/>
                <w:szCs w:val="13"/>
                <w:color w:val="auto"/>
              </w:rPr>
            </w:pPr>
          </w:p>
        </w:tc>
        <w:tc>
          <w:tcPr>
            <w:tcW w:w="176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2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6"/>
        </w:trPr>
        <w:tc>
          <w:tcPr>
            <w:tcW w:w="100" w:type="dxa"/>
            <w:vAlign w:val="bottom"/>
            <w:tcBorders>
              <w:top w:val="single" w:sz="8" w:color="5B9BD5"/>
              <w:left w:val="single" w:sz="8" w:color="auto"/>
            </w:tcBorders>
            <w:shd w:val="clear" w:color="auto" w:fill="5B9BD5"/>
          </w:tcPr>
          <w:p>
            <w:pPr>
              <w:spacing w:after="0"/>
              <w:rPr>
                <w:sz w:val="7"/>
                <w:szCs w:val="7"/>
                <w:color w:val="auto"/>
              </w:rPr>
            </w:pPr>
          </w:p>
        </w:tc>
        <w:tc>
          <w:tcPr>
            <w:tcW w:w="1760" w:type="dxa"/>
            <w:vAlign w:val="bottom"/>
            <w:tcBorders>
              <w:top w:val="single" w:sz="8" w:color="5B9BD5"/>
            </w:tcBorders>
            <w:vMerge w:val="restart"/>
            <w:shd w:val="clear" w:color="auto" w:fill="5B9BD5"/>
          </w:tcPr>
          <w:p>
            <w:pPr>
              <w:jc w:val="center"/>
              <w:spacing w:after="0" w:line="220" w:lineRule="exact"/>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5B9BD5"/>
            </w:tcBorders>
            <w:shd w:val="clear" w:color="auto" w:fill="5B9BD5"/>
          </w:tcPr>
          <w:p>
            <w:pPr>
              <w:spacing w:after="0"/>
              <w:rPr>
                <w:sz w:val="7"/>
                <w:szCs w:val="7"/>
                <w:color w:val="auto"/>
              </w:rPr>
            </w:pPr>
          </w:p>
        </w:tc>
        <w:tc>
          <w:tcPr>
            <w:tcW w:w="102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00" w:type="dxa"/>
            <w:vAlign w:val="bottom"/>
            <w:tcBorders>
              <w:top w:val="single" w:sz="8" w:color="auto"/>
            </w:tcBorders>
            <w:vMerge w:val="restart"/>
            <w:shd w:val="clear" w:color="auto" w:fill="5B9BD5"/>
          </w:tcPr>
          <w:p>
            <w:pPr>
              <w:jc w:val="center"/>
              <w:spacing w:after="0" w:line="221" w:lineRule="exact"/>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line="221"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0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6"/>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7"/>
                <w:shd w:val="clear" w:color="auto" w:fill="5B9BD5"/>
              </w:rPr>
              <w:t>(10,000s)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3"/>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7"/>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6"/>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3"/>
        </w:trPr>
        <w:tc>
          <w:tcPr>
            <w:tcW w:w="100" w:type="dxa"/>
            <w:vAlign w:val="bottom"/>
            <w:tcBorders>
              <w:left w:val="single" w:sz="8" w:color="auto"/>
              <w:bottom w:val="single" w:sz="8" w:color="auto"/>
            </w:tcBorders>
            <w:shd w:val="clear" w:color="auto" w:fill="5B9BD5"/>
          </w:tcPr>
          <w:p>
            <w:pPr>
              <w:spacing w:after="0"/>
              <w:rPr>
                <w:sz w:val="8"/>
                <w:szCs w:val="8"/>
                <w:color w:val="auto"/>
              </w:rPr>
            </w:pPr>
          </w:p>
        </w:tc>
        <w:tc>
          <w:tcPr>
            <w:tcW w:w="17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1693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596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5"/>
              </w:rPr>
              <w:t>132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61682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1921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Guangdong</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6"/>
              </w:rPr>
              <w:t>11346</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3</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1331</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5</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121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1262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Zhejiang</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5737</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9</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1173</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1008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Anhui</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6324</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4</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5"/>
              </w:rPr>
              <w:t>986</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5"/>
              </w:rPr>
              <w:t>934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Jiangsu</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8051</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5"/>
              </w:rPr>
              <w:t>631</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Chongqing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41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5"/>
              </w:rPr>
              <w:t>555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Shandong</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6"/>
              </w:rPr>
              <w:t>10047</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8</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5"/>
              </w:rPr>
              <w:t>544</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5"/>
              </w:rPr>
              <w:t>514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Heilongjiang</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3773</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6</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21</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5"/>
              </w:rPr>
              <w:t>470</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ind w:left="10"/>
              <w:spacing w:after="0" w:line="253" w:lineRule="exact"/>
              <w:rPr>
                <w:sz w:val="20"/>
                <w:szCs w:val="20"/>
                <w:color w:val="auto"/>
              </w:rPr>
            </w:pPr>
            <w:r>
              <w:rPr>
                <w:rFonts w:ascii="Calibri" w:cs="Calibri" w:eastAsia="Calibri" w:hAnsi="Calibri"/>
                <w:sz w:val="22"/>
                <w:szCs w:val="22"/>
                <w:color w:val="auto"/>
                <w:w w:val="98"/>
              </w:rPr>
              <w:t>12</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58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5"/>
              </w:rPr>
              <w:t>393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Shanghai</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2424</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78</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5"/>
              </w:rPr>
              <w:t>333</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5"/>
              </w:rPr>
              <w:t>306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Fujian</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3941</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5"/>
              </w:rPr>
              <w:t>293</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5"/>
              </w:rPr>
              <w:t>244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Shaanxi</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3864</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19</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5"/>
              </w:rPr>
              <w:t>242</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5"/>
              </w:rPr>
              <w:t>173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Hainan</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934</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14</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5"/>
              </w:rPr>
              <w:t>163</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5"/>
              </w:rPr>
              <w:t>146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Shanxi</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3718</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5"/>
              </w:rPr>
              <w:t>131</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Tianjin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62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5"/>
              </w:rPr>
              <w:t>128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Liaoning</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4359</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64</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5"/>
              </w:rPr>
              <w:t>121</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91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Jilin</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2704</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11</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90</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Xinjiang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76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Inner Mongolia</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2534</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75</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Ningxia</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71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Hong Kong SAR</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745</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62</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23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Qinghai</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603</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18</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10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88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Xizang</w:t>
            </w:r>
          </w:p>
        </w:tc>
        <w:tc>
          <w:tcPr>
            <w:tcW w:w="11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344</w:t>
            </w:r>
          </w:p>
        </w:tc>
        <w:tc>
          <w:tcPr>
            <w:tcW w:w="120" w:type="dxa"/>
            <w:vAlign w:val="bottom"/>
            <w:tcBorders>
              <w:top w:val="single" w:sz="8" w:color="auto"/>
              <w:right w:val="single" w:sz="8" w:color="auto"/>
            </w:tcBorders>
          </w:tcPr>
          <w:p>
            <w:pPr>
              <w:spacing w:after="0"/>
              <w:rPr>
                <w:sz w:val="22"/>
                <w:szCs w:val="22"/>
                <w:color w:val="auto"/>
              </w:rPr>
            </w:pPr>
          </w:p>
        </w:tc>
        <w:tc>
          <w:tcPr>
            <w:tcW w:w="13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14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15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2"/>
                <w:szCs w:val="22"/>
                <w:color w:val="auto"/>
              </w:rPr>
            </w:pPr>
          </w:p>
        </w:tc>
        <w:tc>
          <w:tcPr>
            <w:tcW w:w="134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70"/>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b w:val="1"/>
                <w:bCs w:val="1"/>
                <w:color w:val="auto"/>
              </w:rPr>
              <w:t>1752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b w:val="1"/>
                <w:bCs w:val="1"/>
                <w:color w:val="auto"/>
                <w:w w:val="98"/>
              </w:rPr>
              <w:t>1185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b w:val="1"/>
                <w:bCs w:val="1"/>
                <w:color w:val="auto"/>
                <w:w w:val="95"/>
              </w:rPr>
              <w:t>136</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b w:val="1"/>
                <w:bCs w:val="1"/>
                <w:color w:val="auto"/>
              </w:rPr>
              <w:t>74280</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b w:val="1"/>
                <w:bCs w:val="1"/>
                <w:color w:val="auto"/>
                <w:w w:val="98"/>
              </w:rPr>
              <w:t>2006</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ind w:left="40"/>
        <w:spacing w:after="0" w:line="234" w:lineRule="auto"/>
        <w:rPr>
          <w:sz w:val="20"/>
          <w:szCs w:val="20"/>
          <w:color w:val="auto"/>
        </w:rPr>
      </w:pPr>
      <w:r>
        <w:rPr>
          <w:rFonts w:ascii="Calibri" w:cs="Calibri" w:eastAsia="Calibri" w:hAnsi="Calibri"/>
          <w:sz w:val="22"/>
          <w:szCs w:val="22"/>
          <w:b w:val="1"/>
          <w:bCs w:val="1"/>
          <w:color w:val="auto"/>
        </w:rPr>
        <w:t>*</w:t>
      </w:r>
      <w:r>
        <w:rPr>
          <w:rFonts w:ascii="Calibri" w:cs="Calibri" w:eastAsia="Calibri" w:hAnsi="Calibri"/>
          <w:sz w:val="18"/>
          <w:szCs w:val="18"/>
          <w:color w:val="auto"/>
        </w:rPr>
        <w:t>‘Confirmed’</w:t>
      </w:r>
      <w:r>
        <w:rPr>
          <w:rFonts w:ascii="Calibri" w:cs="Calibri" w:eastAsia="Calibri" w:hAnsi="Calibri"/>
          <w:sz w:val="22"/>
          <w:szCs w:val="22"/>
          <w:b w:val="1"/>
          <w:bCs w:val="1"/>
          <w:color w:val="auto"/>
        </w:rPr>
        <w:t xml:space="preserve"> </w:t>
      </w:r>
      <w:r>
        <w:rPr>
          <w:rFonts w:ascii="Calibri" w:cs="Calibri" w:eastAsia="Calibri" w:hAnsi="Calibri"/>
          <w:sz w:val="18"/>
          <w:szCs w:val="18"/>
          <w:color w:val="auto"/>
        </w:rPr>
        <w:t>cases include both laboratory confirmed and clinically diagnosed cases (currently only applicable to Hubei province, China)</w:t>
      </w:r>
    </w:p>
    <w:p>
      <w:pPr>
        <w:sectPr>
          <w:pgSz w:w="11920" w:h="16840" w:orient="portrait"/>
          <w:cols w:equalWidth="0" w:num="1">
            <w:col w:w="10560"/>
          </w:cols>
          <w:pgMar w:left="680" w:top="899" w:right="670" w:bottom="1440" w:gutter="0" w:footer="0" w:header="0"/>
        </w:sectPr>
      </w:pPr>
    </w:p>
    <w:bookmarkStart w:id="4" w:name="page5"/>
    <w:bookmarkEnd w:id="4"/>
    <w:p>
      <w:pPr>
        <w:ind w:right="800"/>
        <w:spacing w:after="0" w:line="217"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19 February 2020</w:t>
      </w:r>
    </w:p>
    <w:p>
      <w:pPr>
        <w:spacing w:after="0" w:line="254" w:lineRule="exact"/>
        <w:rPr>
          <w:sz w:val="20"/>
          <w:szCs w:val="20"/>
          <w:color w:val="auto"/>
        </w:rPr>
      </w:pPr>
    </w:p>
    <w:tbl>
      <w:tblPr>
        <w:tblLayout w:type="fixed"/>
        <w:tblInd w:w="10" w:type="dxa"/>
        <w:tblCellMar>
          <w:top w:w="0" w:type="dxa"/>
          <w:left w:w="0" w:type="dxa"/>
          <w:bottom w:w="0" w:type="dxa"/>
          <w:right w:w="0" w:type="dxa"/>
        </w:tblCellMar>
      </w:tblPr>
      <w:tr>
        <w:trPr>
          <w:trHeight w:val="365"/>
        </w:trPr>
        <w:tc>
          <w:tcPr>
            <w:tcW w:w="100" w:type="dxa"/>
            <w:vAlign w:val="bottom"/>
            <w:tcBorders>
              <w:top w:val="single" w:sz="8" w:color="auto"/>
              <w:left w:val="single" w:sz="8" w:color="auto"/>
            </w:tcBorders>
            <w:shd w:val="clear" w:color="auto" w:fill="4F81BD"/>
          </w:tcPr>
          <w:p>
            <w:pPr>
              <w:spacing w:after="0"/>
              <w:rPr>
                <w:sz w:val="24"/>
                <w:szCs w:val="24"/>
                <w:color w:val="auto"/>
              </w:rPr>
            </w:pPr>
          </w:p>
        </w:tc>
        <w:tc>
          <w:tcPr>
            <w:tcW w:w="1780" w:type="dxa"/>
            <w:vAlign w:val="bottom"/>
            <w:tcBorders>
              <w:top w:val="single" w:sz="8" w:color="auto"/>
            </w:tcBorders>
            <w:shd w:val="clear" w:color="auto" w:fill="4F81BD"/>
          </w:tcPr>
          <w:p>
            <w:pPr>
              <w:spacing w:after="0"/>
              <w:rPr>
                <w:sz w:val="24"/>
                <w:szCs w:val="24"/>
                <w:color w:val="auto"/>
              </w:rPr>
            </w:pPr>
          </w:p>
        </w:tc>
        <w:tc>
          <w:tcPr>
            <w:tcW w:w="140" w:type="dxa"/>
            <w:vAlign w:val="bottom"/>
            <w:tcBorders>
              <w:top w:val="single" w:sz="8" w:color="auto"/>
              <w:right w:val="single" w:sz="8" w:color="auto"/>
            </w:tcBorders>
            <w:shd w:val="clear" w:color="auto" w:fill="4F81BD"/>
          </w:tcPr>
          <w:p>
            <w:pPr>
              <w:spacing w:after="0"/>
              <w:rPr>
                <w:sz w:val="24"/>
                <w:szCs w:val="24"/>
                <w:color w:val="auto"/>
              </w:rPr>
            </w:pPr>
          </w:p>
        </w:tc>
        <w:tc>
          <w:tcPr>
            <w:tcW w:w="60" w:type="dxa"/>
            <w:vAlign w:val="bottom"/>
            <w:tcBorders>
              <w:top w:val="single" w:sz="8" w:color="auto"/>
            </w:tcBorders>
            <w:shd w:val="clear" w:color="auto" w:fill="4F81BD"/>
          </w:tcPr>
          <w:p>
            <w:pPr>
              <w:spacing w:after="0"/>
              <w:rPr>
                <w:sz w:val="24"/>
                <w:szCs w:val="24"/>
                <w:color w:val="auto"/>
              </w:rPr>
            </w:pPr>
          </w:p>
        </w:tc>
        <w:tc>
          <w:tcPr>
            <w:tcW w:w="540" w:type="dxa"/>
            <w:vAlign w:val="bottom"/>
            <w:tcBorders>
              <w:top w:val="single" w:sz="8" w:color="auto"/>
            </w:tcBorders>
            <w:shd w:val="clear" w:color="auto" w:fill="4F81BD"/>
          </w:tcPr>
          <w:p>
            <w:pPr>
              <w:spacing w:after="0"/>
              <w:rPr>
                <w:sz w:val="24"/>
                <w:szCs w:val="24"/>
                <w:color w:val="auto"/>
              </w:rPr>
            </w:pPr>
          </w:p>
        </w:tc>
        <w:tc>
          <w:tcPr>
            <w:tcW w:w="60" w:type="dxa"/>
            <w:vAlign w:val="bottom"/>
            <w:tcBorders>
              <w:top w:val="single" w:sz="8" w:color="auto"/>
            </w:tcBorders>
            <w:shd w:val="clear" w:color="auto" w:fill="4F81BD"/>
          </w:tcPr>
          <w:p>
            <w:pPr>
              <w:spacing w:after="0"/>
              <w:rPr>
                <w:sz w:val="24"/>
                <w:szCs w:val="24"/>
                <w:color w:val="auto"/>
              </w:rPr>
            </w:pPr>
          </w:p>
        </w:tc>
        <w:tc>
          <w:tcPr>
            <w:tcW w:w="60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2880" w:type="dxa"/>
            <w:vAlign w:val="bottom"/>
            <w:tcBorders>
              <w:top w:val="single" w:sz="8" w:color="auto"/>
            </w:tcBorders>
            <w:gridSpan w:val="7"/>
            <w:shd w:val="clear" w:color="auto" w:fill="4F81BD"/>
          </w:tcPr>
          <w:p>
            <w:pPr>
              <w:jc w:val="right"/>
              <w:spacing w:after="0"/>
              <w:rPr>
                <w:sz w:val="20"/>
                <w:szCs w:val="20"/>
                <w:color w:val="auto"/>
              </w:rPr>
            </w:pPr>
            <w:r>
              <w:rPr>
                <w:rFonts w:ascii="Calibri" w:cs="Calibri" w:eastAsia="Calibri" w:hAnsi="Calibri"/>
                <w:sz w:val="22"/>
                <w:szCs w:val="22"/>
                <w:b w:val="1"/>
                <w:bCs w:val="1"/>
                <w:color w:val="FFFFFF"/>
              </w:rPr>
              <w:t>Likely place of exposure</w:t>
            </w:r>
            <w:r>
              <w:rPr>
                <w:rFonts w:ascii="Calibri" w:cs="Calibri" w:eastAsia="Calibri" w:hAnsi="Calibri"/>
                <w:sz w:val="28"/>
                <w:szCs w:val="28"/>
                <w:b w:val="1"/>
                <w:bCs w:val="1"/>
                <w:color w:val="FFFFFF"/>
                <w:vertAlign w:val="superscript"/>
              </w:rPr>
              <w:t>†</w:t>
            </w:r>
          </w:p>
        </w:tc>
        <w:tc>
          <w:tcPr>
            <w:tcW w:w="54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2200" w:type="dxa"/>
            <w:vAlign w:val="bottom"/>
            <w:tcBorders>
              <w:top w:val="single" w:sz="8" w:color="auto"/>
            </w:tcBorders>
            <w:shd w:val="clear" w:color="auto" w:fill="4F81BD"/>
          </w:tcPr>
          <w:p>
            <w:pPr>
              <w:spacing w:after="0"/>
              <w:rPr>
                <w:sz w:val="24"/>
                <w:szCs w:val="24"/>
                <w:color w:val="auto"/>
              </w:rPr>
            </w:pPr>
          </w:p>
        </w:tc>
        <w:tc>
          <w:tcPr>
            <w:tcW w:w="140" w:type="dxa"/>
            <w:vAlign w:val="bottom"/>
            <w:tcBorders>
              <w:top w:val="single" w:sz="8" w:color="auto"/>
              <w:right w:val="single" w:sz="8" w:color="auto"/>
            </w:tcBorders>
            <w:shd w:val="clear" w:color="auto" w:fill="4F81BD"/>
          </w:tcPr>
          <w:p>
            <w:pPr>
              <w:spacing w:after="0"/>
              <w:rPr>
                <w:sz w:val="24"/>
                <w:szCs w:val="24"/>
                <w:color w:val="auto"/>
              </w:rPr>
            </w:pPr>
          </w:p>
        </w:tc>
        <w:tc>
          <w:tcPr>
            <w:tcW w:w="80" w:type="dxa"/>
            <w:vAlign w:val="bottom"/>
            <w:tcBorders>
              <w:top w:val="single" w:sz="8" w:color="auto"/>
            </w:tcBorders>
            <w:shd w:val="clear" w:color="auto" w:fill="4F81BD"/>
          </w:tcPr>
          <w:p>
            <w:pPr>
              <w:spacing w:after="0"/>
              <w:rPr>
                <w:sz w:val="24"/>
                <w:szCs w:val="24"/>
                <w:color w:val="auto"/>
              </w:rPr>
            </w:pPr>
          </w:p>
        </w:tc>
        <w:tc>
          <w:tcPr>
            <w:tcW w:w="110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85"/>
        </w:trPr>
        <w:tc>
          <w:tcPr>
            <w:tcW w:w="100" w:type="dxa"/>
            <w:vAlign w:val="bottom"/>
            <w:tcBorders>
              <w:left w:val="single" w:sz="8" w:color="auto"/>
              <w:bottom w:val="single" w:sz="8" w:color="4F81BD"/>
            </w:tcBorders>
            <w:shd w:val="clear" w:color="auto" w:fill="4F81BD"/>
          </w:tcPr>
          <w:p>
            <w:pPr>
              <w:spacing w:after="0"/>
              <w:rPr>
                <w:sz w:val="7"/>
                <w:szCs w:val="7"/>
                <w:color w:val="auto"/>
              </w:rPr>
            </w:pPr>
          </w:p>
        </w:tc>
        <w:tc>
          <w:tcPr>
            <w:tcW w:w="1780" w:type="dxa"/>
            <w:vAlign w:val="bottom"/>
            <w:tcBorders>
              <w:bottom w:val="single" w:sz="8" w:color="4F81BD"/>
            </w:tcBorders>
            <w:shd w:val="clear" w:color="auto" w:fill="4F81BD"/>
          </w:tcPr>
          <w:p>
            <w:pPr>
              <w:spacing w:after="0"/>
              <w:rPr>
                <w:sz w:val="7"/>
                <w:szCs w:val="7"/>
                <w:color w:val="auto"/>
              </w:rPr>
            </w:pPr>
          </w:p>
        </w:tc>
        <w:tc>
          <w:tcPr>
            <w:tcW w:w="140" w:type="dxa"/>
            <w:vAlign w:val="bottom"/>
            <w:tcBorders>
              <w:bottom w:val="single" w:sz="8" w:color="4F81BD"/>
              <w:right w:val="single" w:sz="8" w:color="auto"/>
            </w:tcBorders>
            <w:shd w:val="clear" w:color="auto" w:fill="4F81BD"/>
          </w:tcPr>
          <w:p>
            <w:pPr>
              <w:spacing w:after="0"/>
              <w:rPr>
                <w:sz w:val="7"/>
                <w:szCs w:val="7"/>
                <w:color w:val="auto"/>
              </w:rPr>
            </w:pPr>
          </w:p>
        </w:tc>
        <w:tc>
          <w:tcPr>
            <w:tcW w:w="60" w:type="dxa"/>
            <w:vAlign w:val="bottom"/>
            <w:tcBorders>
              <w:bottom w:val="single" w:sz="8" w:color="4F81BD"/>
            </w:tcBorders>
            <w:shd w:val="clear" w:color="auto" w:fill="4F81BD"/>
          </w:tcPr>
          <w:p>
            <w:pPr>
              <w:spacing w:after="0"/>
              <w:rPr>
                <w:sz w:val="7"/>
                <w:szCs w:val="7"/>
                <w:color w:val="auto"/>
              </w:rPr>
            </w:pPr>
          </w:p>
        </w:tc>
        <w:tc>
          <w:tcPr>
            <w:tcW w:w="540" w:type="dxa"/>
            <w:vAlign w:val="bottom"/>
            <w:tcBorders>
              <w:bottom w:val="single" w:sz="8" w:color="4F81BD"/>
            </w:tcBorders>
            <w:shd w:val="clear" w:color="auto" w:fill="4F81BD"/>
          </w:tcPr>
          <w:p>
            <w:pPr>
              <w:spacing w:after="0"/>
              <w:rPr>
                <w:sz w:val="7"/>
                <w:szCs w:val="7"/>
                <w:color w:val="auto"/>
              </w:rPr>
            </w:pPr>
          </w:p>
        </w:tc>
        <w:tc>
          <w:tcPr>
            <w:tcW w:w="60" w:type="dxa"/>
            <w:vAlign w:val="bottom"/>
            <w:tcBorders>
              <w:bottom w:val="single" w:sz="8" w:color="4F81BD"/>
            </w:tcBorders>
            <w:shd w:val="clear" w:color="auto" w:fill="4F81BD"/>
          </w:tcPr>
          <w:p>
            <w:pPr>
              <w:spacing w:after="0"/>
              <w:rPr>
                <w:sz w:val="7"/>
                <w:szCs w:val="7"/>
                <w:color w:val="auto"/>
              </w:rPr>
            </w:pPr>
          </w:p>
        </w:tc>
        <w:tc>
          <w:tcPr>
            <w:tcW w:w="60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100" w:type="dxa"/>
            <w:vAlign w:val="bottom"/>
            <w:tcBorders>
              <w:bottom w:val="single" w:sz="8" w:color="auto"/>
            </w:tcBorders>
            <w:shd w:val="clear" w:color="auto" w:fill="4F81BD"/>
          </w:tcPr>
          <w:p>
            <w:pPr>
              <w:spacing w:after="0"/>
              <w:rPr>
                <w:sz w:val="7"/>
                <w:szCs w:val="7"/>
                <w:color w:val="auto"/>
              </w:rPr>
            </w:pPr>
          </w:p>
        </w:tc>
        <w:tc>
          <w:tcPr>
            <w:tcW w:w="800" w:type="dxa"/>
            <w:vAlign w:val="bottom"/>
            <w:tcBorders>
              <w:bottom w:val="single" w:sz="8" w:color="auto"/>
            </w:tcBorders>
            <w:shd w:val="clear" w:color="auto" w:fill="4F81BD"/>
          </w:tcPr>
          <w:p>
            <w:pPr>
              <w:spacing w:after="0"/>
              <w:rPr>
                <w:sz w:val="7"/>
                <w:szCs w:val="7"/>
                <w:color w:val="auto"/>
              </w:rPr>
            </w:pPr>
          </w:p>
        </w:tc>
        <w:tc>
          <w:tcPr>
            <w:tcW w:w="140" w:type="dxa"/>
            <w:vAlign w:val="bottom"/>
            <w:tcBorders>
              <w:bottom w:val="single" w:sz="8" w:color="auto"/>
              <w:right w:val="single" w:sz="8" w:color="4F81BD"/>
            </w:tcBorders>
            <w:shd w:val="clear" w:color="auto" w:fill="4F81BD"/>
          </w:tcPr>
          <w:p>
            <w:pPr>
              <w:spacing w:after="0"/>
              <w:rPr>
                <w:sz w:val="7"/>
                <w:szCs w:val="7"/>
                <w:color w:val="auto"/>
              </w:rPr>
            </w:pPr>
          </w:p>
        </w:tc>
        <w:tc>
          <w:tcPr>
            <w:tcW w:w="80" w:type="dxa"/>
            <w:vAlign w:val="bottom"/>
            <w:tcBorders>
              <w:bottom w:val="single" w:sz="8" w:color="auto"/>
            </w:tcBorders>
            <w:shd w:val="clear" w:color="auto" w:fill="4F81BD"/>
          </w:tcPr>
          <w:p>
            <w:pPr>
              <w:spacing w:after="0"/>
              <w:rPr>
                <w:sz w:val="7"/>
                <w:szCs w:val="7"/>
                <w:color w:val="auto"/>
              </w:rPr>
            </w:pPr>
          </w:p>
        </w:tc>
        <w:tc>
          <w:tcPr>
            <w:tcW w:w="1220" w:type="dxa"/>
            <w:vAlign w:val="bottom"/>
            <w:tcBorders>
              <w:bottom w:val="single" w:sz="8" w:color="auto"/>
            </w:tcBorders>
            <w:shd w:val="clear" w:color="auto" w:fill="4F81BD"/>
          </w:tcPr>
          <w:p>
            <w:pPr>
              <w:spacing w:after="0"/>
              <w:rPr>
                <w:sz w:val="7"/>
                <w:szCs w:val="7"/>
                <w:color w:val="auto"/>
              </w:rPr>
            </w:pPr>
          </w:p>
        </w:tc>
        <w:tc>
          <w:tcPr>
            <w:tcW w:w="140" w:type="dxa"/>
            <w:vAlign w:val="bottom"/>
            <w:tcBorders>
              <w:bottom w:val="single" w:sz="8" w:color="auto"/>
              <w:right w:val="single" w:sz="8" w:color="4F81BD"/>
            </w:tcBorders>
            <w:shd w:val="clear" w:color="auto" w:fill="4F81BD"/>
          </w:tcPr>
          <w:p>
            <w:pPr>
              <w:spacing w:after="0"/>
              <w:rPr>
                <w:sz w:val="7"/>
                <w:szCs w:val="7"/>
                <w:color w:val="auto"/>
              </w:rPr>
            </w:pPr>
          </w:p>
        </w:tc>
        <w:tc>
          <w:tcPr>
            <w:tcW w:w="80" w:type="dxa"/>
            <w:vAlign w:val="bottom"/>
            <w:tcBorders>
              <w:bottom w:val="single" w:sz="8" w:color="auto"/>
            </w:tcBorders>
            <w:shd w:val="clear" w:color="auto" w:fill="4F81BD"/>
          </w:tcPr>
          <w:p>
            <w:pPr>
              <w:spacing w:after="0"/>
              <w:rPr>
                <w:sz w:val="7"/>
                <w:szCs w:val="7"/>
                <w:color w:val="auto"/>
              </w:rPr>
            </w:pPr>
          </w:p>
        </w:tc>
        <w:tc>
          <w:tcPr>
            <w:tcW w:w="420" w:type="dxa"/>
            <w:vAlign w:val="bottom"/>
            <w:tcBorders>
              <w:bottom w:val="single" w:sz="8" w:color="auto"/>
            </w:tcBorders>
            <w:shd w:val="clear" w:color="auto" w:fill="4F81BD"/>
          </w:tcPr>
          <w:p>
            <w:pPr>
              <w:spacing w:after="0"/>
              <w:rPr>
                <w:sz w:val="7"/>
                <w:szCs w:val="7"/>
                <w:color w:val="auto"/>
              </w:rPr>
            </w:pPr>
          </w:p>
        </w:tc>
        <w:tc>
          <w:tcPr>
            <w:tcW w:w="540" w:type="dxa"/>
            <w:vAlign w:val="bottom"/>
            <w:tcBorders>
              <w:bottom w:val="single" w:sz="8" w:color="auto"/>
            </w:tcBorders>
            <w:shd w:val="clear" w:color="auto" w:fill="4F81BD"/>
          </w:tcPr>
          <w:p>
            <w:pPr>
              <w:spacing w:after="0"/>
              <w:rPr>
                <w:sz w:val="7"/>
                <w:szCs w:val="7"/>
                <w:color w:val="auto"/>
              </w:rPr>
            </w:pPr>
          </w:p>
        </w:tc>
        <w:tc>
          <w:tcPr>
            <w:tcW w:w="120" w:type="dxa"/>
            <w:vAlign w:val="bottom"/>
            <w:tcBorders>
              <w:bottom w:val="single" w:sz="8" w:color="auto"/>
              <w:right w:val="single" w:sz="8" w:color="auto"/>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2200" w:type="dxa"/>
            <w:vAlign w:val="bottom"/>
            <w:tcBorders>
              <w:bottom w:val="single" w:sz="8" w:color="4F81BD"/>
            </w:tcBorders>
            <w:shd w:val="clear" w:color="auto" w:fill="4F81BD"/>
          </w:tcPr>
          <w:p>
            <w:pPr>
              <w:spacing w:after="0"/>
              <w:rPr>
                <w:sz w:val="7"/>
                <w:szCs w:val="7"/>
                <w:color w:val="auto"/>
              </w:rPr>
            </w:pPr>
          </w:p>
        </w:tc>
        <w:tc>
          <w:tcPr>
            <w:tcW w:w="140" w:type="dxa"/>
            <w:vAlign w:val="bottom"/>
            <w:tcBorders>
              <w:bottom w:val="single" w:sz="8" w:color="4F81BD"/>
              <w:right w:val="single" w:sz="8" w:color="auto"/>
            </w:tcBorders>
            <w:shd w:val="clear" w:color="auto" w:fill="4F81BD"/>
          </w:tcPr>
          <w:p>
            <w:pPr>
              <w:spacing w:after="0"/>
              <w:rPr>
                <w:sz w:val="7"/>
                <w:szCs w:val="7"/>
                <w:color w:val="auto"/>
              </w:rPr>
            </w:pPr>
          </w:p>
        </w:tc>
        <w:tc>
          <w:tcPr>
            <w:tcW w:w="80" w:type="dxa"/>
            <w:vAlign w:val="bottom"/>
            <w:tcBorders>
              <w:bottom w:val="single" w:sz="8" w:color="4F81BD"/>
            </w:tcBorders>
            <w:shd w:val="clear" w:color="auto" w:fill="4F81BD"/>
          </w:tcPr>
          <w:p>
            <w:pPr>
              <w:spacing w:after="0"/>
              <w:rPr>
                <w:sz w:val="7"/>
                <w:szCs w:val="7"/>
                <w:color w:val="auto"/>
              </w:rPr>
            </w:pPr>
          </w:p>
        </w:tc>
        <w:tc>
          <w:tcPr>
            <w:tcW w:w="110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0" w:type="dxa"/>
            <w:vAlign w:val="bottom"/>
          </w:tcPr>
          <w:p>
            <w:pPr>
              <w:spacing w:after="0"/>
              <w:rPr>
                <w:sz w:val="1"/>
                <w:szCs w:val="1"/>
                <w:color w:val="auto"/>
              </w:rPr>
            </w:pPr>
          </w:p>
        </w:tc>
      </w:tr>
      <w:tr>
        <w:trPr>
          <w:trHeight w:val="260"/>
        </w:trPr>
        <w:tc>
          <w:tcPr>
            <w:tcW w:w="100" w:type="dxa"/>
            <w:vAlign w:val="bottom"/>
            <w:tcBorders>
              <w:left w:val="single" w:sz="8" w:color="auto"/>
            </w:tcBorders>
            <w:shd w:val="clear" w:color="auto" w:fill="4F81BD"/>
          </w:tcPr>
          <w:p>
            <w:pPr>
              <w:spacing w:after="0"/>
              <w:rPr>
                <w:sz w:val="22"/>
                <w:szCs w:val="22"/>
                <w:color w:val="auto"/>
              </w:rPr>
            </w:pPr>
          </w:p>
        </w:tc>
        <w:tc>
          <w:tcPr>
            <w:tcW w:w="1780" w:type="dxa"/>
            <w:vAlign w:val="bottom"/>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w:t>
            </w:r>
          </w:p>
        </w:tc>
        <w:tc>
          <w:tcPr>
            <w:tcW w:w="140" w:type="dxa"/>
            <w:vAlign w:val="bottom"/>
            <w:tcBorders>
              <w:right w:val="single" w:sz="8" w:color="auto"/>
            </w:tcBorders>
            <w:shd w:val="clear" w:color="auto" w:fill="4F81BD"/>
          </w:tcPr>
          <w:p>
            <w:pPr>
              <w:spacing w:after="0"/>
              <w:rPr>
                <w:sz w:val="22"/>
                <w:szCs w:val="22"/>
                <w:color w:val="auto"/>
              </w:rPr>
            </w:pPr>
          </w:p>
        </w:tc>
        <w:tc>
          <w:tcPr>
            <w:tcW w:w="60" w:type="dxa"/>
            <w:vAlign w:val="bottom"/>
            <w:shd w:val="clear" w:color="auto" w:fill="4F81BD"/>
          </w:tcPr>
          <w:p>
            <w:pPr>
              <w:spacing w:after="0"/>
              <w:rPr>
                <w:sz w:val="22"/>
                <w:szCs w:val="22"/>
                <w:color w:val="auto"/>
              </w:rPr>
            </w:pPr>
          </w:p>
        </w:tc>
        <w:tc>
          <w:tcPr>
            <w:tcW w:w="1200" w:type="dxa"/>
            <w:vAlign w:val="bottom"/>
            <w:gridSpan w:val="3"/>
            <w:vMerge w:val="restart"/>
            <w:shd w:val="clear" w:color="auto" w:fill="4F81BD"/>
          </w:tcPr>
          <w:p>
            <w:pPr>
              <w:ind w:left="80"/>
              <w:spacing w:after="0"/>
              <w:rPr>
                <w:sz w:val="20"/>
                <w:szCs w:val="20"/>
                <w:color w:val="auto"/>
              </w:rPr>
            </w:pPr>
            <w:r>
              <w:rPr>
                <w:rFonts w:ascii="Calibri" w:cs="Calibri" w:eastAsia="Calibri" w:hAnsi="Calibri"/>
                <w:sz w:val="22"/>
                <w:szCs w:val="22"/>
                <w:b w:val="1"/>
                <w:bCs w:val="1"/>
                <w:color w:val="FFFFFF"/>
              </w:rPr>
              <w:t>Confirmed</w:t>
            </w:r>
            <w:r>
              <w:rPr>
                <w:rFonts w:ascii="Calibri" w:cs="Calibri" w:eastAsia="Calibri" w:hAnsi="Calibri"/>
                <w:sz w:val="28"/>
                <w:szCs w:val="28"/>
                <w:b w:val="1"/>
                <w:bCs w:val="1"/>
                <w:color w:val="FFFFFF"/>
                <w:vertAlign w:val="superscript"/>
              </w:rPr>
              <w:t>*</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800" w:type="dxa"/>
            <w:vAlign w:val="bottom"/>
            <w:shd w:val="clear" w:color="auto" w:fill="4F81BD"/>
          </w:tcPr>
          <w:p>
            <w:pPr>
              <w:spacing w:after="0"/>
              <w:rPr>
                <w:sz w:val="22"/>
                <w:szCs w:val="22"/>
                <w:color w:val="auto"/>
              </w:rPr>
            </w:pP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1220" w:type="dxa"/>
            <w:vAlign w:val="bottom"/>
            <w:shd w:val="clear" w:color="auto" w:fill="4F81BD"/>
          </w:tcPr>
          <w:p>
            <w:pPr>
              <w:spacing w:after="0" w:line="255" w:lineRule="exact"/>
              <w:rPr>
                <w:sz w:val="20"/>
                <w:szCs w:val="20"/>
                <w:color w:val="auto"/>
              </w:rPr>
            </w:pPr>
            <w:r>
              <w:rPr>
                <w:rFonts w:ascii="Calibri" w:cs="Calibri" w:eastAsia="Calibri" w:hAnsi="Calibri"/>
                <w:sz w:val="22"/>
                <w:szCs w:val="22"/>
                <w:b w:val="1"/>
                <w:bCs w:val="1"/>
                <w:color w:val="FFFFFF"/>
              </w:rPr>
              <w:t>Outside</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420" w:type="dxa"/>
            <w:vAlign w:val="bottom"/>
            <w:shd w:val="clear" w:color="auto" w:fill="4F81BD"/>
          </w:tcPr>
          <w:p>
            <w:pPr>
              <w:spacing w:after="0"/>
              <w:rPr>
                <w:sz w:val="22"/>
                <w:szCs w:val="22"/>
                <w:color w:val="auto"/>
              </w:rPr>
            </w:pPr>
          </w:p>
        </w:tc>
        <w:tc>
          <w:tcPr>
            <w:tcW w:w="540" w:type="dxa"/>
            <w:vAlign w:val="bottom"/>
            <w:shd w:val="clear" w:color="auto" w:fill="4F81BD"/>
          </w:tcPr>
          <w:p>
            <w:pPr>
              <w:spacing w:after="0"/>
              <w:rPr>
                <w:sz w:val="22"/>
                <w:szCs w:val="22"/>
                <w:color w:val="auto"/>
              </w:rPr>
            </w:pP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2200" w:type="dxa"/>
            <w:vAlign w:val="bottom"/>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9"/>
                <w:shd w:val="clear" w:color="auto" w:fill="4F81BD"/>
              </w:rPr>
              <w:t>Total cases with site of</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1100" w:type="dxa"/>
            <w:vAlign w:val="bottom"/>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8"/>
              </w:rPr>
              <w:t>Total</w:t>
            </w:r>
          </w:p>
        </w:tc>
        <w:tc>
          <w:tcPr>
            <w:tcW w:w="120" w:type="dxa"/>
            <w:vAlign w:val="bottom"/>
            <w:tcBorders>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3"/>
        </w:trPr>
        <w:tc>
          <w:tcPr>
            <w:tcW w:w="100" w:type="dxa"/>
            <w:vAlign w:val="bottom"/>
            <w:tcBorders>
              <w:left w:val="single" w:sz="8" w:color="auto"/>
            </w:tcBorders>
            <w:shd w:val="clear" w:color="auto" w:fill="4F81BD"/>
          </w:tcPr>
          <w:p>
            <w:pPr>
              <w:spacing w:after="0"/>
              <w:rPr>
                <w:sz w:val="11"/>
                <w:szCs w:val="11"/>
                <w:color w:val="auto"/>
              </w:rPr>
            </w:pPr>
          </w:p>
        </w:tc>
        <w:tc>
          <w:tcPr>
            <w:tcW w:w="178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jc w:val="right"/>
              <w:ind w:right="30"/>
              <w:spacing w:after="0"/>
              <w:rPr>
                <w:sz w:val="20"/>
                <w:szCs w:val="20"/>
                <w:color w:val="auto"/>
              </w:rPr>
            </w:pPr>
            <w:r>
              <w:rPr>
                <w:rFonts w:ascii="Calibri" w:cs="Calibri" w:eastAsia="Calibri" w:hAnsi="Calibri"/>
                <w:sz w:val="22"/>
                <w:szCs w:val="22"/>
                <w:b w:val="1"/>
                <w:bCs w:val="1"/>
                <w:color w:val="FFFFFF"/>
              </w:rPr>
              <w:t>China</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line="262" w:lineRule="exact"/>
              <w:rPr>
                <w:sz w:val="20"/>
                <w:szCs w:val="20"/>
                <w:color w:val="auto"/>
              </w:rPr>
            </w:pPr>
            <w:r>
              <w:rPr>
                <w:rFonts w:ascii="Calibri" w:cs="Calibri" w:eastAsia="Calibri" w:hAnsi="Calibri"/>
                <w:sz w:val="22"/>
                <w:szCs w:val="22"/>
                <w:b w:val="1"/>
                <w:bCs w:val="1"/>
                <w:color w:val="FFFFFF"/>
              </w:rPr>
              <w:t>reporting</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In</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 under</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1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100" w:type="dxa"/>
            <w:vAlign w:val="bottom"/>
            <w:tcBorders>
              <w:left w:val="single" w:sz="8" w:color="auto"/>
            </w:tcBorders>
            <w:shd w:val="clear" w:color="auto" w:fill="4F81BD"/>
          </w:tcPr>
          <w:p>
            <w:pPr>
              <w:spacing w:after="0"/>
              <w:rPr>
                <w:sz w:val="11"/>
                <w:szCs w:val="11"/>
                <w:color w:val="auto"/>
              </w:rPr>
            </w:pPr>
          </w:p>
        </w:tc>
        <w:tc>
          <w:tcPr>
            <w:tcW w:w="1780" w:type="dxa"/>
            <w:vAlign w:val="bottom"/>
            <w:vMerge w:val="restart"/>
            <w:shd w:val="clear" w:color="auto" w:fill="4F81BD"/>
          </w:tcPr>
          <w:p>
            <w:pPr>
              <w:ind w:left="680"/>
              <w:spacing w:after="0"/>
              <w:rPr>
                <w:sz w:val="20"/>
                <w:szCs w:val="20"/>
                <w:color w:val="auto"/>
              </w:rPr>
            </w:pPr>
            <w:r>
              <w:rPr>
                <w:rFonts w:ascii="Calibri" w:cs="Calibri" w:eastAsia="Calibri" w:hAnsi="Calibri"/>
                <w:sz w:val="22"/>
                <w:szCs w:val="22"/>
                <w:b w:val="1"/>
                <w:bCs w:val="1"/>
                <w:color w:val="FFFFFF"/>
              </w:rPr>
              <w:t>Area</w:t>
            </w:r>
          </w:p>
        </w:tc>
        <w:tc>
          <w:tcPr>
            <w:tcW w:w="14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00" w:type="dxa"/>
            <w:vAlign w:val="bottom"/>
            <w:gridSpan w:val="3"/>
            <w:vMerge w:val="restart"/>
            <w:shd w:val="clear" w:color="auto" w:fill="4F81BD"/>
          </w:tcPr>
          <w:p>
            <w:pPr>
              <w:ind w:left="60"/>
              <w:spacing w:after="0"/>
              <w:rPr>
                <w:sz w:val="20"/>
                <w:szCs w:val="20"/>
                <w:color w:val="auto"/>
              </w:rPr>
            </w:pPr>
            <w:r>
              <w:rPr>
                <w:rFonts w:ascii="Calibri" w:cs="Calibri" w:eastAsia="Calibri" w:hAnsi="Calibri"/>
                <w:sz w:val="22"/>
                <w:szCs w:val="22"/>
                <w:b w:val="1"/>
                <w:bCs w:val="1"/>
                <w:color w:val="FFFFFF"/>
                <w:shd w:val="clear" w:color="auto" w:fill="4F81BD"/>
              </w:rPr>
              <w:t>cases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1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178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line="263" w:lineRule="exact"/>
              <w:rPr>
                <w:sz w:val="20"/>
                <w:szCs w:val="20"/>
                <w:color w:val="auto"/>
              </w:rPr>
            </w:pPr>
            <w:r>
              <w:rPr>
                <w:rFonts w:ascii="Calibri" w:cs="Calibri" w:eastAsia="Calibri" w:hAnsi="Calibri"/>
                <w:sz w:val="22"/>
                <w:szCs w:val="22"/>
                <w:b w:val="1"/>
                <w:bCs w:val="1"/>
                <w:color w:val="FFFFFF"/>
                <w:shd w:val="clear" w:color="auto" w:fill="4F81BD"/>
              </w:rPr>
              <w:t>country and</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8"/>
                <w:shd w:val="clear" w:color="auto" w:fill="4F81BD"/>
              </w:rPr>
              <w:t>reporting</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investigation (new)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1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(new)</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178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4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6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jc w:val="right"/>
              <w:ind w:right="30"/>
              <w:spacing w:after="0" w:line="263" w:lineRule="exact"/>
              <w:rPr>
                <w:sz w:val="20"/>
                <w:szCs w:val="20"/>
                <w:color w:val="auto"/>
              </w:rPr>
            </w:pPr>
            <w:r>
              <w:rPr>
                <w:rFonts w:ascii="Calibri" w:cs="Calibri" w:eastAsia="Calibri" w:hAnsi="Calibri"/>
                <w:sz w:val="22"/>
                <w:szCs w:val="22"/>
                <w:b w:val="1"/>
                <w:bCs w:val="1"/>
                <w:color w:val="FFFFFF"/>
              </w:rPr>
              <w:t>(new)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1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100" w:type="dxa"/>
            <w:vAlign w:val="bottom"/>
            <w:tcBorders>
              <w:left w:val="single" w:sz="8" w:color="auto"/>
            </w:tcBorders>
            <w:shd w:val="clear" w:color="auto" w:fill="4F81BD"/>
          </w:tcPr>
          <w:p>
            <w:pPr>
              <w:spacing w:after="0"/>
              <w:rPr>
                <w:sz w:val="11"/>
                <w:szCs w:val="11"/>
                <w:color w:val="auto"/>
              </w:rPr>
            </w:pPr>
          </w:p>
        </w:tc>
        <w:tc>
          <w:tcPr>
            <w:tcW w:w="178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4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6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line="263" w:lineRule="exact"/>
              <w:rPr>
                <w:sz w:val="20"/>
                <w:szCs w:val="20"/>
                <w:color w:val="auto"/>
              </w:rPr>
            </w:pPr>
            <w:r>
              <w:rPr>
                <w:rFonts w:ascii="Calibri" w:cs="Calibri" w:eastAsia="Calibri" w:hAnsi="Calibri"/>
                <w:sz w:val="22"/>
                <w:szCs w:val="22"/>
                <w:b w:val="1"/>
                <w:bCs w:val="1"/>
                <w:color w:val="FFFFFF"/>
              </w:rPr>
              <w:t>outside</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rPr>
              <w:t>country</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1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178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4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6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1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71"/>
        </w:trPr>
        <w:tc>
          <w:tcPr>
            <w:tcW w:w="100" w:type="dxa"/>
            <w:vAlign w:val="bottom"/>
            <w:tcBorders>
              <w:left w:val="single" w:sz="8" w:color="auto"/>
              <w:bottom w:val="single" w:sz="8" w:color="auto"/>
            </w:tcBorders>
            <w:shd w:val="clear" w:color="auto" w:fill="4F81BD"/>
          </w:tcPr>
          <w:p>
            <w:pPr>
              <w:spacing w:after="0"/>
              <w:rPr>
                <w:sz w:val="23"/>
                <w:szCs w:val="23"/>
                <w:color w:val="auto"/>
              </w:rPr>
            </w:pPr>
          </w:p>
        </w:tc>
        <w:tc>
          <w:tcPr>
            <w:tcW w:w="1780" w:type="dxa"/>
            <w:vAlign w:val="bottom"/>
            <w:tcBorders>
              <w:bottom w:val="single" w:sz="8" w:color="auto"/>
            </w:tcBorders>
            <w:shd w:val="clear" w:color="auto" w:fill="4F81BD"/>
          </w:tcPr>
          <w:p>
            <w:pPr>
              <w:spacing w:after="0"/>
              <w:rPr>
                <w:sz w:val="23"/>
                <w:szCs w:val="23"/>
                <w:color w:val="auto"/>
              </w:rPr>
            </w:pPr>
          </w:p>
        </w:tc>
        <w:tc>
          <w:tcPr>
            <w:tcW w:w="140" w:type="dxa"/>
            <w:vAlign w:val="bottom"/>
            <w:tcBorders>
              <w:bottom w:val="single" w:sz="8" w:color="auto"/>
              <w:right w:val="single" w:sz="8" w:color="auto"/>
            </w:tcBorders>
            <w:shd w:val="clear" w:color="auto" w:fill="4F81BD"/>
          </w:tcPr>
          <w:p>
            <w:pPr>
              <w:spacing w:after="0"/>
              <w:rPr>
                <w:sz w:val="23"/>
                <w:szCs w:val="23"/>
                <w:color w:val="auto"/>
              </w:rPr>
            </w:pPr>
          </w:p>
        </w:tc>
        <w:tc>
          <w:tcPr>
            <w:tcW w:w="60" w:type="dxa"/>
            <w:vAlign w:val="bottom"/>
            <w:tcBorders>
              <w:bottom w:val="single" w:sz="8" w:color="auto"/>
            </w:tcBorders>
            <w:shd w:val="clear" w:color="auto" w:fill="4F81BD"/>
          </w:tcPr>
          <w:p>
            <w:pPr>
              <w:spacing w:after="0"/>
              <w:rPr>
                <w:sz w:val="23"/>
                <w:szCs w:val="23"/>
                <w:color w:val="auto"/>
              </w:rPr>
            </w:pPr>
          </w:p>
        </w:tc>
        <w:tc>
          <w:tcPr>
            <w:tcW w:w="540" w:type="dxa"/>
            <w:vAlign w:val="bottom"/>
            <w:tcBorders>
              <w:bottom w:val="single" w:sz="8" w:color="auto"/>
            </w:tcBorders>
            <w:shd w:val="clear" w:color="auto" w:fill="4F81BD"/>
          </w:tcPr>
          <w:p>
            <w:pPr>
              <w:spacing w:after="0"/>
              <w:rPr>
                <w:sz w:val="23"/>
                <w:szCs w:val="23"/>
                <w:color w:val="auto"/>
              </w:rPr>
            </w:pPr>
          </w:p>
        </w:tc>
        <w:tc>
          <w:tcPr>
            <w:tcW w:w="60" w:type="dxa"/>
            <w:vAlign w:val="bottom"/>
            <w:tcBorders>
              <w:bottom w:val="single" w:sz="8" w:color="auto"/>
            </w:tcBorders>
            <w:shd w:val="clear" w:color="auto" w:fill="4F81BD"/>
          </w:tcPr>
          <w:p>
            <w:pPr>
              <w:spacing w:after="0"/>
              <w:rPr>
                <w:sz w:val="23"/>
                <w:szCs w:val="23"/>
                <w:color w:val="auto"/>
              </w:rPr>
            </w:pPr>
          </w:p>
        </w:tc>
        <w:tc>
          <w:tcPr>
            <w:tcW w:w="600" w:type="dxa"/>
            <w:vAlign w:val="bottom"/>
            <w:tcBorders>
              <w:bottom w:val="single" w:sz="8" w:color="auto"/>
            </w:tcBorders>
            <w:shd w:val="clear" w:color="auto" w:fill="4F81BD"/>
          </w:tcPr>
          <w:p>
            <w:pPr>
              <w:spacing w:after="0"/>
              <w:rPr>
                <w:sz w:val="23"/>
                <w:szCs w:val="23"/>
                <w:color w:val="auto"/>
              </w:rPr>
            </w:pPr>
          </w:p>
        </w:tc>
        <w:tc>
          <w:tcPr>
            <w:tcW w:w="120" w:type="dxa"/>
            <w:vAlign w:val="bottom"/>
            <w:tcBorders>
              <w:bottom w:val="single" w:sz="8" w:color="auto"/>
              <w:right w:val="single" w:sz="8" w:color="auto"/>
            </w:tcBorders>
            <w:shd w:val="clear" w:color="auto" w:fill="4F81BD"/>
          </w:tcPr>
          <w:p>
            <w:pPr>
              <w:spacing w:after="0"/>
              <w:rPr>
                <w:sz w:val="23"/>
                <w:szCs w:val="23"/>
                <w:color w:val="auto"/>
              </w:rPr>
            </w:pPr>
          </w:p>
        </w:tc>
        <w:tc>
          <w:tcPr>
            <w:tcW w:w="100" w:type="dxa"/>
            <w:vAlign w:val="bottom"/>
            <w:tcBorders>
              <w:bottom w:val="single" w:sz="8" w:color="auto"/>
            </w:tcBorders>
            <w:shd w:val="clear" w:color="auto" w:fill="4F81BD"/>
          </w:tcPr>
          <w:p>
            <w:pPr>
              <w:spacing w:after="0"/>
              <w:rPr>
                <w:sz w:val="23"/>
                <w:szCs w:val="23"/>
                <w:color w:val="auto"/>
              </w:rPr>
            </w:pPr>
          </w:p>
        </w:tc>
        <w:tc>
          <w:tcPr>
            <w:tcW w:w="800" w:type="dxa"/>
            <w:vAlign w:val="bottom"/>
            <w:tcBorders>
              <w:bottom w:val="single" w:sz="8" w:color="auto"/>
            </w:tcBorders>
            <w:shd w:val="clear" w:color="auto" w:fill="4F81BD"/>
          </w:tcPr>
          <w:p>
            <w:pPr>
              <w:spacing w:after="0"/>
              <w:rPr>
                <w:sz w:val="23"/>
                <w:szCs w:val="23"/>
                <w:color w:val="auto"/>
              </w:rPr>
            </w:pPr>
          </w:p>
        </w:tc>
        <w:tc>
          <w:tcPr>
            <w:tcW w:w="140" w:type="dxa"/>
            <w:vAlign w:val="bottom"/>
            <w:tcBorders>
              <w:bottom w:val="single" w:sz="8" w:color="auto"/>
              <w:right w:val="single" w:sz="8" w:color="auto"/>
            </w:tcBorders>
            <w:shd w:val="clear" w:color="auto" w:fill="4F81BD"/>
          </w:tcPr>
          <w:p>
            <w:pPr>
              <w:spacing w:after="0"/>
              <w:rPr>
                <w:sz w:val="23"/>
                <w:szCs w:val="23"/>
                <w:color w:val="auto"/>
              </w:rPr>
            </w:pPr>
          </w:p>
        </w:tc>
        <w:tc>
          <w:tcPr>
            <w:tcW w:w="80" w:type="dxa"/>
            <w:vAlign w:val="bottom"/>
            <w:tcBorders>
              <w:bottom w:val="single" w:sz="8" w:color="auto"/>
            </w:tcBorders>
            <w:shd w:val="clear" w:color="auto" w:fill="4F81BD"/>
          </w:tcPr>
          <w:p>
            <w:pPr>
              <w:spacing w:after="0"/>
              <w:rPr>
                <w:sz w:val="23"/>
                <w:szCs w:val="23"/>
                <w:color w:val="auto"/>
              </w:rPr>
            </w:pPr>
          </w:p>
        </w:tc>
        <w:tc>
          <w:tcPr>
            <w:tcW w:w="1220" w:type="dxa"/>
            <w:vAlign w:val="bottom"/>
            <w:tcBorders>
              <w:bottom w:val="single" w:sz="8" w:color="auto"/>
            </w:tcBorders>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China (new)</w:t>
            </w:r>
          </w:p>
        </w:tc>
        <w:tc>
          <w:tcPr>
            <w:tcW w:w="140" w:type="dxa"/>
            <w:vAlign w:val="bottom"/>
            <w:tcBorders>
              <w:bottom w:val="single" w:sz="8" w:color="auto"/>
              <w:right w:val="single" w:sz="8" w:color="auto"/>
            </w:tcBorders>
            <w:shd w:val="clear" w:color="auto" w:fill="4F81BD"/>
          </w:tcPr>
          <w:p>
            <w:pPr>
              <w:spacing w:after="0"/>
              <w:rPr>
                <w:sz w:val="23"/>
                <w:szCs w:val="23"/>
                <w:color w:val="auto"/>
              </w:rPr>
            </w:pPr>
          </w:p>
        </w:tc>
        <w:tc>
          <w:tcPr>
            <w:tcW w:w="80" w:type="dxa"/>
            <w:vAlign w:val="bottom"/>
            <w:tcBorders>
              <w:bottom w:val="single" w:sz="8" w:color="auto"/>
            </w:tcBorders>
            <w:shd w:val="clear" w:color="auto" w:fill="4F81BD"/>
          </w:tcPr>
          <w:p>
            <w:pPr>
              <w:spacing w:after="0"/>
              <w:rPr>
                <w:sz w:val="23"/>
                <w:szCs w:val="23"/>
                <w:color w:val="auto"/>
              </w:rPr>
            </w:pPr>
          </w:p>
        </w:tc>
        <w:tc>
          <w:tcPr>
            <w:tcW w:w="420" w:type="dxa"/>
            <w:vAlign w:val="bottom"/>
            <w:tcBorders>
              <w:bottom w:val="single" w:sz="8" w:color="auto"/>
            </w:tcBorders>
            <w:shd w:val="clear" w:color="auto" w:fill="4F81BD"/>
          </w:tcPr>
          <w:p>
            <w:pPr>
              <w:spacing w:after="0"/>
              <w:rPr>
                <w:sz w:val="23"/>
                <w:szCs w:val="23"/>
                <w:color w:val="auto"/>
              </w:rPr>
            </w:pPr>
          </w:p>
        </w:tc>
        <w:tc>
          <w:tcPr>
            <w:tcW w:w="540" w:type="dxa"/>
            <w:vAlign w:val="bottom"/>
            <w:tcBorders>
              <w:bottom w:val="single" w:sz="8" w:color="auto"/>
            </w:tcBorders>
            <w:shd w:val="clear" w:color="auto" w:fill="4F81BD"/>
          </w:tcPr>
          <w:p>
            <w:pPr>
              <w:spacing w:after="0"/>
              <w:rPr>
                <w:sz w:val="23"/>
                <w:szCs w:val="23"/>
                <w:color w:val="auto"/>
              </w:rPr>
            </w:pPr>
          </w:p>
        </w:tc>
        <w:tc>
          <w:tcPr>
            <w:tcW w:w="120" w:type="dxa"/>
            <w:vAlign w:val="bottom"/>
            <w:tcBorders>
              <w:bottom w:val="single" w:sz="8" w:color="auto"/>
              <w:right w:val="single" w:sz="8" w:color="auto"/>
            </w:tcBorders>
            <w:shd w:val="clear" w:color="auto" w:fill="4F81BD"/>
          </w:tcPr>
          <w:p>
            <w:pPr>
              <w:spacing w:after="0"/>
              <w:rPr>
                <w:sz w:val="23"/>
                <w:szCs w:val="23"/>
                <w:color w:val="auto"/>
              </w:rPr>
            </w:pPr>
          </w:p>
        </w:tc>
        <w:tc>
          <w:tcPr>
            <w:tcW w:w="100" w:type="dxa"/>
            <w:vAlign w:val="bottom"/>
            <w:tcBorders>
              <w:bottom w:val="single" w:sz="8" w:color="auto"/>
            </w:tcBorders>
            <w:shd w:val="clear" w:color="auto" w:fill="4F81BD"/>
          </w:tcPr>
          <w:p>
            <w:pPr>
              <w:spacing w:after="0"/>
              <w:rPr>
                <w:sz w:val="23"/>
                <w:szCs w:val="23"/>
                <w:color w:val="auto"/>
              </w:rPr>
            </w:pPr>
          </w:p>
        </w:tc>
        <w:tc>
          <w:tcPr>
            <w:tcW w:w="2200" w:type="dxa"/>
            <w:vAlign w:val="bottom"/>
            <w:tcBorders>
              <w:bottom w:val="single" w:sz="8" w:color="auto"/>
            </w:tcBorders>
            <w:shd w:val="clear" w:color="auto" w:fill="4F81BD"/>
          </w:tcPr>
          <w:p>
            <w:pPr>
              <w:spacing w:after="0"/>
              <w:rPr>
                <w:sz w:val="23"/>
                <w:szCs w:val="23"/>
                <w:color w:val="auto"/>
              </w:rPr>
            </w:pPr>
          </w:p>
        </w:tc>
        <w:tc>
          <w:tcPr>
            <w:tcW w:w="140" w:type="dxa"/>
            <w:vAlign w:val="bottom"/>
            <w:tcBorders>
              <w:bottom w:val="single" w:sz="8" w:color="auto"/>
              <w:right w:val="single" w:sz="8" w:color="auto"/>
            </w:tcBorders>
            <w:shd w:val="clear" w:color="auto" w:fill="4F81BD"/>
          </w:tcPr>
          <w:p>
            <w:pPr>
              <w:spacing w:after="0"/>
              <w:rPr>
                <w:sz w:val="23"/>
                <w:szCs w:val="23"/>
                <w:color w:val="auto"/>
              </w:rPr>
            </w:pPr>
          </w:p>
        </w:tc>
        <w:tc>
          <w:tcPr>
            <w:tcW w:w="80" w:type="dxa"/>
            <w:vAlign w:val="bottom"/>
            <w:tcBorders>
              <w:bottom w:val="single" w:sz="8" w:color="auto"/>
            </w:tcBorders>
            <w:shd w:val="clear" w:color="auto" w:fill="4F81BD"/>
          </w:tcPr>
          <w:p>
            <w:pPr>
              <w:spacing w:after="0"/>
              <w:rPr>
                <w:sz w:val="23"/>
                <w:szCs w:val="23"/>
                <w:color w:val="auto"/>
              </w:rPr>
            </w:pPr>
          </w:p>
        </w:tc>
        <w:tc>
          <w:tcPr>
            <w:tcW w:w="1100" w:type="dxa"/>
            <w:vAlign w:val="bottom"/>
            <w:tcBorders>
              <w:bottom w:val="single" w:sz="8" w:color="auto"/>
            </w:tcBorders>
            <w:shd w:val="clear" w:color="auto" w:fill="4F81BD"/>
          </w:tcPr>
          <w:p>
            <w:pPr>
              <w:spacing w:after="0"/>
              <w:rPr>
                <w:sz w:val="23"/>
                <w:szCs w:val="23"/>
                <w:color w:val="auto"/>
              </w:rPr>
            </w:pPr>
          </w:p>
        </w:tc>
        <w:tc>
          <w:tcPr>
            <w:tcW w:w="120" w:type="dxa"/>
            <w:vAlign w:val="bottom"/>
            <w:tcBorders>
              <w:bottom w:val="single" w:sz="8" w:color="auto"/>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520" w:type="dxa"/>
            <w:vAlign w:val="bottom"/>
            <w:tcBorders>
              <w:bottom w:val="single" w:sz="8" w:color="ACB9CA"/>
            </w:tcBorders>
            <w:gridSpan w:val="4"/>
            <w:shd w:val="clear" w:color="auto" w:fill="ACB9CA"/>
          </w:tcPr>
          <w:p>
            <w:pPr>
              <w:spacing w:after="0"/>
              <w:rPr>
                <w:sz w:val="20"/>
                <w:szCs w:val="20"/>
                <w:color w:val="auto"/>
              </w:rPr>
            </w:pPr>
            <w:r>
              <w:rPr>
                <w:rFonts w:ascii="Calibri" w:cs="Calibri" w:eastAsia="Calibri" w:hAnsi="Calibri"/>
                <w:sz w:val="22"/>
                <w:szCs w:val="22"/>
                <w:b w:val="1"/>
                <w:bCs w:val="1"/>
                <w:color w:val="FFFFFF"/>
              </w:rPr>
              <w:t>Western Pacific Region</w:t>
            </w:r>
          </w:p>
        </w:tc>
        <w:tc>
          <w:tcPr>
            <w:tcW w:w="60" w:type="dxa"/>
            <w:vAlign w:val="bottom"/>
            <w:tcBorders>
              <w:bottom w:val="single" w:sz="8" w:color="ACB9CA"/>
            </w:tcBorders>
            <w:shd w:val="clear" w:color="auto" w:fill="ACB9CA"/>
          </w:tcPr>
          <w:p>
            <w:pPr>
              <w:spacing w:after="0"/>
              <w:rPr>
                <w:sz w:val="24"/>
                <w:szCs w:val="24"/>
                <w:color w:val="auto"/>
              </w:rPr>
            </w:pPr>
          </w:p>
        </w:tc>
        <w:tc>
          <w:tcPr>
            <w:tcW w:w="6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42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220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92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Singapore</w:t>
            </w:r>
          </w:p>
        </w:tc>
        <w:tc>
          <w:tcPr>
            <w:tcW w:w="660" w:type="dxa"/>
            <w:vAlign w:val="bottom"/>
            <w:tcBorders>
              <w:top w:val="single" w:sz="8" w:color="auto"/>
            </w:tcBorders>
            <w:gridSpan w:val="3"/>
          </w:tcPr>
          <w:p>
            <w:pPr>
              <w:jc w:val="center"/>
              <w:ind w:left="250"/>
              <w:spacing w:after="0" w:line="253" w:lineRule="exact"/>
              <w:rPr>
                <w:sz w:val="20"/>
                <w:szCs w:val="20"/>
                <w:color w:val="auto"/>
              </w:rPr>
            </w:pPr>
            <w:r>
              <w:rPr>
                <w:rFonts w:ascii="Calibri" w:cs="Calibri" w:eastAsia="Calibri" w:hAnsi="Calibri"/>
                <w:sz w:val="22"/>
                <w:szCs w:val="22"/>
                <w:color w:val="auto"/>
                <w:w w:val="98"/>
              </w:rPr>
              <w:t>81</w:t>
            </w:r>
          </w:p>
        </w:tc>
        <w:tc>
          <w:tcPr>
            <w:tcW w:w="600" w:type="dxa"/>
            <w:vAlign w:val="bottom"/>
            <w:tcBorders>
              <w:top w:val="single" w:sz="8" w:color="auto"/>
            </w:tcBorders>
          </w:tcPr>
          <w:p>
            <w:pPr>
              <w:ind w:left="20"/>
              <w:spacing w:after="0" w:line="253" w:lineRule="exact"/>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right w:val="single" w:sz="8" w:color="auto"/>
            </w:tcBorders>
          </w:tcPr>
          <w:p>
            <w:pPr>
              <w:spacing w:after="0"/>
              <w:rPr>
                <w:sz w:val="22"/>
                <w:szCs w:val="22"/>
                <w:color w:val="auto"/>
              </w:rPr>
            </w:pPr>
          </w:p>
        </w:tc>
        <w:tc>
          <w:tcPr>
            <w:tcW w:w="9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23 (0)</w:t>
            </w:r>
          </w:p>
        </w:tc>
        <w:tc>
          <w:tcPr>
            <w:tcW w:w="140" w:type="dxa"/>
            <w:vAlign w:val="bottom"/>
            <w:tcBorders>
              <w:top w:val="single" w:sz="8" w:color="auto"/>
              <w:right w:val="single" w:sz="8" w:color="auto"/>
            </w:tcBorders>
          </w:tcPr>
          <w:p>
            <w:pPr>
              <w:spacing w:after="0"/>
              <w:rPr>
                <w:sz w:val="22"/>
                <w:szCs w:val="22"/>
                <w:color w:val="auto"/>
              </w:rPr>
            </w:pPr>
          </w:p>
        </w:tc>
        <w:tc>
          <w:tcPr>
            <w:tcW w:w="1300" w:type="dxa"/>
            <w:vAlign w:val="bottom"/>
            <w:tcBorders>
              <w:top w:val="single" w:sz="8" w:color="auto"/>
            </w:tcBorders>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top w:val="single" w:sz="8" w:color="auto"/>
              <w:right w:val="single" w:sz="8" w:color="auto"/>
            </w:tcBorders>
          </w:tcPr>
          <w:p>
            <w:pPr>
              <w:spacing w:after="0"/>
              <w:rPr>
                <w:sz w:val="22"/>
                <w:szCs w:val="22"/>
                <w:color w:val="auto"/>
              </w:rPr>
            </w:pPr>
          </w:p>
        </w:tc>
        <w:tc>
          <w:tcPr>
            <w:tcW w:w="1040" w:type="dxa"/>
            <w:vAlign w:val="bottom"/>
            <w:tcBorders>
              <w:top w:val="single" w:sz="8" w:color="auto"/>
            </w:tcBorders>
            <w:gridSpan w:val="3"/>
          </w:tcPr>
          <w:p>
            <w:pPr>
              <w:jc w:val="center"/>
              <w:spacing w:after="0" w:line="253" w:lineRule="exact"/>
              <w:rPr>
                <w:sz w:val="20"/>
                <w:szCs w:val="20"/>
                <w:color w:val="auto"/>
              </w:rPr>
            </w:pPr>
            <w:r>
              <w:rPr>
                <w:rFonts w:ascii="Calibri" w:cs="Calibri" w:eastAsia="Calibri" w:hAnsi="Calibri"/>
                <w:sz w:val="22"/>
                <w:szCs w:val="22"/>
                <w:color w:val="auto"/>
              </w:rPr>
              <w:t>51 (3)</w:t>
            </w:r>
          </w:p>
        </w:tc>
        <w:tc>
          <w:tcPr>
            <w:tcW w:w="120" w:type="dxa"/>
            <w:vAlign w:val="bottom"/>
            <w:tcBorders>
              <w:top w:val="single" w:sz="8" w:color="auto"/>
              <w:right w:val="single" w:sz="8" w:color="auto"/>
            </w:tcBorders>
          </w:tcPr>
          <w:p>
            <w:pPr>
              <w:spacing w:after="0"/>
              <w:rPr>
                <w:sz w:val="22"/>
                <w:szCs w:val="22"/>
                <w:color w:val="auto"/>
              </w:rPr>
            </w:pPr>
          </w:p>
        </w:tc>
        <w:tc>
          <w:tcPr>
            <w:tcW w:w="23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7 (1)</w:t>
            </w:r>
          </w:p>
        </w:tc>
        <w:tc>
          <w:tcPr>
            <w:tcW w:w="140" w:type="dxa"/>
            <w:vAlign w:val="bottom"/>
            <w:tcBorders>
              <w:top w:val="single" w:sz="8" w:color="auto"/>
              <w:right w:val="single" w:sz="8" w:color="auto"/>
            </w:tcBorders>
          </w:tcPr>
          <w:p>
            <w:pPr>
              <w:spacing w:after="0"/>
              <w:rPr>
                <w:sz w:val="22"/>
                <w:szCs w:val="22"/>
                <w:color w:val="auto"/>
              </w:rPr>
            </w:pPr>
          </w:p>
        </w:tc>
        <w:tc>
          <w:tcPr>
            <w:tcW w:w="11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60" w:type="dxa"/>
            <w:vAlign w:val="bottom"/>
            <w:tcBorders>
              <w:bottom w:val="single" w:sz="8" w:color="auto"/>
            </w:tcBorders>
            <w:gridSpan w:val="3"/>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04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Japan</w:t>
            </w:r>
          </w:p>
        </w:tc>
        <w:tc>
          <w:tcPr>
            <w:tcW w:w="660" w:type="dxa"/>
            <w:vAlign w:val="bottom"/>
            <w:gridSpan w:val="3"/>
          </w:tcPr>
          <w:p>
            <w:pPr>
              <w:jc w:val="center"/>
              <w:ind w:left="250"/>
              <w:spacing w:after="0" w:line="253" w:lineRule="exact"/>
              <w:rPr>
                <w:sz w:val="20"/>
                <w:szCs w:val="20"/>
                <w:color w:val="auto"/>
              </w:rPr>
            </w:pPr>
            <w:r>
              <w:rPr>
                <w:rFonts w:ascii="Calibri" w:cs="Calibri" w:eastAsia="Calibri" w:hAnsi="Calibri"/>
                <w:sz w:val="22"/>
                <w:szCs w:val="22"/>
                <w:color w:val="auto"/>
                <w:w w:val="98"/>
              </w:rPr>
              <w:t>73</w:t>
            </w:r>
          </w:p>
        </w:tc>
        <w:tc>
          <w:tcPr>
            <w:tcW w:w="600" w:type="dxa"/>
            <w:vAlign w:val="bottom"/>
          </w:tcPr>
          <w:p>
            <w:pPr>
              <w:ind w:left="20"/>
              <w:spacing w:after="0" w:line="253" w:lineRule="exact"/>
              <w:rPr>
                <w:sz w:val="20"/>
                <w:szCs w:val="20"/>
                <w:color w:val="auto"/>
              </w:rPr>
            </w:pPr>
            <w:r>
              <w:rPr>
                <w:rFonts w:ascii="Calibri" w:cs="Calibri" w:eastAsia="Calibri" w:hAnsi="Calibri"/>
                <w:sz w:val="22"/>
                <w:szCs w:val="22"/>
                <w:color w:val="auto"/>
              </w:rPr>
              <w:t>(8)</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rPr>
              <w:t>26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3 (2)</w:t>
            </w:r>
          </w:p>
        </w:tc>
        <w:tc>
          <w:tcPr>
            <w:tcW w:w="140" w:type="dxa"/>
            <w:vAlign w:val="bottom"/>
            <w:tcBorders>
              <w:right w:val="single" w:sz="8" w:color="auto"/>
            </w:tcBorders>
          </w:tcPr>
          <w:p>
            <w:pPr>
              <w:spacing w:after="0"/>
              <w:rPr>
                <w:sz w:val="22"/>
                <w:szCs w:val="22"/>
                <w:color w:val="auto"/>
              </w:rPr>
            </w:pPr>
          </w:p>
        </w:tc>
        <w:tc>
          <w:tcPr>
            <w:tcW w:w="1040" w:type="dxa"/>
            <w:vAlign w:val="bottom"/>
            <w:gridSpan w:val="3"/>
          </w:tcPr>
          <w:p>
            <w:pPr>
              <w:jc w:val="center"/>
              <w:spacing w:after="0" w:line="253" w:lineRule="exact"/>
              <w:rPr>
                <w:sz w:val="20"/>
                <w:szCs w:val="20"/>
                <w:color w:val="auto"/>
              </w:rPr>
            </w:pPr>
            <w:r>
              <w:rPr>
                <w:rFonts w:ascii="Calibri" w:cs="Calibri" w:eastAsia="Calibri" w:hAnsi="Calibri"/>
                <w:sz w:val="22"/>
                <w:szCs w:val="22"/>
                <w:color w:val="auto"/>
              </w:rPr>
              <w:t>39 (3)</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5 (3)</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1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9"/>
        </w:trPr>
        <w:tc>
          <w:tcPr>
            <w:tcW w:w="100" w:type="dxa"/>
            <w:vAlign w:val="bottom"/>
            <w:tcBorders>
              <w:left w:val="single" w:sz="8" w:color="auto"/>
            </w:tcBorders>
          </w:tcPr>
          <w:p>
            <w:pPr>
              <w:spacing w:after="0"/>
              <w:rPr>
                <w:sz w:val="23"/>
                <w:szCs w:val="23"/>
                <w:color w:val="auto"/>
              </w:rPr>
            </w:pPr>
          </w:p>
        </w:tc>
        <w:tc>
          <w:tcPr>
            <w:tcW w:w="192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Republic of Korea</w:t>
            </w:r>
          </w:p>
        </w:tc>
        <w:tc>
          <w:tcPr>
            <w:tcW w:w="6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51</w:t>
            </w:r>
          </w:p>
        </w:tc>
        <w:tc>
          <w:tcPr>
            <w:tcW w:w="660" w:type="dxa"/>
            <w:vAlign w:val="bottom"/>
            <w:gridSpan w:val="2"/>
          </w:tcPr>
          <w:p>
            <w:pPr>
              <w:ind w:left="20"/>
              <w:spacing w:after="0" w:line="253" w:lineRule="exact"/>
              <w:rPr>
                <w:sz w:val="20"/>
                <w:szCs w:val="20"/>
                <w:color w:val="auto"/>
              </w:rPr>
            </w:pPr>
            <w:r>
              <w:rPr>
                <w:rFonts w:ascii="Calibri" w:cs="Calibri" w:eastAsia="Calibri" w:hAnsi="Calibri"/>
                <w:sz w:val="22"/>
                <w:szCs w:val="22"/>
                <w:color w:val="auto"/>
              </w:rPr>
              <w:t>(20)</w:t>
            </w:r>
          </w:p>
        </w:tc>
        <w:tc>
          <w:tcPr>
            <w:tcW w:w="120" w:type="dxa"/>
            <w:vAlign w:val="bottom"/>
            <w:tcBorders>
              <w:right w:val="single" w:sz="8" w:color="auto"/>
            </w:tcBorders>
          </w:tcPr>
          <w:p>
            <w:pPr>
              <w:spacing w:after="0"/>
              <w:rPr>
                <w:sz w:val="23"/>
                <w:szCs w:val="23"/>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rPr>
              <w:t>13 (0)</w:t>
            </w:r>
          </w:p>
        </w:tc>
        <w:tc>
          <w:tcPr>
            <w:tcW w:w="140" w:type="dxa"/>
            <w:vAlign w:val="bottom"/>
            <w:tcBorders>
              <w:right w:val="single" w:sz="8" w:color="auto"/>
            </w:tcBorders>
          </w:tcPr>
          <w:p>
            <w:pPr>
              <w:spacing w:after="0"/>
              <w:rPr>
                <w:sz w:val="23"/>
                <w:szCs w:val="23"/>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4 (0)</w:t>
            </w:r>
          </w:p>
        </w:tc>
        <w:tc>
          <w:tcPr>
            <w:tcW w:w="140" w:type="dxa"/>
            <w:vAlign w:val="bottom"/>
            <w:tcBorders>
              <w:right w:val="single" w:sz="8" w:color="auto"/>
            </w:tcBorders>
          </w:tcPr>
          <w:p>
            <w:pPr>
              <w:spacing w:after="0"/>
              <w:rPr>
                <w:sz w:val="23"/>
                <w:szCs w:val="23"/>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29</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(18)</w:t>
            </w:r>
          </w:p>
        </w:tc>
        <w:tc>
          <w:tcPr>
            <w:tcW w:w="120" w:type="dxa"/>
            <w:vAlign w:val="bottom"/>
            <w:tcBorders>
              <w:right w:val="single" w:sz="8" w:color="auto"/>
            </w:tcBorders>
          </w:tcPr>
          <w:p>
            <w:pPr>
              <w:spacing w:after="0"/>
              <w:rPr>
                <w:sz w:val="23"/>
                <w:szCs w:val="23"/>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5 (2)</w:t>
            </w:r>
          </w:p>
        </w:tc>
        <w:tc>
          <w:tcPr>
            <w:tcW w:w="140" w:type="dxa"/>
            <w:vAlign w:val="bottom"/>
            <w:tcBorders>
              <w:right w:val="single" w:sz="8" w:color="auto"/>
            </w:tcBorders>
          </w:tcPr>
          <w:p>
            <w:pPr>
              <w:spacing w:after="0"/>
              <w:rPr>
                <w:sz w:val="23"/>
                <w:szCs w:val="23"/>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1920" w:type="dxa"/>
            <w:vAlign w:val="bottom"/>
            <w:tcBorders>
              <w:bottom w:val="single" w:sz="8" w:color="auto"/>
              <w:right w:val="single" w:sz="8" w:color="auto"/>
            </w:tcBorders>
            <w:gridSpan w:val="2"/>
          </w:tcPr>
          <w:p>
            <w:pPr>
              <w:spacing w:after="0" w:line="20" w:lineRule="exact"/>
              <w:rPr>
                <w:sz w:val="1"/>
                <w:szCs w:val="1"/>
                <w:color w:val="auto"/>
              </w:rPr>
            </w:pPr>
          </w:p>
        </w:tc>
        <w:tc>
          <w:tcPr>
            <w:tcW w:w="660" w:type="dxa"/>
            <w:vAlign w:val="bottom"/>
            <w:tcBorders>
              <w:bottom w:val="single" w:sz="8" w:color="auto"/>
            </w:tcBorders>
            <w:gridSpan w:val="3"/>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13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500" w:type="dxa"/>
            <w:vAlign w:val="bottom"/>
            <w:tcBorders>
              <w:bottom w:val="single" w:sz="8" w:color="auto"/>
            </w:tcBorders>
            <w:gridSpan w:val="2"/>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2300" w:type="dxa"/>
            <w:vAlign w:val="bottom"/>
            <w:tcBorders>
              <w:bottom w:val="single" w:sz="8" w:color="auto"/>
            </w:tcBorders>
            <w:gridSpan w:val="2"/>
          </w:tcPr>
          <w:p>
            <w:pPr>
              <w:spacing w:after="0" w:line="20" w:lineRule="exact"/>
              <w:rPr>
                <w:sz w:val="1"/>
                <w:szCs w:val="1"/>
                <w:color w:val="auto"/>
              </w:rPr>
            </w:pPr>
          </w:p>
        </w:tc>
        <w:tc>
          <w:tcPr>
            <w:tcW w:w="14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Malaysia</w:t>
            </w:r>
          </w:p>
        </w:tc>
        <w:tc>
          <w:tcPr>
            <w:tcW w:w="660" w:type="dxa"/>
            <w:vAlign w:val="bottom"/>
            <w:gridSpan w:val="3"/>
          </w:tcPr>
          <w:p>
            <w:pPr>
              <w:jc w:val="center"/>
              <w:ind w:left="250"/>
              <w:spacing w:after="0" w:line="253" w:lineRule="exact"/>
              <w:rPr>
                <w:sz w:val="20"/>
                <w:szCs w:val="20"/>
                <w:color w:val="auto"/>
              </w:rPr>
            </w:pPr>
            <w:r>
              <w:rPr>
                <w:rFonts w:ascii="Calibri" w:cs="Calibri" w:eastAsia="Calibri" w:hAnsi="Calibri"/>
                <w:sz w:val="22"/>
                <w:szCs w:val="22"/>
                <w:color w:val="auto"/>
                <w:w w:val="98"/>
              </w:rPr>
              <w:t>22</w:t>
            </w:r>
          </w:p>
        </w:tc>
        <w:tc>
          <w:tcPr>
            <w:tcW w:w="60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rPr>
              <w:t>17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1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2</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2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60" w:type="dxa"/>
            <w:vAlign w:val="bottom"/>
            <w:tcBorders>
              <w:bottom w:val="single" w:sz="8" w:color="auto"/>
            </w:tcBorders>
            <w:gridSpan w:val="3"/>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Viet Nam</w:t>
            </w:r>
          </w:p>
        </w:tc>
        <w:tc>
          <w:tcPr>
            <w:tcW w:w="660" w:type="dxa"/>
            <w:vAlign w:val="bottom"/>
            <w:gridSpan w:val="3"/>
          </w:tcPr>
          <w:p>
            <w:pPr>
              <w:jc w:val="center"/>
              <w:ind w:left="250"/>
              <w:spacing w:after="0" w:line="253" w:lineRule="exact"/>
              <w:rPr>
                <w:sz w:val="20"/>
                <w:szCs w:val="20"/>
                <w:color w:val="auto"/>
              </w:rPr>
            </w:pPr>
            <w:r>
              <w:rPr>
                <w:rFonts w:ascii="Calibri" w:cs="Calibri" w:eastAsia="Calibri" w:hAnsi="Calibri"/>
                <w:sz w:val="22"/>
                <w:szCs w:val="22"/>
                <w:color w:val="auto"/>
                <w:w w:val="98"/>
              </w:rPr>
              <w:t>16</w:t>
            </w:r>
          </w:p>
        </w:tc>
        <w:tc>
          <w:tcPr>
            <w:tcW w:w="60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8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8</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60" w:type="dxa"/>
            <w:vAlign w:val="bottom"/>
            <w:tcBorders>
              <w:bottom w:val="single" w:sz="8" w:color="auto"/>
            </w:tcBorders>
            <w:gridSpan w:val="3"/>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Australia</w:t>
            </w:r>
          </w:p>
        </w:tc>
        <w:tc>
          <w:tcPr>
            <w:tcW w:w="660" w:type="dxa"/>
            <w:vAlign w:val="bottom"/>
            <w:gridSpan w:val="3"/>
          </w:tcPr>
          <w:p>
            <w:pPr>
              <w:jc w:val="center"/>
              <w:ind w:left="250"/>
              <w:spacing w:after="0" w:line="253" w:lineRule="exact"/>
              <w:rPr>
                <w:sz w:val="20"/>
                <w:szCs w:val="20"/>
                <w:color w:val="auto"/>
              </w:rPr>
            </w:pPr>
            <w:r>
              <w:rPr>
                <w:rFonts w:ascii="Calibri" w:cs="Calibri" w:eastAsia="Calibri" w:hAnsi="Calibri"/>
                <w:sz w:val="22"/>
                <w:szCs w:val="22"/>
                <w:color w:val="auto"/>
                <w:w w:val="98"/>
              </w:rPr>
              <w:t>15</w:t>
            </w:r>
          </w:p>
        </w:tc>
        <w:tc>
          <w:tcPr>
            <w:tcW w:w="60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rPr>
              <w:t>12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3</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Philippines</w:t>
            </w:r>
          </w:p>
        </w:tc>
        <w:tc>
          <w:tcPr>
            <w:tcW w:w="600" w:type="dxa"/>
            <w:vAlign w:val="bottom"/>
            <w:gridSpan w:val="2"/>
          </w:tcPr>
          <w:p>
            <w:pPr>
              <w:jc w:val="center"/>
              <w:ind w:left="310"/>
              <w:spacing w:after="0" w:line="253" w:lineRule="exact"/>
              <w:rPr>
                <w:sz w:val="20"/>
                <w:szCs w:val="20"/>
                <w:color w:val="auto"/>
              </w:rPr>
            </w:pPr>
            <w:r>
              <w:rPr>
                <w:rFonts w:ascii="Calibri" w:cs="Calibri" w:eastAsia="Calibri" w:hAnsi="Calibri"/>
                <w:sz w:val="22"/>
                <w:szCs w:val="22"/>
                <w:color w:val="auto"/>
                <w:w w:val="89"/>
              </w:rPr>
              <w:t>3</w:t>
            </w:r>
          </w:p>
        </w:tc>
        <w:tc>
          <w:tcPr>
            <w:tcW w:w="660" w:type="dxa"/>
            <w:vAlign w:val="bottom"/>
            <w:gridSpan w:val="2"/>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3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1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Cambodia</w:t>
            </w:r>
          </w:p>
        </w:tc>
        <w:tc>
          <w:tcPr>
            <w:tcW w:w="600" w:type="dxa"/>
            <w:vAlign w:val="bottom"/>
            <w:gridSpan w:val="2"/>
          </w:tcPr>
          <w:p>
            <w:pPr>
              <w:jc w:val="center"/>
              <w:ind w:left="310"/>
              <w:spacing w:after="0" w:line="253" w:lineRule="exact"/>
              <w:rPr>
                <w:sz w:val="20"/>
                <w:szCs w:val="20"/>
                <w:color w:val="auto"/>
              </w:rPr>
            </w:pPr>
            <w:r>
              <w:rPr>
                <w:rFonts w:ascii="Calibri" w:cs="Calibri" w:eastAsia="Calibri" w:hAnsi="Calibri"/>
                <w:sz w:val="22"/>
                <w:szCs w:val="22"/>
                <w:color w:val="auto"/>
                <w:w w:val="89"/>
              </w:rPr>
              <w:t>1</w:t>
            </w:r>
          </w:p>
        </w:tc>
        <w:tc>
          <w:tcPr>
            <w:tcW w:w="660" w:type="dxa"/>
            <w:vAlign w:val="bottom"/>
            <w:gridSpan w:val="2"/>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1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22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520" w:type="dxa"/>
            <w:vAlign w:val="bottom"/>
            <w:tcBorders>
              <w:bottom w:val="single" w:sz="8" w:color="ACB9CA"/>
            </w:tcBorders>
            <w:gridSpan w:val="4"/>
            <w:shd w:val="clear" w:color="auto" w:fill="ACB9CA"/>
          </w:tcPr>
          <w:p>
            <w:pPr>
              <w:spacing w:after="0"/>
              <w:rPr>
                <w:sz w:val="20"/>
                <w:szCs w:val="20"/>
                <w:color w:val="auto"/>
              </w:rPr>
            </w:pPr>
            <w:r>
              <w:rPr>
                <w:rFonts w:ascii="Calibri" w:cs="Calibri" w:eastAsia="Calibri" w:hAnsi="Calibri"/>
                <w:sz w:val="22"/>
                <w:szCs w:val="22"/>
                <w:b w:val="1"/>
                <w:bCs w:val="1"/>
                <w:color w:val="FFFFFF"/>
              </w:rPr>
              <w:t>South-East Asia Region</w:t>
            </w:r>
          </w:p>
        </w:tc>
        <w:tc>
          <w:tcPr>
            <w:tcW w:w="60" w:type="dxa"/>
            <w:vAlign w:val="bottom"/>
            <w:tcBorders>
              <w:bottom w:val="single" w:sz="8" w:color="ACB9CA"/>
            </w:tcBorders>
            <w:shd w:val="clear" w:color="auto" w:fill="ACB9CA"/>
          </w:tcPr>
          <w:p>
            <w:pPr>
              <w:spacing w:after="0"/>
              <w:rPr>
                <w:sz w:val="24"/>
                <w:szCs w:val="24"/>
                <w:color w:val="auto"/>
              </w:rPr>
            </w:pPr>
          </w:p>
        </w:tc>
        <w:tc>
          <w:tcPr>
            <w:tcW w:w="6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42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220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92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Thailand</w:t>
            </w:r>
          </w:p>
        </w:tc>
        <w:tc>
          <w:tcPr>
            <w:tcW w:w="660" w:type="dxa"/>
            <w:vAlign w:val="bottom"/>
            <w:tcBorders>
              <w:top w:val="single" w:sz="8" w:color="auto"/>
            </w:tcBorders>
            <w:gridSpan w:val="3"/>
          </w:tcPr>
          <w:p>
            <w:pPr>
              <w:jc w:val="center"/>
              <w:ind w:left="250"/>
              <w:spacing w:after="0" w:line="253" w:lineRule="exact"/>
              <w:rPr>
                <w:sz w:val="20"/>
                <w:szCs w:val="20"/>
                <w:color w:val="auto"/>
              </w:rPr>
            </w:pPr>
            <w:r>
              <w:rPr>
                <w:rFonts w:ascii="Calibri" w:cs="Calibri" w:eastAsia="Calibri" w:hAnsi="Calibri"/>
                <w:sz w:val="22"/>
                <w:szCs w:val="22"/>
                <w:color w:val="auto"/>
                <w:w w:val="98"/>
              </w:rPr>
              <w:t>35</w:t>
            </w:r>
          </w:p>
        </w:tc>
        <w:tc>
          <w:tcPr>
            <w:tcW w:w="600" w:type="dxa"/>
            <w:vAlign w:val="bottom"/>
            <w:tcBorders>
              <w:top w:val="single" w:sz="8" w:color="auto"/>
            </w:tcBorders>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9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23 (0)</w:t>
            </w:r>
          </w:p>
        </w:tc>
        <w:tc>
          <w:tcPr>
            <w:tcW w:w="140" w:type="dxa"/>
            <w:vAlign w:val="bottom"/>
            <w:tcBorders>
              <w:top w:val="single" w:sz="8" w:color="auto"/>
              <w:right w:val="single" w:sz="8" w:color="auto"/>
            </w:tcBorders>
          </w:tcPr>
          <w:p>
            <w:pPr>
              <w:spacing w:after="0"/>
              <w:rPr>
                <w:sz w:val="22"/>
                <w:szCs w:val="22"/>
                <w:color w:val="auto"/>
              </w:rPr>
            </w:pPr>
          </w:p>
        </w:tc>
        <w:tc>
          <w:tcPr>
            <w:tcW w:w="1300" w:type="dxa"/>
            <w:vAlign w:val="bottom"/>
            <w:tcBorders>
              <w:top w:val="single" w:sz="8" w:color="auto"/>
            </w:tcBorders>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top w:val="single" w:sz="8" w:color="auto"/>
              <w:right w:val="single" w:sz="8" w:color="auto"/>
            </w:tcBorders>
          </w:tcPr>
          <w:p>
            <w:pPr>
              <w:spacing w:after="0"/>
              <w:rPr>
                <w:sz w:val="22"/>
                <w:szCs w:val="22"/>
                <w:color w:val="auto"/>
              </w:rPr>
            </w:pPr>
          </w:p>
        </w:tc>
        <w:tc>
          <w:tcPr>
            <w:tcW w:w="500" w:type="dxa"/>
            <w:vAlign w:val="bottom"/>
            <w:tcBorders>
              <w:top w:val="single" w:sz="8" w:color="auto"/>
            </w:tcBorders>
            <w:gridSpan w:val="2"/>
          </w:tcPr>
          <w:p>
            <w:pPr>
              <w:jc w:val="right"/>
              <w:spacing w:after="0" w:line="253" w:lineRule="exact"/>
              <w:rPr>
                <w:sz w:val="20"/>
                <w:szCs w:val="20"/>
                <w:color w:val="auto"/>
              </w:rPr>
            </w:pPr>
            <w:r>
              <w:rPr>
                <w:rFonts w:ascii="Calibri" w:cs="Calibri" w:eastAsia="Calibri" w:hAnsi="Calibri"/>
                <w:sz w:val="22"/>
                <w:szCs w:val="22"/>
                <w:color w:val="auto"/>
              </w:rPr>
              <w:t>5</w:t>
            </w:r>
          </w:p>
        </w:tc>
        <w:tc>
          <w:tcPr>
            <w:tcW w:w="540" w:type="dxa"/>
            <w:vAlign w:val="bottom"/>
            <w:tcBorders>
              <w:top w:val="single" w:sz="8" w:color="auto"/>
            </w:tcBorders>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23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7 (0)</w:t>
            </w:r>
          </w:p>
        </w:tc>
        <w:tc>
          <w:tcPr>
            <w:tcW w:w="140" w:type="dxa"/>
            <w:vAlign w:val="bottom"/>
            <w:tcBorders>
              <w:top w:val="single" w:sz="8" w:color="auto"/>
              <w:right w:val="single" w:sz="8" w:color="auto"/>
            </w:tcBorders>
          </w:tcPr>
          <w:p>
            <w:pPr>
              <w:spacing w:after="0"/>
              <w:rPr>
                <w:sz w:val="22"/>
                <w:szCs w:val="22"/>
                <w:color w:val="auto"/>
              </w:rPr>
            </w:pPr>
          </w:p>
        </w:tc>
        <w:tc>
          <w:tcPr>
            <w:tcW w:w="11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India</w:t>
            </w:r>
          </w:p>
        </w:tc>
        <w:tc>
          <w:tcPr>
            <w:tcW w:w="600" w:type="dxa"/>
            <w:vAlign w:val="bottom"/>
            <w:gridSpan w:val="2"/>
          </w:tcPr>
          <w:p>
            <w:pPr>
              <w:jc w:val="center"/>
              <w:ind w:left="310"/>
              <w:spacing w:after="0" w:line="253" w:lineRule="exact"/>
              <w:rPr>
                <w:sz w:val="20"/>
                <w:szCs w:val="20"/>
                <w:color w:val="auto"/>
              </w:rPr>
            </w:pPr>
            <w:r>
              <w:rPr>
                <w:rFonts w:ascii="Calibri" w:cs="Calibri" w:eastAsia="Calibri" w:hAnsi="Calibri"/>
                <w:sz w:val="22"/>
                <w:szCs w:val="22"/>
                <w:color w:val="auto"/>
                <w:w w:val="89"/>
              </w:rPr>
              <w:t>3</w:t>
            </w:r>
          </w:p>
        </w:tc>
        <w:tc>
          <w:tcPr>
            <w:tcW w:w="660" w:type="dxa"/>
            <w:vAlign w:val="bottom"/>
            <w:gridSpan w:val="2"/>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3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Nepal</w:t>
            </w:r>
          </w:p>
        </w:tc>
        <w:tc>
          <w:tcPr>
            <w:tcW w:w="600" w:type="dxa"/>
            <w:vAlign w:val="bottom"/>
            <w:gridSpan w:val="2"/>
          </w:tcPr>
          <w:p>
            <w:pPr>
              <w:jc w:val="center"/>
              <w:ind w:left="310"/>
              <w:spacing w:after="0" w:line="253" w:lineRule="exact"/>
              <w:rPr>
                <w:sz w:val="20"/>
                <w:szCs w:val="20"/>
                <w:color w:val="auto"/>
              </w:rPr>
            </w:pPr>
            <w:r>
              <w:rPr>
                <w:rFonts w:ascii="Calibri" w:cs="Calibri" w:eastAsia="Calibri" w:hAnsi="Calibri"/>
                <w:sz w:val="22"/>
                <w:szCs w:val="22"/>
                <w:color w:val="auto"/>
                <w:w w:val="89"/>
              </w:rPr>
              <w:t>1</w:t>
            </w:r>
          </w:p>
        </w:tc>
        <w:tc>
          <w:tcPr>
            <w:tcW w:w="660" w:type="dxa"/>
            <w:vAlign w:val="bottom"/>
            <w:gridSpan w:val="2"/>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1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Sri Lanka</w:t>
            </w:r>
          </w:p>
        </w:tc>
        <w:tc>
          <w:tcPr>
            <w:tcW w:w="600" w:type="dxa"/>
            <w:vAlign w:val="bottom"/>
            <w:gridSpan w:val="2"/>
          </w:tcPr>
          <w:p>
            <w:pPr>
              <w:jc w:val="center"/>
              <w:ind w:left="310"/>
              <w:spacing w:after="0" w:line="253" w:lineRule="exact"/>
              <w:rPr>
                <w:sz w:val="20"/>
                <w:szCs w:val="20"/>
                <w:color w:val="auto"/>
              </w:rPr>
            </w:pPr>
            <w:r>
              <w:rPr>
                <w:rFonts w:ascii="Calibri" w:cs="Calibri" w:eastAsia="Calibri" w:hAnsi="Calibri"/>
                <w:sz w:val="22"/>
                <w:szCs w:val="22"/>
                <w:color w:val="auto"/>
                <w:w w:val="89"/>
              </w:rPr>
              <w:t>1</w:t>
            </w:r>
          </w:p>
        </w:tc>
        <w:tc>
          <w:tcPr>
            <w:tcW w:w="660" w:type="dxa"/>
            <w:vAlign w:val="bottom"/>
            <w:gridSpan w:val="2"/>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1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22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520" w:type="dxa"/>
            <w:vAlign w:val="bottom"/>
            <w:tcBorders>
              <w:bottom w:val="single" w:sz="8" w:color="ACB9CA"/>
            </w:tcBorders>
            <w:gridSpan w:val="4"/>
            <w:shd w:val="clear" w:color="auto" w:fill="ACB9CA"/>
          </w:tcPr>
          <w:p>
            <w:pPr>
              <w:spacing w:after="0"/>
              <w:rPr>
                <w:sz w:val="20"/>
                <w:szCs w:val="20"/>
                <w:color w:val="auto"/>
              </w:rPr>
            </w:pPr>
            <w:r>
              <w:rPr>
                <w:rFonts w:ascii="Calibri" w:cs="Calibri" w:eastAsia="Calibri" w:hAnsi="Calibri"/>
                <w:sz w:val="22"/>
                <w:szCs w:val="22"/>
                <w:b w:val="1"/>
                <w:bCs w:val="1"/>
                <w:color w:val="FFFFFF"/>
              </w:rPr>
              <w:t>Region of the Americas</w:t>
            </w:r>
          </w:p>
        </w:tc>
        <w:tc>
          <w:tcPr>
            <w:tcW w:w="60" w:type="dxa"/>
            <w:vAlign w:val="bottom"/>
            <w:tcBorders>
              <w:bottom w:val="single" w:sz="8" w:color="ACB9CA"/>
            </w:tcBorders>
            <w:shd w:val="clear" w:color="auto" w:fill="ACB9CA"/>
          </w:tcPr>
          <w:p>
            <w:pPr>
              <w:spacing w:after="0"/>
              <w:rPr>
                <w:sz w:val="24"/>
                <w:szCs w:val="24"/>
                <w:color w:val="auto"/>
              </w:rPr>
            </w:pPr>
          </w:p>
        </w:tc>
        <w:tc>
          <w:tcPr>
            <w:tcW w:w="6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42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220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92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United States of</w:t>
            </w:r>
          </w:p>
        </w:tc>
        <w:tc>
          <w:tcPr>
            <w:tcW w:w="660" w:type="dxa"/>
            <w:vAlign w:val="bottom"/>
            <w:tcBorders>
              <w:top w:val="single" w:sz="8" w:color="auto"/>
            </w:tcBorders>
            <w:gridSpan w:val="3"/>
          </w:tcPr>
          <w:p>
            <w:pPr>
              <w:jc w:val="center"/>
              <w:ind w:left="250"/>
              <w:spacing w:after="0" w:line="253" w:lineRule="exact"/>
              <w:rPr>
                <w:sz w:val="20"/>
                <w:szCs w:val="20"/>
                <w:color w:val="auto"/>
              </w:rPr>
            </w:pPr>
            <w:r>
              <w:rPr>
                <w:rFonts w:ascii="Calibri" w:cs="Calibri" w:eastAsia="Calibri" w:hAnsi="Calibri"/>
                <w:sz w:val="22"/>
                <w:szCs w:val="22"/>
                <w:color w:val="auto"/>
                <w:w w:val="98"/>
              </w:rPr>
              <w:t>15</w:t>
            </w:r>
          </w:p>
        </w:tc>
        <w:tc>
          <w:tcPr>
            <w:tcW w:w="600" w:type="dxa"/>
            <w:vAlign w:val="bottom"/>
            <w:tcBorders>
              <w:top w:val="single" w:sz="8" w:color="auto"/>
            </w:tcBorders>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9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13 (0)</w:t>
            </w:r>
          </w:p>
        </w:tc>
        <w:tc>
          <w:tcPr>
            <w:tcW w:w="140" w:type="dxa"/>
            <w:vAlign w:val="bottom"/>
            <w:tcBorders>
              <w:top w:val="single" w:sz="8" w:color="auto"/>
              <w:right w:val="single" w:sz="8" w:color="auto"/>
            </w:tcBorders>
          </w:tcPr>
          <w:p>
            <w:pPr>
              <w:spacing w:after="0"/>
              <w:rPr>
                <w:sz w:val="22"/>
                <w:szCs w:val="22"/>
                <w:color w:val="auto"/>
              </w:rPr>
            </w:pPr>
          </w:p>
        </w:tc>
        <w:tc>
          <w:tcPr>
            <w:tcW w:w="1300" w:type="dxa"/>
            <w:vAlign w:val="bottom"/>
            <w:tcBorders>
              <w:top w:val="single" w:sz="8" w:color="auto"/>
            </w:tcBorders>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top w:val="single" w:sz="8" w:color="auto"/>
              <w:right w:val="single" w:sz="8" w:color="auto"/>
            </w:tcBorders>
          </w:tcPr>
          <w:p>
            <w:pPr>
              <w:spacing w:after="0"/>
              <w:rPr>
                <w:sz w:val="22"/>
                <w:szCs w:val="22"/>
                <w:color w:val="auto"/>
              </w:rPr>
            </w:pPr>
          </w:p>
        </w:tc>
        <w:tc>
          <w:tcPr>
            <w:tcW w:w="500" w:type="dxa"/>
            <w:vAlign w:val="bottom"/>
            <w:tcBorders>
              <w:top w:val="single" w:sz="8" w:color="auto"/>
            </w:tcBorders>
            <w:gridSpan w:val="2"/>
          </w:tcPr>
          <w:p>
            <w:pPr>
              <w:jc w:val="right"/>
              <w:spacing w:after="0" w:line="253" w:lineRule="exact"/>
              <w:rPr>
                <w:sz w:val="20"/>
                <w:szCs w:val="20"/>
                <w:color w:val="auto"/>
              </w:rPr>
            </w:pPr>
            <w:r>
              <w:rPr>
                <w:rFonts w:ascii="Calibri" w:cs="Calibri" w:eastAsia="Calibri" w:hAnsi="Calibri"/>
                <w:sz w:val="22"/>
                <w:szCs w:val="22"/>
                <w:color w:val="auto"/>
              </w:rPr>
              <w:t>2</w:t>
            </w:r>
          </w:p>
        </w:tc>
        <w:tc>
          <w:tcPr>
            <w:tcW w:w="540" w:type="dxa"/>
            <w:vAlign w:val="bottom"/>
            <w:tcBorders>
              <w:top w:val="single" w:sz="8" w:color="auto"/>
            </w:tcBorders>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23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top w:val="single" w:sz="8" w:color="auto"/>
              <w:right w:val="single" w:sz="8" w:color="auto"/>
            </w:tcBorders>
          </w:tcPr>
          <w:p>
            <w:pPr>
              <w:spacing w:after="0"/>
              <w:rPr>
                <w:sz w:val="22"/>
                <w:szCs w:val="22"/>
                <w:color w:val="auto"/>
              </w:rPr>
            </w:pPr>
          </w:p>
        </w:tc>
        <w:tc>
          <w:tcPr>
            <w:tcW w:w="11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71"/>
        </w:trPr>
        <w:tc>
          <w:tcPr>
            <w:tcW w:w="100" w:type="dxa"/>
            <w:vAlign w:val="bottom"/>
            <w:tcBorders>
              <w:left w:val="single" w:sz="8" w:color="auto"/>
              <w:bottom w:val="single" w:sz="8" w:color="auto"/>
            </w:tcBorders>
          </w:tcPr>
          <w:p>
            <w:pPr>
              <w:spacing w:after="0"/>
              <w:rPr>
                <w:sz w:val="23"/>
                <w:szCs w:val="23"/>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America</w:t>
            </w:r>
          </w:p>
        </w:tc>
        <w:tc>
          <w:tcPr>
            <w:tcW w:w="60" w:type="dxa"/>
            <w:vAlign w:val="bottom"/>
            <w:tcBorders>
              <w:bottom w:val="single" w:sz="8" w:color="auto"/>
            </w:tcBorders>
          </w:tcPr>
          <w:p>
            <w:pPr>
              <w:spacing w:after="0"/>
              <w:rPr>
                <w:sz w:val="23"/>
                <w:szCs w:val="23"/>
                <w:color w:val="auto"/>
              </w:rPr>
            </w:pPr>
          </w:p>
        </w:tc>
        <w:tc>
          <w:tcPr>
            <w:tcW w:w="540" w:type="dxa"/>
            <w:vAlign w:val="bottom"/>
            <w:tcBorders>
              <w:bottom w:val="single" w:sz="8" w:color="auto"/>
            </w:tcBorders>
          </w:tcPr>
          <w:p>
            <w:pPr>
              <w:spacing w:after="0"/>
              <w:rPr>
                <w:sz w:val="23"/>
                <w:szCs w:val="23"/>
                <w:color w:val="auto"/>
              </w:rPr>
            </w:pPr>
          </w:p>
        </w:tc>
        <w:tc>
          <w:tcPr>
            <w:tcW w:w="60" w:type="dxa"/>
            <w:vAlign w:val="bottom"/>
            <w:tcBorders>
              <w:bottom w:val="single" w:sz="8" w:color="auto"/>
            </w:tcBorders>
          </w:tcPr>
          <w:p>
            <w:pPr>
              <w:spacing w:after="0"/>
              <w:rPr>
                <w:sz w:val="23"/>
                <w:szCs w:val="23"/>
                <w:color w:val="auto"/>
              </w:rPr>
            </w:pPr>
          </w:p>
        </w:tc>
        <w:tc>
          <w:tcPr>
            <w:tcW w:w="60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420" w:type="dxa"/>
            <w:vAlign w:val="bottom"/>
            <w:tcBorders>
              <w:bottom w:val="single" w:sz="8" w:color="auto"/>
            </w:tcBorders>
          </w:tcPr>
          <w:p>
            <w:pPr>
              <w:spacing w:after="0"/>
              <w:rPr>
                <w:sz w:val="23"/>
                <w:szCs w:val="23"/>
                <w:color w:val="auto"/>
              </w:rPr>
            </w:pPr>
          </w:p>
        </w:tc>
        <w:tc>
          <w:tcPr>
            <w:tcW w:w="54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220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110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6"/>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Canada</w:t>
            </w:r>
          </w:p>
        </w:tc>
        <w:tc>
          <w:tcPr>
            <w:tcW w:w="600" w:type="dxa"/>
            <w:vAlign w:val="bottom"/>
            <w:gridSpan w:val="2"/>
          </w:tcPr>
          <w:p>
            <w:pPr>
              <w:jc w:val="center"/>
              <w:ind w:left="310"/>
              <w:spacing w:after="0" w:line="256" w:lineRule="exact"/>
              <w:rPr>
                <w:sz w:val="20"/>
                <w:szCs w:val="20"/>
                <w:color w:val="auto"/>
              </w:rPr>
            </w:pPr>
            <w:r>
              <w:rPr>
                <w:rFonts w:ascii="Calibri" w:cs="Calibri" w:eastAsia="Calibri" w:hAnsi="Calibri"/>
                <w:sz w:val="22"/>
                <w:szCs w:val="22"/>
                <w:color w:val="auto"/>
                <w:w w:val="89"/>
              </w:rPr>
              <w:t>8</w:t>
            </w:r>
          </w:p>
        </w:tc>
        <w:tc>
          <w:tcPr>
            <w:tcW w:w="660" w:type="dxa"/>
            <w:vAlign w:val="bottom"/>
            <w:gridSpan w:val="2"/>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6" w:lineRule="exact"/>
              <w:rPr>
                <w:sz w:val="20"/>
                <w:szCs w:val="20"/>
                <w:color w:val="auto"/>
              </w:rPr>
            </w:pPr>
            <w:r>
              <w:rPr>
                <w:rFonts w:ascii="Calibri" w:cs="Calibri" w:eastAsia="Calibri" w:hAnsi="Calibri"/>
                <w:sz w:val="22"/>
                <w:szCs w:val="22"/>
                <w:color w:val="auto"/>
                <w:w w:val="98"/>
              </w:rPr>
              <w:t>7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6"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6"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6" w:lineRule="exact"/>
              <w:rPr>
                <w:sz w:val="20"/>
                <w:szCs w:val="20"/>
                <w:color w:val="auto"/>
              </w:rPr>
            </w:pPr>
            <w:r>
              <w:rPr>
                <w:rFonts w:ascii="Calibri" w:cs="Calibri" w:eastAsia="Calibri" w:hAnsi="Calibri"/>
                <w:sz w:val="22"/>
                <w:szCs w:val="22"/>
                <w:color w:val="auto"/>
                <w:w w:val="98"/>
              </w:rPr>
              <w:t>1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22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1920" w:type="dxa"/>
            <w:vAlign w:val="bottom"/>
            <w:tcBorders>
              <w:bottom w:val="single" w:sz="8" w:color="ACB9CA"/>
              <w:right w:val="single" w:sz="8" w:color="ACB9CA"/>
            </w:tcBorders>
            <w:gridSpan w:val="2"/>
            <w:shd w:val="clear" w:color="auto" w:fill="ACB9CA"/>
          </w:tcPr>
          <w:p>
            <w:pPr>
              <w:spacing w:after="0"/>
              <w:rPr>
                <w:sz w:val="20"/>
                <w:szCs w:val="20"/>
                <w:color w:val="auto"/>
              </w:rPr>
            </w:pPr>
            <w:r>
              <w:rPr>
                <w:rFonts w:ascii="Calibri" w:cs="Calibri" w:eastAsia="Calibri" w:hAnsi="Calibri"/>
                <w:sz w:val="22"/>
                <w:szCs w:val="22"/>
                <w:b w:val="1"/>
                <w:bCs w:val="1"/>
                <w:color w:val="FFFFFF"/>
              </w:rPr>
              <w:t>European Region</w:t>
            </w:r>
          </w:p>
        </w:tc>
        <w:tc>
          <w:tcPr>
            <w:tcW w:w="6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6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42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220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auto"/>
              <w:left w:val="single" w:sz="8" w:color="auto"/>
            </w:tcBorders>
          </w:tcPr>
          <w:p>
            <w:pPr>
              <w:spacing w:after="0"/>
              <w:rPr>
                <w:sz w:val="22"/>
                <w:szCs w:val="22"/>
                <w:color w:val="auto"/>
              </w:rPr>
            </w:pPr>
          </w:p>
        </w:tc>
        <w:tc>
          <w:tcPr>
            <w:tcW w:w="1920" w:type="dxa"/>
            <w:vAlign w:val="bottom"/>
            <w:tcBorders>
              <w:top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Germany</w:t>
            </w:r>
          </w:p>
        </w:tc>
        <w:tc>
          <w:tcPr>
            <w:tcW w:w="660" w:type="dxa"/>
            <w:vAlign w:val="bottom"/>
            <w:tcBorders>
              <w:top w:val="single" w:sz="8" w:color="auto"/>
            </w:tcBorders>
            <w:gridSpan w:val="3"/>
          </w:tcPr>
          <w:p>
            <w:pPr>
              <w:jc w:val="center"/>
              <w:ind w:left="250"/>
              <w:spacing w:after="0" w:line="253" w:lineRule="exact"/>
              <w:rPr>
                <w:sz w:val="20"/>
                <w:szCs w:val="20"/>
                <w:color w:val="auto"/>
              </w:rPr>
            </w:pPr>
            <w:r>
              <w:rPr>
                <w:rFonts w:ascii="Calibri" w:cs="Calibri" w:eastAsia="Calibri" w:hAnsi="Calibri"/>
                <w:sz w:val="22"/>
                <w:szCs w:val="22"/>
                <w:color w:val="auto"/>
                <w:w w:val="98"/>
              </w:rPr>
              <w:t>16</w:t>
            </w:r>
          </w:p>
        </w:tc>
        <w:tc>
          <w:tcPr>
            <w:tcW w:w="600" w:type="dxa"/>
            <w:vAlign w:val="bottom"/>
            <w:tcBorders>
              <w:top w:val="single" w:sz="8" w:color="auto"/>
            </w:tcBorders>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9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2 (0)</w:t>
            </w:r>
          </w:p>
        </w:tc>
        <w:tc>
          <w:tcPr>
            <w:tcW w:w="140" w:type="dxa"/>
            <w:vAlign w:val="bottom"/>
            <w:tcBorders>
              <w:top w:val="single" w:sz="8" w:color="auto"/>
              <w:right w:val="single" w:sz="8" w:color="auto"/>
            </w:tcBorders>
          </w:tcPr>
          <w:p>
            <w:pPr>
              <w:spacing w:after="0"/>
              <w:rPr>
                <w:sz w:val="22"/>
                <w:szCs w:val="22"/>
                <w:color w:val="auto"/>
              </w:rPr>
            </w:pPr>
          </w:p>
        </w:tc>
        <w:tc>
          <w:tcPr>
            <w:tcW w:w="1300" w:type="dxa"/>
            <w:vAlign w:val="bottom"/>
            <w:tcBorders>
              <w:top w:val="single" w:sz="8" w:color="auto"/>
            </w:tcBorders>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top w:val="single" w:sz="8" w:color="auto"/>
              <w:right w:val="single" w:sz="8" w:color="auto"/>
            </w:tcBorders>
          </w:tcPr>
          <w:p>
            <w:pPr>
              <w:spacing w:after="0"/>
              <w:rPr>
                <w:sz w:val="22"/>
                <w:szCs w:val="22"/>
                <w:color w:val="auto"/>
              </w:rPr>
            </w:pPr>
          </w:p>
        </w:tc>
        <w:tc>
          <w:tcPr>
            <w:tcW w:w="1040" w:type="dxa"/>
            <w:vAlign w:val="bottom"/>
            <w:tcBorders>
              <w:top w:val="single" w:sz="8" w:color="auto"/>
            </w:tcBorders>
            <w:gridSpan w:val="3"/>
          </w:tcPr>
          <w:p>
            <w:pPr>
              <w:jc w:val="center"/>
              <w:spacing w:after="0" w:line="253" w:lineRule="exact"/>
              <w:rPr>
                <w:sz w:val="20"/>
                <w:szCs w:val="20"/>
                <w:color w:val="auto"/>
              </w:rPr>
            </w:pPr>
            <w:r>
              <w:rPr>
                <w:rFonts w:ascii="Calibri" w:cs="Calibri" w:eastAsia="Calibri" w:hAnsi="Calibri"/>
                <w:sz w:val="22"/>
                <w:szCs w:val="22"/>
                <w:color w:val="auto"/>
              </w:rPr>
              <w:t>14 (0)</w:t>
            </w:r>
          </w:p>
        </w:tc>
        <w:tc>
          <w:tcPr>
            <w:tcW w:w="120" w:type="dxa"/>
            <w:vAlign w:val="bottom"/>
            <w:tcBorders>
              <w:top w:val="single" w:sz="8" w:color="auto"/>
              <w:right w:val="single" w:sz="8" w:color="auto"/>
            </w:tcBorders>
          </w:tcPr>
          <w:p>
            <w:pPr>
              <w:spacing w:after="0"/>
              <w:rPr>
                <w:sz w:val="22"/>
                <w:szCs w:val="22"/>
                <w:color w:val="auto"/>
              </w:rPr>
            </w:pPr>
          </w:p>
        </w:tc>
        <w:tc>
          <w:tcPr>
            <w:tcW w:w="230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top w:val="single" w:sz="8" w:color="auto"/>
              <w:right w:val="single" w:sz="8" w:color="auto"/>
            </w:tcBorders>
          </w:tcPr>
          <w:p>
            <w:pPr>
              <w:spacing w:after="0"/>
              <w:rPr>
                <w:sz w:val="22"/>
                <w:szCs w:val="22"/>
                <w:color w:val="auto"/>
              </w:rPr>
            </w:pPr>
          </w:p>
        </w:tc>
        <w:tc>
          <w:tcPr>
            <w:tcW w:w="1180" w:type="dxa"/>
            <w:vAlign w:val="bottom"/>
            <w:tcBorders>
              <w:top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60" w:type="dxa"/>
            <w:vAlign w:val="bottom"/>
            <w:tcBorders>
              <w:bottom w:val="single" w:sz="8" w:color="auto"/>
            </w:tcBorders>
            <w:gridSpan w:val="3"/>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France</w:t>
            </w:r>
          </w:p>
        </w:tc>
        <w:tc>
          <w:tcPr>
            <w:tcW w:w="660" w:type="dxa"/>
            <w:vAlign w:val="bottom"/>
            <w:gridSpan w:val="3"/>
          </w:tcPr>
          <w:p>
            <w:pPr>
              <w:jc w:val="center"/>
              <w:ind w:left="250"/>
              <w:spacing w:after="0" w:line="253" w:lineRule="exact"/>
              <w:rPr>
                <w:sz w:val="20"/>
                <w:szCs w:val="20"/>
                <w:color w:val="auto"/>
              </w:rPr>
            </w:pPr>
            <w:r>
              <w:rPr>
                <w:rFonts w:ascii="Calibri" w:cs="Calibri" w:eastAsia="Calibri" w:hAnsi="Calibri"/>
                <w:sz w:val="22"/>
                <w:szCs w:val="22"/>
                <w:color w:val="auto"/>
                <w:w w:val="98"/>
              </w:rPr>
              <w:t>12</w:t>
            </w:r>
          </w:p>
        </w:tc>
        <w:tc>
          <w:tcPr>
            <w:tcW w:w="60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5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7</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1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The United</w:t>
            </w:r>
          </w:p>
        </w:tc>
        <w:tc>
          <w:tcPr>
            <w:tcW w:w="600" w:type="dxa"/>
            <w:vAlign w:val="bottom"/>
            <w:gridSpan w:val="2"/>
          </w:tcPr>
          <w:p>
            <w:pPr>
              <w:jc w:val="center"/>
              <w:ind w:left="310"/>
              <w:spacing w:after="0" w:line="253" w:lineRule="exact"/>
              <w:rPr>
                <w:sz w:val="20"/>
                <w:szCs w:val="20"/>
                <w:color w:val="auto"/>
              </w:rPr>
            </w:pPr>
            <w:r>
              <w:rPr>
                <w:rFonts w:ascii="Calibri" w:cs="Calibri" w:eastAsia="Calibri" w:hAnsi="Calibri"/>
                <w:sz w:val="22"/>
                <w:szCs w:val="22"/>
                <w:color w:val="auto"/>
                <w:w w:val="89"/>
              </w:rPr>
              <w:t>9</w:t>
            </w:r>
          </w:p>
        </w:tc>
        <w:tc>
          <w:tcPr>
            <w:tcW w:w="660" w:type="dxa"/>
            <w:vAlign w:val="bottom"/>
            <w:gridSpan w:val="2"/>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2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6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1</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71"/>
        </w:trPr>
        <w:tc>
          <w:tcPr>
            <w:tcW w:w="100" w:type="dxa"/>
            <w:vAlign w:val="bottom"/>
            <w:tcBorders>
              <w:left w:val="single" w:sz="8" w:color="auto"/>
              <w:bottom w:val="single" w:sz="8" w:color="auto"/>
            </w:tcBorders>
          </w:tcPr>
          <w:p>
            <w:pPr>
              <w:spacing w:after="0"/>
              <w:rPr>
                <w:sz w:val="23"/>
                <w:szCs w:val="23"/>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Kingdom</w:t>
            </w:r>
          </w:p>
        </w:tc>
        <w:tc>
          <w:tcPr>
            <w:tcW w:w="60" w:type="dxa"/>
            <w:vAlign w:val="bottom"/>
            <w:tcBorders>
              <w:bottom w:val="single" w:sz="8" w:color="auto"/>
            </w:tcBorders>
          </w:tcPr>
          <w:p>
            <w:pPr>
              <w:spacing w:after="0"/>
              <w:rPr>
                <w:sz w:val="23"/>
                <w:szCs w:val="23"/>
                <w:color w:val="auto"/>
              </w:rPr>
            </w:pPr>
          </w:p>
        </w:tc>
        <w:tc>
          <w:tcPr>
            <w:tcW w:w="540" w:type="dxa"/>
            <w:vAlign w:val="bottom"/>
            <w:tcBorders>
              <w:bottom w:val="single" w:sz="8" w:color="auto"/>
            </w:tcBorders>
          </w:tcPr>
          <w:p>
            <w:pPr>
              <w:spacing w:after="0"/>
              <w:rPr>
                <w:sz w:val="23"/>
                <w:szCs w:val="23"/>
                <w:color w:val="auto"/>
              </w:rPr>
            </w:pPr>
          </w:p>
        </w:tc>
        <w:tc>
          <w:tcPr>
            <w:tcW w:w="60" w:type="dxa"/>
            <w:vAlign w:val="bottom"/>
            <w:tcBorders>
              <w:bottom w:val="single" w:sz="8" w:color="auto"/>
            </w:tcBorders>
          </w:tcPr>
          <w:p>
            <w:pPr>
              <w:spacing w:after="0"/>
              <w:rPr>
                <w:sz w:val="23"/>
                <w:szCs w:val="23"/>
                <w:color w:val="auto"/>
              </w:rPr>
            </w:pPr>
          </w:p>
        </w:tc>
        <w:tc>
          <w:tcPr>
            <w:tcW w:w="60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420" w:type="dxa"/>
            <w:vAlign w:val="bottom"/>
            <w:tcBorders>
              <w:bottom w:val="single" w:sz="8" w:color="auto"/>
            </w:tcBorders>
          </w:tcPr>
          <w:p>
            <w:pPr>
              <w:spacing w:after="0"/>
              <w:rPr>
                <w:sz w:val="23"/>
                <w:szCs w:val="23"/>
                <w:color w:val="auto"/>
              </w:rPr>
            </w:pPr>
          </w:p>
        </w:tc>
        <w:tc>
          <w:tcPr>
            <w:tcW w:w="54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220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110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6"/>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Italy</w:t>
            </w:r>
          </w:p>
        </w:tc>
        <w:tc>
          <w:tcPr>
            <w:tcW w:w="600" w:type="dxa"/>
            <w:vAlign w:val="bottom"/>
            <w:gridSpan w:val="2"/>
          </w:tcPr>
          <w:p>
            <w:pPr>
              <w:jc w:val="center"/>
              <w:ind w:left="310"/>
              <w:spacing w:after="0" w:line="256" w:lineRule="exact"/>
              <w:rPr>
                <w:sz w:val="20"/>
                <w:szCs w:val="20"/>
                <w:color w:val="auto"/>
              </w:rPr>
            </w:pPr>
            <w:r>
              <w:rPr>
                <w:rFonts w:ascii="Calibri" w:cs="Calibri" w:eastAsia="Calibri" w:hAnsi="Calibri"/>
                <w:sz w:val="22"/>
                <w:szCs w:val="22"/>
                <w:color w:val="auto"/>
                <w:w w:val="89"/>
              </w:rPr>
              <w:t>3</w:t>
            </w:r>
          </w:p>
        </w:tc>
        <w:tc>
          <w:tcPr>
            <w:tcW w:w="660" w:type="dxa"/>
            <w:vAlign w:val="bottom"/>
            <w:gridSpan w:val="2"/>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6" w:lineRule="exact"/>
              <w:rPr>
                <w:sz w:val="20"/>
                <w:szCs w:val="20"/>
                <w:color w:val="auto"/>
              </w:rPr>
            </w:pPr>
            <w:r>
              <w:rPr>
                <w:rFonts w:ascii="Calibri" w:cs="Calibri" w:eastAsia="Calibri" w:hAnsi="Calibri"/>
                <w:sz w:val="22"/>
                <w:szCs w:val="22"/>
                <w:color w:val="auto"/>
                <w:w w:val="98"/>
              </w:rPr>
              <w:t>3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6"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6"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Russian Federation</w:t>
            </w:r>
          </w:p>
        </w:tc>
        <w:tc>
          <w:tcPr>
            <w:tcW w:w="600" w:type="dxa"/>
            <w:vAlign w:val="bottom"/>
            <w:gridSpan w:val="2"/>
          </w:tcPr>
          <w:p>
            <w:pPr>
              <w:jc w:val="center"/>
              <w:ind w:left="310"/>
              <w:spacing w:after="0" w:line="253" w:lineRule="exact"/>
              <w:rPr>
                <w:sz w:val="20"/>
                <w:szCs w:val="20"/>
                <w:color w:val="auto"/>
              </w:rPr>
            </w:pPr>
            <w:r>
              <w:rPr>
                <w:rFonts w:ascii="Calibri" w:cs="Calibri" w:eastAsia="Calibri" w:hAnsi="Calibri"/>
                <w:sz w:val="22"/>
                <w:szCs w:val="22"/>
                <w:color w:val="auto"/>
                <w:w w:val="89"/>
              </w:rPr>
              <w:t>2</w:t>
            </w:r>
          </w:p>
        </w:tc>
        <w:tc>
          <w:tcPr>
            <w:tcW w:w="660" w:type="dxa"/>
            <w:vAlign w:val="bottom"/>
            <w:gridSpan w:val="2"/>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2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2"/>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Spain</w:t>
            </w:r>
          </w:p>
        </w:tc>
        <w:tc>
          <w:tcPr>
            <w:tcW w:w="600" w:type="dxa"/>
            <w:vAlign w:val="bottom"/>
            <w:gridSpan w:val="2"/>
          </w:tcPr>
          <w:p>
            <w:pPr>
              <w:jc w:val="center"/>
              <w:ind w:left="310"/>
              <w:spacing w:after="0" w:line="253" w:lineRule="exact"/>
              <w:rPr>
                <w:sz w:val="20"/>
                <w:szCs w:val="20"/>
                <w:color w:val="auto"/>
              </w:rPr>
            </w:pPr>
            <w:r>
              <w:rPr>
                <w:rFonts w:ascii="Calibri" w:cs="Calibri" w:eastAsia="Calibri" w:hAnsi="Calibri"/>
                <w:sz w:val="22"/>
                <w:szCs w:val="22"/>
                <w:color w:val="auto"/>
                <w:w w:val="89"/>
              </w:rPr>
              <w:t>2</w:t>
            </w:r>
          </w:p>
        </w:tc>
        <w:tc>
          <w:tcPr>
            <w:tcW w:w="660" w:type="dxa"/>
            <w:vAlign w:val="bottom"/>
            <w:gridSpan w:val="2"/>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2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Belgium</w:t>
            </w:r>
          </w:p>
        </w:tc>
        <w:tc>
          <w:tcPr>
            <w:tcW w:w="600" w:type="dxa"/>
            <w:vAlign w:val="bottom"/>
            <w:gridSpan w:val="2"/>
          </w:tcPr>
          <w:p>
            <w:pPr>
              <w:jc w:val="center"/>
              <w:ind w:left="310"/>
              <w:spacing w:after="0" w:line="253" w:lineRule="exact"/>
              <w:rPr>
                <w:sz w:val="20"/>
                <w:szCs w:val="20"/>
                <w:color w:val="auto"/>
              </w:rPr>
            </w:pPr>
            <w:r>
              <w:rPr>
                <w:rFonts w:ascii="Calibri" w:cs="Calibri" w:eastAsia="Calibri" w:hAnsi="Calibri"/>
                <w:sz w:val="22"/>
                <w:szCs w:val="22"/>
                <w:color w:val="auto"/>
                <w:w w:val="89"/>
              </w:rPr>
              <w:t>1</w:t>
            </w:r>
          </w:p>
        </w:tc>
        <w:tc>
          <w:tcPr>
            <w:tcW w:w="660" w:type="dxa"/>
            <w:vAlign w:val="bottom"/>
            <w:gridSpan w:val="2"/>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1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5"/>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5" w:lineRule="exact"/>
              <w:rPr>
                <w:sz w:val="20"/>
                <w:szCs w:val="20"/>
                <w:color w:val="auto"/>
              </w:rPr>
            </w:pPr>
            <w:r>
              <w:rPr>
                <w:rFonts w:ascii="Calibri" w:cs="Calibri" w:eastAsia="Calibri" w:hAnsi="Calibri"/>
                <w:sz w:val="22"/>
                <w:szCs w:val="22"/>
                <w:color w:val="auto"/>
              </w:rPr>
              <w:t>Finland</w:t>
            </w:r>
          </w:p>
        </w:tc>
        <w:tc>
          <w:tcPr>
            <w:tcW w:w="600" w:type="dxa"/>
            <w:vAlign w:val="bottom"/>
            <w:gridSpan w:val="2"/>
          </w:tcPr>
          <w:p>
            <w:pPr>
              <w:jc w:val="center"/>
              <w:ind w:left="310"/>
              <w:spacing w:after="0" w:line="255" w:lineRule="exact"/>
              <w:rPr>
                <w:sz w:val="20"/>
                <w:szCs w:val="20"/>
                <w:color w:val="auto"/>
              </w:rPr>
            </w:pPr>
            <w:r>
              <w:rPr>
                <w:rFonts w:ascii="Calibri" w:cs="Calibri" w:eastAsia="Calibri" w:hAnsi="Calibri"/>
                <w:sz w:val="22"/>
                <w:szCs w:val="22"/>
                <w:color w:val="auto"/>
                <w:w w:val="89"/>
              </w:rPr>
              <w:t>1</w:t>
            </w:r>
          </w:p>
        </w:tc>
        <w:tc>
          <w:tcPr>
            <w:tcW w:w="660" w:type="dxa"/>
            <w:vAlign w:val="bottom"/>
            <w:gridSpan w:val="2"/>
          </w:tcPr>
          <w:p>
            <w:pPr>
              <w:ind w:left="20"/>
              <w:spacing w:after="0" w:line="255"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5" w:lineRule="exact"/>
              <w:rPr>
                <w:sz w:val="20"/>
                <w:szCs w:val="20"/>
                <w:color w:val="auto"/>
              </w:rPr>
            </w:pPr>
            <w:r>
              <w:rPr>
                <w:rFonts w:ascii="Calibri" w:cs="Calibri" w:eastAsia="Calibri" w:hAnsi="Calibri"/>
                <w:sz w:val="22"/>
                <w:szCs w:val="22"/>
                <w:color w:val="auto"/>
                <w:w w:val="98"/>
              </w:rPr>
              <w:t>1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5"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5"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5"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5"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5"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tcBorders>
            <w:gridSpan w:val="2"/>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Sweden</w:t>
            </w:r>
          </w:p>
        </w:tc>
        <w:tc>
          <w:tcPr>
            <w:tcW w:w="600" w:type="dxa"/>
            <w:vAlign w:val="bottom"/>
            <w:gridSpan w:val="2"/>
          </w:tcPr>
          <w:p>
            <w:pPr>
              <w:jc w:val="center"/>
              <w:ind w:left="310"/>
              <w:spacing w:after="0" w:line="253" w:lineRule="exact"/>
              <w:rPr>
                <w:sz w:val="20"/>
                <w:szCs w:val="20"/>
                <w:color w:val="auto"/>
              </w:rPr>
            </w:pPr>
            <w:r>
              <w:rPr>
                <w:rFonts w:ascii="Calibri" w:cs="Calibri" w:eastAsia="Calibri" w:hAnsi="Calibri"/>
                <w:sz w:val="22"/>
                <w:szCs w:val="22"/>
                <w:color w:val="auto"/>
                <w:w w:val="89"/>
              </w:rPr>
              <w:t>1</w:t>
            </w:r>
          </w:p>
        </w:tc>
        <w:tc>
          <w:tcPr>
            <w:tcW w:w="660" w:type="dxa"/>
            <w:vAlign w:val="bottom"/>
            <w:gridSpan w:val="2"/>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1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3"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3"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auto"/>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gridSpan w:val="2"/>
          </w:tcPr>
          <w:p>
            <w:pPr>
              <w:spacing w:after="0"/>
              <w:rPr>
                <w:sz w:val="3"/>
                <w:szCs w:val="3"/>
                <w:color w:val="auto"/>
              </w:rPr>
            </w:pPr>
          </w:p>
        </w:tc>
        <w:tc>
          <w:tcPr>
            <w:tcW w:w="1380" w:type="dxa"/>
            <w:vAlign w:val="bottom"/>
            <w:tcBorders>
              <w:bottom w:val="single" w:sz="8" w:color="auto"/>
              <w:right w:val="single" w:sz="8" w:color="auto"/>
            </w:tcBorders>
            <w:gridSpan w:val="5"/>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22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6"/>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3300" w:type="dxa"/>
            <w:vAlign w:val="bottom"/>
            <w:tcBorders>
              <w:bottom w:val="single" w:sz="8" w:color="auto"/>
              <w:right w:val="single" w:sz="8" w:color="ACB9CA"/>
            </w:tcBorders>
            <w:gridSpan w:val="7"/>
            <w:shd w:val="clear" w:color="auto" w:fill="ACB9CA"/>
          </w:tcPr>
          <w:p>
            <w:pPr>
              <w:spacing w:after="0" w:line="253" w:lineRule="exact"/>
              <w:rPr>
                <w:sz w:val="20"/>
                <w:szCs w:val="20"/>
                <w:color w:val="auto"/>
              </w:rPr>
            </w:pPr>
            <w:r>
              <w:rPr>
                <w:rFonts w:ascii="Calibri" w:cs="Calibri" w:eastAsia="Calibri" w:hAnsi="Calibri"/>
                <w:sz w:val="22"/>
                <w:szCs w:val="22"/>
                <w:b w:val="1"/>
                <w:bCs w:val="1"/>
                <w:color w:val="FFFFFF"/>
              </w:rPr>
              <w:t>Eastern Mediterranean Region</w:t>
            </w: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122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420" w:type="dxa"/>
            <w:vAlign w:val="bottom"/>
            <w:tcBorders>
              <w:bottom w:val="single" w:sz="8" w:color="auto"/>
            </w:tcBorders>
            <w:shd w:val="clear" w:color="auto" w:fill="ACB9CA"/>
          </w:tcPr>
          <w:p>
            <w:pPr>
              <w:spacing w:after="0"/>
              <w:rPr>
                <w:sz w:val="22"/>
                <w:szCs w:val="22"/>
                <w:color w:val="auto"/>
              </w:rPr>
            </w:pPr>
          </w:p>
        </w:tc>
        <w:tc>
          <w:tcPr>
            <w:tcW w:w="5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220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110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United Arab</w:t>
            </w:r>
          </w:p>
        </w:tc>
        <w:tc>
          <w:tcPr>
            <w:tcW w:w="600" w:type="dxa"/>
            <w:vAlign w:val="bottom"/>
            <w:gridSpan w:val="2"/>
          </w:tcPr>
          <w:p>
            <w:pPr>
              <w:jc w:val="center"/>
              <w:ind w:left="310"/>
              <w:spacing w:after="0" w:line="256" w:lineRule="exact"/>
              <w:rPr>
                <w:sz w:val="20"/>
                <w:szCs w:val="20"/>
                <w:color w:val="auto"/>
              </w:rPr>
            </w:pPr>
            <w:r>
              <w:rPr>
                <w:rFonts w:ascii="Calibri" w:cs="Calibri" w:eastAsia="Calibri" w:hAnsi="Calibri"/>
                <w:sz w:val="22"/>
                <w:szCs w:val="22"/>
                <w:color w:val="auto"/>
                <w:w w:val="89"/>
              </w:rPr>
              <w:t>9</w:t>
            </w:r>
          </w:p>
        </w:tc>
        <w:tc>
          <w:tcPr>
            <w:tcW w:w="660" w:type="dxa"/>
            <w:vAlign w:val="bottom"/>
            <w:gridSpan w:val="2"/>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6" w:lineRule="exact"/>
              <w:rPr>
                <w:sz w:val="20"/>
                <w:szCs w:val="20"/>
                <w:color w:val="auto"/>
              </w:rPr>
            </w:pPr>
            <w:r>
              <w:rPr>
                <w:rFonts w:ascii="Calibri" w:cs="Calibri" w:eastAsia="Calibri" w:hAnsi="Calibri"/>
                <w:sz w:val="22"/>
                <w:szCs w:val="22"/>
                <w:color w:val="auto"/>
                <w:w w:val="98"/>
              </w:rPr>
              <w:t>6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6"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6" w:lineRule="exact"/>
              <w:rPr>
                <w:sz w:val="20"/>
                <w:szCs w:val="20"/>
                <w:color w:val="auto"/>
              </w:rPr>
            </w:pPr>
            <w:r>
              <w:rPr>
                <w:rFonts w:ascii="Calibri" w:cs="Calibri" w:eastAsia="Calibri" w:hAnsi="Calibri"/>
                <w:sz w:val="22"/>
                <w:szCs w:val="22"/>
                <w:color w:val="auto"/>
              </w:rPr>
              <w:t>2</w:t>
            </w:r>
          </w:p>
        </w:tc>
        <w:tc>
          <w:tcPr>
            <w:tcW w:w="540" w:type="dxa"/>
            <w:vAlign w:val="bottom"/>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6" w:lineRule="exact"/>
              <w:rPr>
                <w:sz w:val="20"/>
                <w:szCs w:val="20"/>
                <w:color w:val="auto"/>
              </w:rPr>
            </w:pPr>
            <w:r>
              <w:rPr>
                <w:rFonts w:ascii="Calibri" w:cs="Calibri" w:eastAsia="Calibri" w:hAnsi="Calibri"/>
                <w:sz w:val="22"/>
                <w:szCs w:val="22"/>
                <w:color w:val="auto"/>
                <w:w w:val="98"/>
              </w:rPr>
              <w:t>1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71"/>
        </w:trPr>
        <w:tc>
          <w:tcPr>
            <w:tcW w:w="100" w:type="dxa"/>
            <w:vAlign w:val="bottom"/>
            <w:tcBorders>
              <w:left w:val="single" w:sz="8" w:color="auto"/>
              <w:bottom w:val="single" w:sz="8" w:color="auto"/>
            </w:tcBorders>
          </w:tcPr>
          <w:p>
            <w:pPr>
              <w:spacing w:after="0"/>
              <w:rPr>
                <w:sz w:val="23"/>
                <w:szCs w:val="23"/>
                <w:color w:val="auto"/>
              </w:rPr>
            </w:pPr>
          </w:p>
        </w:tc>
        <w:tc>
          <w:tcPr>
            <w:tcW w:w="192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Emirates</w:t>
            </w:r>
          </w:p>
        </w:tc>
        <w:tc>
          <w:tcPr>
            <w:tcW w:w="60" w:type="dxa"/>
            <w:vAlign w:val="bottom"/>
            <w:tcBorders>
              <w:bottom w:val="single" w:sz="8" w:color="auto"/>
            </w:tcBorders>
          </w:tcPr>
          <w:p>
            <w:pPr>
              <w:spacing w:after="0"/>
              <w:rPr>
                <w:sz w:val="23"/>
                <w:szCs w:val="23"/>
                <w:color w:val="auto"/>
              </w:rPr>
            </w:pPr>
          </w:p>
        </w:tc>
        <w:tc>
          <w:tcPr>
            <w:tcW w:w="540" w:type="dxa"/>
            <w:vAlign w:val="bottom"/>
            <w:tcBorders>
              <w:bottom w:val="single" w:sz="8" w:color="auto"/>
            </w:tcBorders>
          </w:tcPr>
          <w:p>
            <w:pPr>
              <w:spacing w:after="0"/>
              <w:rPr>
                <w:sz w:val="23"/>
                <w:szCs w:val="23"/>
                <w:color w:val="auto"/>
              </w:rPr>
            </w:pPr>
          </w:p>
        </w:tc>
        <w:tc>
          <w:tcPr>
            <w:tcW w:w="60" w:type="dxa"/>
            <w:vAlign w:val="bottom"/>
            <w:tcBorders>
              <w:bottom w:val="single" w:sz="8" w:color="auto"/>
            </w:tcBorders>
          </w:tcPr>
          <w:p>
            <w:pPr>
              <w:spacing w:after="0"/>
              <w:rPr>
                <w:sz w:val="23"/>
                <w:szCs w:val="23"/>
                <w:color w:val="auto"/>
              </w:rPr>
            </w:pPr>
          </w:p>
        </w:tc>
        <w:tc>
          <w:tcPr>
            <w:tcW w:w="60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420" w:type="dxa"/>
            <w:vAlign w:val="bottom"/>
            <w:tcBorders>
              <w:bottom w:val="single" w:sz="8" w:color="auto"/>
            </w:tcBorders>
          </w:tcPr>
          <w:p>
            <w:pPr>
              <w:spacing w:after="0"/>
              <w:rPr>
                <w:sz w:val="23"/>
                <w:szCs w:val="23"/>
                <w:color w:val="auto"/>
              </w:rPr>
            </w:pPr>
          </w:p>
        </w:tc>
        <w:tc>
          <w:tcPr>
            <w:tcW w:w="54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220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110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6"/>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7" w:lineRule="exact"/>
              <w:rPr>
                <w:sz w:val="20"/>
                <w:szCs w:val="20"/>
                <w:color w:val="auto"/>
              </w:rPr>
            </w:pPr>
            <w:r>
              <w:rPr>
                <w:rFonts w:ascii="Calibri" w:cs="Calibri" w:eastAsia="Calibri" w:hAnsi="Calibri"/>
                <w:sz w:val="22"/>
                <w:szCs w:val="22"/>
                <w:color w:val="auto"/>
              </w:rPr>
              <w:t>Egypt</w:t>
            </w:r>
          </w:p>
        </w:tc>
        <w:tc>
          <w:tcPr>
            <w:tcW w:w="600" w:type="dxa"/>
            <w:vAlign w:val="bottom"/>
            <w:gridSpan w:val="2"/>
          </w:tcPr>
          <w:p>
            <w:pPr>
              <w:jc w:val="center"/>
              <w:ind w:left="310"/>
              <w:spacing w:after="0" w:line="257" w:lineRule="exact"/>
              <w:rPr>
                <w:sz w:val="20"/>
                <w:szCs w:val="20"/>
                <w:color w:val="auto"/>
              </w:rPr>
            </w:pPr>
            <w:r>
              <w:rPr>
                <w:rFonts w:ascii="Calibri" w:cs="Calibri" w:eastAsia="Calibri" w:hAnsi="Calibri"/>
                <w:sz w:val="22"/>
                <w:szCs w:val="22"/>
                <w:color w:val="auto"/>
                <w:w w:val="89"/>
              </w:rPr>
              <w:t>1</w:t>
            </w:r>
          </w:p>
        </w:tc>
        <w:tc>
          <w:tcPr>
            <w:tcW w:w="660" w:type="dxa"/>
            <w:vAlign w:val="bottom"/>
            <w:gridSpan w:val="2"/>
          </w:tcPr>
          <w:p>
            <w:pPr>
              <w:ind w:left="20"/>
              <w:spacing w:after="0" w:line="257"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7"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7"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7" w:lineRule="exact"/>
              <w:rPr>
                <w:sz w:val="20"/>
                <w:szCs w:val="20"/>
                <w:color w:val="auto"/>
              </w:rPr>
            </w:pPr>
            <w:r>
              <w:rPr>
                <w:rFonts w:ascii="Calibri" w:cs="Calibri" w:eastAsia="Calibri" w:hAnsi="Calibri"/>
                <w:sz w:val="22"/>
                <w:szCs w:val="22"/>
                <w:color w:val="auto"/>
              </w:rPr>
              <w:t>1</w:t>
            </w:r>
          </w:p>
        </w:tc>
        <w:tc>
          <w:tcPr>
            <w:tcW w:w="540" w:type="dxa"/>
            <w:vAlign w:val="bottom"/>
          </w:tcPr>
          <w:p>
            <w:pPr>
              <w:ind w:left="20"/>
              <w:spacing w:after="0" w:line="257"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spacing w:after="0" w:line="257"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7"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2"/>
        </w:trPr>
        <w:tc>
          <w:tcPr>
            <w:tcW w:w="100" w:type="dxa"/>
            <w:vAlign w:val="bottom"/>
            <w:tcBorders>
              <w:left w:val="single" w:sz="8" w:color="auto"/>
              <w:bottom w:val="single" w:sz="8" w:color="auto"/>
            </w:tcBorders>
          </w:tcPr>
          <w:p>
            <w:pPr>
              <w:spacing w:after="0"/>
              <w:rPr>
                <w:sz w:val="2"/>
                <w:szCs w:val="2"/>
                <w:color w:val="auto"/>
              </w:rPr>
            </w:pPr>
          </w:p>
        </w:tc>
        <w:tc>
          <w:tcPr>
            <w:tcW w:w="1920" w:type="dxa"/>
            <w:vAlign w:val="bottom"/>
            <w:tcBorders>
              <w:bottom w:val="single" w:sz="8" w:color="auto"/>
              <w:right w:val="single" w:sz="8" w:color="auto"/>
            </w:tcBorders>
            <w:gridSpan w:val="2"/>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800" w:type="dxa"/>
            <w:vAlign w:val="bottom"/>
            <w:tcBorders>
              <w:bottom w:val="single" w:sz="8" w:color="auto"/>
            </w:tcBorders>
          </w:tcPr>
          <w:p>
            <w:pPr>
              <w:spacing w:after="0"/>
              <w:rPr>
                <w:sz w:val="2"/>
                <w:szCs w:val="2"/>
                <w:color w:val="auto"/>
              </w:rPr>
            </w:pPr>
          </w:p>
        </w:tc>
        <w:tc>
          <w:tcPr>
            <w:tcW w:w="140" w:type="dxa"/>
            <w:vAlign w:val="bottom"/>
            <w:tcBorders>
              <w:bottom w:val="single" w:sz="8" w:color="auto"/>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220" w:type="dxa"/>
            <w:vAlign w:val="bottom"/>
            <w:tcBorders>
              <w:bottom w:val="single" w:sz="8" w:color="auto"/>
            </w:tcBorders>
          </w:tcPr>
          <w:p>
            <w:pPr>
              <w:spacing w:after="0"/>
              <w:rPr>
                <w:sz w:val="2"/>
                <w:szCs w:val="2"/>
                <w:color w:val="auto"/>
              </w:rPr>
            </w:pPr>
          </w:p>
        </w:tc>
        <w:tc>
          <w:tcPr>
            <w:tcW w:w="140" w:type="dxa"/>
            <w:vAlign w:val="bottom"/>
            <w:tcBorders>
              <w:bottom w:val="single" w:sz="8" w:color="auto"/>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200" w:type="dxa"/>
            <w:vAlign w:val="bottom"/>
            <w:tcBorders>
              <w:bottom w:val="single" w:sz="8" w:color="auto"/>
            </w:tcBorders>
          </w:tcPr>
          <w:p>
            <w:pPr>
              <w:spacing w:after="0"/>
              <w:rPr>
                <w:sz w:val="2"/>
                <w:szCs w:val="2"/>
                <w:color w:val="auto"/>
              </w:rPr>
            </w:pPr>
          </w:p>
        </w:tc>
        <w:tc>
          <w:tcPr>
            <w:tcW w:w="140" w:type="dxa"/>
            <w:vAlign w:val="bottom"/>
            <w:tcBorders>
              <w:bottom w:val="single" w:sz="8" w:color="auto"/>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57"/>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1920" w:type="dxa"/>
            <w:vAlign w:val="bottom"/>
            <w:tcBorders>
              <w:bottom w:val="single" w:sz="8" w:color="auto"/>
              <w:right w:val="single" w:sz="8" w:color="ACB9CA"/>
            </w:tcBorders>
            <w:gridSpan w:val="2"/>
            <w:shd w:val="clear" w:color="auto" w:fill="ACB9CA"/>
          </w:tcPr>
          <w:p>
            <w:pPr>
              <w:spacing w:after="0" w:line="253" w:lineRule="exact"/>
              <w:rPr>
                <w:sz w:val="20"/>
                <w:szCs w:val="20"/>
                <w:color w:val="auto"/>
              </w:rPr>
            </w:pPr>
            <w:r>
              <w:rPr>
                <w:rFonts w:ascii="Calibri" w:cs="Calibri" w:eastAsia="Calibri" w:hAnsi="Calibri"/>
                <w:sz w:val="22"/>
                <w:szCs w:val="22"/>
                <w:b w:val="1"/>
                <w:bCs w:val="1"/>
                <w:color w:val="FFFFFF"/>
              </w:rPr>
              <w:t>Other</w:t>
            </w:r>
          </w:p>
        </w:tc>
        <w:tc>
          <w:tcPr>
            <w:tcW w:w="60" w:type="dxa"/>
            <w:vAlign w:val="bottom"/>
            <w:tcBorders>
              <w:bottom w:val="single" w:sz="8" w:color="auto"/>
            </w:tcBorders>
            <w:shd w:val="clear" w:color="auto" w:fill="ACB9CA"/>
          </w:tcPr>
          <w:p>
            <w:pPr>
              <w:spacing w:after="0"/>
              <w:rPr>
                <w:sz w:val="22"/>
                <w:szCs w:val="22"/>
                <w:color w:val="auto"/>
              </w:rPr>
            </w:pPr>
          </w:p>
        </w:tc>
        <w:tc>
          <w:tcPr>
            <w:tcW w:w="540" w:type="dxa"/>
            <w:vAlign w:val="bottom"/>
            <w:tcBorders>
              <w:bottom w:val="single" w:sz="8" w:color="auto"/>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60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122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420" w:type="dxa"/>
            <w:vAlign w:val="bottom"/>
            <w:tcBorders>
              <w:bottom w:val="single" w:sz="8" w:color="auto"/>
            </w:tcBorders>
            <w:shd w:val="clear" w:color="auto" w:fill="ACB9CA"/>
          </w:tcPr>
          <w:p>
            <w:pPr>
              <w:spacing w:after="0"/>
              <w:rPr>
                <w:sz w:val="22"/>
                <w:szCs w:val="22"/>
                <w:color w:val="auto"/>
              </w:rPr>
            </w:pPr>
          </w:p>
        </w:tc>
        <w:tc>
          <w:tcPr>
            <w:tcW w:w="5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220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110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00" w:type="dxa"/>
            <w:vAlign w:val="bottom"/>
            <w:tcBorders>
              <w:left w:val="single" w:sz="8" w:color="auto"/>
            </w:tcBorders>
          </w:tcPr>
          <w:p>
            <w:pPr>
              <w:spacing w:after="0"/>
              <w:rPr>
                <w:sz w:val="22"/>
                <w:szCs w:val="22"/>
                <w:color w:val="auto"/>
              </w:rPr>
            </w:pPr>
          </w:p>
        </w:tc>
        <w:tc>
          <w:tcPr>
            <w:tcW w:w="1920" w:type="dxa"/>
            <w:vAlign w:val="bottom"/>
            <w:tcBorders>
              <w:right w:val="single" w:sz="8" w:color="auto"/>
            </w:tcBorders>
            <w:gridSpan w:val="2"/>
          </w:tcPr>
          <w:p>
            <w:pPr>
              <w:spacing w:after="0" w:line="255" w:lineRule="exact"/>
              <w:rPr>
                <w:sz w:val="20"/>
                <w:szCs w:val="20"/>
                <w:color w:val="auto"/>
              </w:rPr>
            </w:pPr>
            <w:r>
              <w:rPr>
                <w:rFonts w:ascii="Calibri" w:cs="Calibri" w:eastAsia="Calibri" w:hAnsi="Calibri"/>
                <w:sz w:val="22"/>
                <w:szCs w:val="22"/>
                <w:color w:val="auto"/>
              </w:rPr>
              <w:t>International</w:t>
            </w:r>
          </w:p>
        </w:tc>
        <w:tc>
          <w:tcPr>
            <w:tcW w:w="660" w:type="dxa"/>
            <w:vAlign w:val="bottom"/>
            <w:gridSpan w:val="3"/>
          </w:tcPr>
          <w:p>
            <w:pPr>
              <w:jc w:val="right"/>
              <w:spacing w:after="0" w:line="255" w:lineRule="exact"/>
              <w:rPr>
                <w:sz w:val="20"/>
                <w:szCs w:val="20"/>
                <w:color w:val="auto"/>
              </w:rPr>
            </w:pPr>
            <w:r>
              <w:rPr>
                <w:rFonts w:ascii="Calibri" w:cs="Calibri" w:eastAsia="Calibri" w:hAnsi="Calibri"/>
                <w:sz w:val="22"/>
                <w:szCs w:val="22"/>
                <w:color w:val="auto"/>
              </w:rPr>
              <w:t>542</w:t>
            </w:r>
          </w:p>
        </w:tc>
        <w:tc>
          <w:tcPr>
            <w:tcW w:w="600" w:type="dxa"/>
            <w:vAlign w:val="bottom"/>
          </w:tcPr>
          <w:p>
            <w:pPr>
              <w:ind w:left="20"/>
              <w:spacing w:after="0" w:line="255" w:lineRule="exact"/>
              <w:rPr>
                <w:sz w:val="20"/>
                <w:szCs w:val="20"/>
                <w:color w:val="auto"/>
              </w:rPr>
            </w:pPr>
            <w:r>
              <w:rPr>
                <w:rFonts w:ascii="Calibri" w:cs="Calibri" w:eastAsia="Calibri" w:hAnsi="Calibri"/>
                <w:sz w:val="22"/>
                <w:szCs w:val="22"/>
                <w:color w:val="auto"/>
              </w:rPr>
              <w:t>(88)</w:t>
            </w:r>
          </w:p>
        </w:tc>
        <w:tc>
          <w:tcPr>
            <w:tcW w:w="120" w:type="dxa"/>
            <w:vAlign w:val="bottom"/>
            <w:tcBorders>
              <w:right w:val="single" w:sz="8" w:color="auto"/>
            </w:tcBorders>
          </w:tcPr>
          <w:p>
            <w:pPr>
              <w:spacing w:after="0"/>
              <w:rPr>
                <w:sz w:val="22"/>
                <w:szCs w:val="22"/>
                <w:color w:val="auto"/>
              </w:rPr>
            </w:pPr>
          </w:p>
        </w:tc>
        <w:tc>
          <w:tcPr>
            <w:tcW w:w="900" w:type="dxa"/>
            <w:vAlign w:val="bottom"/>
            <w:gridSpan w:val="2"/>
          </w:tcPr>
          <w:p>
            <w:pPr>
              <w:jc w:val="center"/>
              <w:spacing w:after="0" w:line="255" w:lineRule="exact"/>
              <w:rPr>
                <w:sz w:val="20"/>
                <w:szCs w:val="20"/>
                <w:color w:val="auto"/>
              </w:rPr>
            </w:pPr>
            <w:r>
              <w:rPr>
                <w:rFonts w:ascii="Calibri" w:cs="Calibri" w:eastAsia="Calibri" w:hAnsi="Calibri"/>
                <w:sz w:val="22"/>
                <w:szCs w:val="22"/>
                <w:color w:val="auto"/>
                <w:w w:val="98"/>
              </w:rPr>
              <w:t>0 (0)</w:t>
            </w:r>
          </w:p>
        </w:tc>
        <w:tc>
          <w:tcPr>
            <w:tcW w:w="140" w:type="dxa"/>
            <w:vAlign w:val="bottom"/>
            <w:tcBorders>
              <w:right w:val="single" w:sz="8" w:color="auto"/>
            </w:tcBorders>
          </w:tcPr>
          <w:p>
            <w:pPr>
              <w:spacing w:after="0"/>
              <w:rPr>
                <w:sz w:val="22"/>
                <w:szCs w:val="22"/>
                <w:color w:val="auto"/>
              </w:rPr>
            </w:pPr>
          </w:p>
        </w:tc>
        <w:tc>
          <w:tcPr>
            <w:tcW w:w="1300" w:type="dxa"/>
            <w:vAlign w:val="bottom"/>
            <w:gridSpan w:val="2"/>
          </w:tcPr>
          <w:p>
            <w:pPr>
              <w:jc w:val="right"/>
              <w:ind w:right="290"/>
              <w:spacing w:after="0" w:line="255" w:lineRule="exact"/>
              <w:rPr>
                <w:sz w:val="20"/>
                <w:szCs w:val="20"/>
                <w:color w:val="auto"/>
              </w:rPr>
            </w:pPr>
            <w:r>
              <w:rPr>
                <w:rFonts w:ascii="Calibri" w:cs="Calibri" w:eastAsia="Calibri" w:hAnsi="Calibri"/>
                <w:sz w:val="22"/>
                <w:szCs w:val="22"/>
                <w:color w:val="auto"/>
              </w:rPr>
              <w:t>0 (0)</w:t>
            </w:r>
          </w:p>
        </w:tc>
        <w:tc>
          <w:tcPr>
            <w:tcW w:w="140" w:type="dxa"/>
            <w:vAlign w:val="bottom"/>
            <w:tcBorders>
              <w:right w:val="single" w:sz="8" w:color="auto"/>
            </w:tcBorders>
          </w:tcPr>
          <w:p>
            <w:pPr>
              <w:spacing w:after="0"/>
              <w:rPr>
                <w:sz w:val="22"/>
                <w:szCs w:val="22"/>
                <w:color w:val="auto"/>
              </w:rPr>
            </w:pPr>
          </w:p>
        </w:tc>
        <w:tc>
          <w:tcPr>
            <w:tcW w:w="500" w:type="dxa"/>
            <w:vAlign w:val="bottom"/>
            <w:gridSpan w:val="2"/>
          </w:tcPr>
          <w:p>
            <w:pPr>
              <w:jc w:val="right"/>
              <w:spacing w:after="0" w:line="255" w:lineRule="exact"/>
              <w:rPr>
                <w:sz w:val="20"/>
                <w:szCs w:val="20"/>
                <w:color w:val="auto"/>
              </w:rPr>
            </w:pPr>
            <w:r>
              <w:rPr>
                <w:rFonts w:ascii="Calibri" w:cs="Calibri" w:eastAsia="Calibri" w:hAnsi="Calibri"/>
                <w:sz w:val="22"/>
                <w:szCs w:val="22"/>
                <w:color w:val="auto"/>
              </w:rPr>
              <w:t>0</w:t>
            </w:r>
          </w:p>
        </w:tc>
        <w:tc>
          <w:tcPr>
            <w:tcW w:w="540" w:type="dxa"/>
            <w:vAlign w:val="bottom"/>
          </w:tcPr>
          <w:p>
            <w:pPr>
              <w:ind w:left="20"/>
              <w:spacing w:after="0" w:line="255" w:lineRule="exact"/>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2300" w:type="dxa"/>
            <w:vAlign w:val="bottom"/>
            <w:gridSpan w:val="2"/>
          </w:tcPr>
          <w:p>
            <w:pPr>
              <w:jc w:val="center"/>
              <w:ind w:left="10"/>
              <w:spacing w:after="0" w:line="255" w:lineRule="exact"/>
              <w:rPr>
                <w:sz w:val="20"/>
                <w:szCs w:val="20"/>
                <w:color w:val="auto"/>
              </w:rPr>
            </w:pPr>
            <w:r>
              <w:rPr>
                <w:rFonts w:ascii="Calibri" w:cs="Calibri" w:eastAsia="Calibri" w:hAnsi="Calibri"/>
                <w:sz w:val="22"/>
                <w:szCs w:val="22"/>
                <w:color w:val="auto"/>
                <w:w w:val="99"/>
              </w:rPr>
              <w:t>542 (88)</w:t>
            </w:r>
          </w:p>
        </w:tc>
        <w:tc>
          <w:tcPr>
            <w:tcW w:w="140" w:type="dxa"/>
            <w:vAlign w:val="bottom"/>
            <w:tcBorders>
              <w:right w:val="single" w:sz="8" w:color="auto"/>
            </w:tcBorders>
          </w:tcPr>
          <w:p>
            <w:pPr>
              <w:spacing w:after="0"/>
              <w:rPr>
                <w:sz w:val="22"/>
                <w:szCs w:val="22"/>
                <w:color w:val="auto"/>
              </w:rPr>
            </w:pPr>
          </w:p>
        </w:tc>
        <w:tc>
          <w:tcPr>
            <w:tcW w:w="1180" w:type="dxa"/>
            <w:vAlign w:val="bottom"/>
            <w:gridSpan w:val="2"/>
          </w:tcPr>
          <w:p>
            <w:pPr>
              <w:jc w:val="center"/>
              <w:spacing w:after="0" w:line="255" w:lineRule="exact"/>
              <w:rPr>
                <w:sz w:val="20"/>
                <w:szCs w:val="20"/>
                <w:color w:val="auto"/>
              </w:rPr>
            </w:pPr>
            <w:r>
              <w:rPr>
                <w:rFonts w:ascii="Calibri" w:cs="Calibri" w:eastAsia="Calibri" w:hAnsi="Calibri"/>
                <w:sz w:val="22"/>
                <w:szCs w:val="22"/>
                <w:color w:val="auto"/>
                <w:w w:val="98"/>
              </w:rPr>
              <w:t>0 (0)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19"/>
        </w:trPr>
        <w:tc>
          <w:tcPr>
            <w:tcW w:w="100" w:type="dxa"/>
            <w:vAlign w:val="bottom"/>
            <w:tcBorders>
              <w:left w:val="single" w:sz="8" w:color="auto"/>
            </w:tcBorders>
          </w:tcPr>
          <w:p>
            <w:pPr>
              <w:spacing w:after="0"/>
              <w:rPr>
                <w:sz w:val="24"/>
                <w:szCs w:val="24"/>
                <w:color w:val="auto"/>
              </w:rPr>
            </w:pPr>
          </w:p>
        </w:tc>
        <w:tc>
          <w:tcPr>
            <w:tcW w:w="1920" w:type="dxa"/>
            <w:vAlign w:val="bottom"/>
            <w:tcBorders>
              <w:right w:val="single" w:sz="8" w:color="auto"/>
            </w:tcBorders>
            <w:gridSpan w:val="2"/>
          </w:tcPr>
          <w:p>
            <w:pPr>
              <w:spacing w:after="0" w:line="318" w:lineRule="exact"/>
              <w:rPr>
                <w:sz w:val="20"/>
                <w:szCs w:val="20"/>
                <w:color w:val="auto"/>
              </w:rPr>
            </w:pPr>
            <w:r>
              <w:rPr>
                <w:rFonts w:ascii="Calibri" w:cs="Calibri" w:eastAsia="Calibri" w:hAnsi="Calibri"/>
                <w:sz w:val="22"/>
                <w:szCs w:val="22"/>
                <w:color w:val="auto"/>
              </w:rPr>
              <w:t>conveyance</w:t>
            </w:r>
            <w:r>
              <w:rPr>
                <w:rFonts w:ascii="Calibri" w:cs="Calibri" w:eastAsia="Calibri" w:hAnsi="Calibri"/>
                <w:sz w:val="28"/>
                <w:szCs w:val="28"/>
                <w:color w:val="auto"/>
                <w:vertAlign w:val="superscript"/>
              </w:rPr>
              <w:t>‡</w:t>
            </w:r>
          </w:p>
        </w:tc>
        <w:tc>
          <w:tcPr>
            <w:tcW w:w="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1"/>
        </w:trPr>
        <w:tc>
          <w:tcPr>
            <w:tcW w:w="100" w:type="dxa"/>
            <w:vAlign w:val="bottom"/>
            <w:tcBorders>
              <w:left w:val="single" w:sz="8" w:color="auto"/>
              <w:bottom w:val="single" w:sz="8" w:color="auto"/>
            </w:tcBorders>
          </w:tcPr>
          <w:p>
            <w:pPr>
              <w:spacing w:after="0"/>
              <w:rPr>
                <w:sz w:val="19"/>
                <w:szCs w:val="19"/>
                <w:color w:val="auto"/>
              </w:rPr>
            </w:pPr>
          </w:p>
        </w:tc>
        <w:tc>
          <w:tcPr>
            <w:tcW w:w="1920" w:type="dxa"/>
            <w:vAlign w:val="bottom"/>
            <w:tcBorders>
              <w:bottom w:val="single" w:sz="8" w:color="auto"/>
              <w:right w:val="single" w:sz="8" w:color="auto"/>
            </w:tcBorders>
            <w:gridSpan w:val="2"/>
          </w:tcPr>
          <w:p>
            <w:pPr>
              <w:spacing w:after="0" w:line="219" w:lineRule="exact"/>
              <w:rPr>
                <w:sz w:val="20"/>
                <w:szCs w:val="20"/>
                <w:color w:val="auto"/>
              </w:rPr>
            </w:pPr>
            <w:r>
              <w:rPr>
                <w:rFonts w:ascii="Calibri" w:cs="Calibri" w:eastAsia="Calibri" w:hAnsi="Calibri"/>
                <w:sz w:val="22"/>
                <w:szCs w:val="22"/>
                <w:color w:val="auto"/>
              </w:rPr>
              <w:t>(Diamond Princess)</w:t>
            </w:r>
          </w:p>
        </w:tc>
        <w:tc>
          <w:tcPr>
            <w:tcW w:w="60" w:type="dxa"/>
            <w:vAlign w:val="bottom"/>
            <w:tcBorders>
              <w:bottom w:val="single" w:sz="8" w:color="auto"/>
            </w:tcBorders>
          </w:tcPr>
          <w:p>
            <w:pPr>
              <w:spacing w:after="0"/>
              <w:rPr>
                <w:sz w:val="19"/>
                <w:szCs w:val="19"/>
                <w:color w:val="auto"/>
              </w:rPr>
            </w:pPr>
          </w:p>
        </w:tc>
        <w:tc>
          <w:tcPr>
            <w:tcW w:w="54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600" w:type="dxa"/>
            <w:vAlign w:val="bottom"/>
            <w:tcBorders>
              <w:bottom w:val="single" w:sz="8" w:color="auto"/>
            </w:tcBorders>
          </w:tcPr>
          <w:p>
            <w:pPr>
              <w:spacing w:after="0"/>
              <w:rPr>
                <w:sz w:val="19"/>
                <w:szCs w:val="19"/>
                <w:color w:val="auto"/>
              </w:rPr>
            </w:pPr>
          </w:p>
        </w:tc>
        <w:tc>
          <w:tcPr>
            <w:tcW w:w="120" w:type="dxa"/>
            <w:vAlign w:val="bottom"/>
            <w:tcBorders>
              <w:bottom w:val="single" w:sz="8" w:color="auto"/>
              <w:right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800" w:type="dxa"/>
            <w:vAlign w:val="bottom"/>
            <w:tcBorders>
              <w:bottom w:val="single" w:sz="8" w:color="auto"/>
            </w:tcBorders>
          </w:tcPr>
          <w:p>
            <w:pPr>
              <w:spacing w:after="0"/>
              <w:rPr>
                <w:sz w:val="19"/>
                <w:szCs w:val="19"/>
                <w:color w:val="auto"/>
              </w:rPr>
            </w:pPr>
          </w:p>
        </w:tc>
        <w:tc>
          <w:tcPr>
            <w:tcW w:w="140" w:type="dxa"/>
            <w:vAlign w:val="bottom"/>
            <w:tcBorders>
              <w:bottom w:val="single" w:sz="8" w:color="auto"/>
              <w:right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1220" w:type="dxa"/>
            <w:vAlign w:val="bottom"/>
            <w:tcBorders>
              <w:bottom w:val="single" w:sz="8" w:color="auto"/>
            </w:tcBorders>
          </w:tcPr>
          <w:p>
            <w:pPr>
              <w:spacing w:after="0"/>
              <w:rPr>
                <w:sz w:val="19"/>
                <w:szCs w:val="19"/>
                <w:color w:val="auto"/>
              </w:rPr>
            </w:pPr>
          </w:p>
        </w:tc>
        <w:tc>
          <w:tcPr>
            <w:tcW w:w="140" w:type="dxa"/>
            <w:vAlign w:val="bottom"/>
            <w:tcBorders>
              <w:bottom w:val="single" w:sz="8" w:color="auto"/>
              <w:right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420" w:type="dxa"/>
            <w:vAlign w:val="bottom"/>
            <w:tcBorders>
              <w:bottom w:val="single" w:sz="8" w:color="auto"/>
            </w:tcBorders>
          </w:tcPr>
          <w:p>
            <w:pPr>
              <w:spacing w:after="0"/>
              <w:rPr>
                <w:sz w:val="19"/>
                <w:szCs w:val="19"/>
                <w:color w:val="auto"/>
              </w:rPr>
            </w:pPr>
          </w:p>
        </w:tc>
        <w:tc>
          <w:tcPr>
            <w:tcW w:w="540" w:type="dxa"/>
            <w:vAlign w:val="bottom"/>
            <w:tcBorders>
              <w:bottom w:val="single" w:sz="8" w:color="auto"/>
            </w:tcBorders>
          </w:tcPr>
          <w:p>
            <w:pPr>
              <w:spacing w:after="0"/>
              <w:rPr>
                <w:sz w:val="19"/>
                <w:szCs w:val="19"/>
                <w:color w:val="auto"/>
              </w:rPr>
            </w:pPr>
          </w:p>
        </w:tc>
        <w:tc>
          <w:tcPr>
            <w:tcW w:w="120" w:type="dxa"/>
            <w:vAlign w:val="bottom"/>
            <w:tcBorders>
              <w:bottom w:val="single" w:sz="8" w:color="auto"/>
              <w:right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2200" w:type="dxa"/>
            <w:vAlign w:val="bottom"/>
            <w:tcBorders>
              <w:bottom w:val="single" w:sz="8" w:color="auto"/>
            </w:tcBorders>
          </w:tcPr>
          <w:p>
            <w:pPr>
              <w:spacing w:after="0"/>
              <w:rPr>
                <w:sz w:val="19"/>
                <w:szCs w:val="19"/>
                <w:color w:val="auto"/>
              </w:rPr>
            </w:pPr>
          </w:p>
        </w:tc>
        <w:tc>
          <w:tcPr>
            <w:tcW w:w="140" w:type="dxa"/>
            <w:vAlign w:val="bottom"/>
            <w:tcBorders>
              <w:bottom w:val="single" w:sz="8" w:color="auto"/>
              <w:right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1100" w:type="dxa"/>
            <w:vAlign w:val="bottom"/>
            <w:tcBorders>
              <w:bottom w:val="single" w:sz="8" w:color="auto"/>
            </w:tcBorders>
          </w:tcPr>
          <w:p>
            <w:pPr>
              <w:spacing w:after="0"/>
              <w:rPr>
                <w:sz w:val="19"/>
                <w:szCs w:val="19"/>
                <w:color w:val="auto"/>
              </w:rPr>
            </w:pPr>
          </w:p>
        </w:tc>
        <w:tc>
          <w:tcPr>
            <w:tcW w:w="12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bl>
    <w:p>
      <w:pPr>
        <w:spacing w:after="0" w:line="197" w:lineRule="auto"/>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7">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1" w:lineRule="exact"/>
        <w:rPr>
          <w:sz w:val="20"/>
          <w:szCs w:val="20"/>
          <w:color w:val="auto"/>
        </w:rPr>
      </w:pPr>
    </w:p>
    <w:p>
      <w:pPr>
        <w:ind w:right="300"/>
        <w:spacing w:after="0" w:line="193"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spacing w:after="0" w:line="231"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sectPr>
          <w:pgSz w:w="11920" w:h="16840" w:orient="portrait"/>
          <w:cols w:equalWidth="0" w:num="1">
            <w:col w:w="10760"/>
          </w:cols>
          <w:pgMar w:left="720" w:top="945" w:right="430" w:bottom="745" w:gutter="0" w:footer="0" w:header="0"/>
        </w:sectPr>
      </w:pPr>
    </w:p>
    <w:bookmarkStart w:id="5" w:name="page6"/>
    <w:bookmarkEnd w:id="5"/>
    <w:p>
      <w:pPr>
        <w:spacing w:after="0" w:line="217" w:lineRule="auto"/>
        <w:rPr>
          <w:sz w:val="20"/>
          <w:szCs w:val="20"/>
          <w:color w:val="auto"/>
        </w:rPr>
      </w:pPr>
      <w:r>
        <w:rPr>
          <w:rFonts w:ascii="Calibri" w:cs="Calibri" w:eastAsia="Calibri" w:hAnsi="Calibri"/>
          <w:sz w:val="22"/>
          <w:szCs w:val="22"/>
          <w:b w:val="1"/>
          <w:bCs w:val="1"/>
          <w:color w:val="007AB0"/>
        </w:rPr>
        <w:t>Figure 2. Epidemic curve of COVID-19 cases (n=231) identified outside of China, by date of onset of symptoms and likely exposure location, 19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5910" cy="32550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extLst>
                    </a:blip>
                    <a:srcRect/>
                    <a:stretch>
                      <a:fillRect/>
                    </a:stretch>
                  </pic:blipFill>
                  <pic:spPr bwMode="auto">
                    <a:xfrm>
                      <a:off x="0" y="0"/>
                      <a:ext cx="6645910" cy="32550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right="260"/>
        <w:spacing w:after="0" w:line="253" w:lineRule="auto"/>
        <w:rPr>
          <w:sz w:val="20"/>
          <w:szCs w:val="20"/>
          <w:color w:val="auto"/>
        </w:rPr>
      </w:pPr>
      <w:r>
        <w:rPr>
          <w:rFonts w:ascii="Calibri" w:cs="Calibri" w:eastAsia="Calibri" w:hAnsi="Calibri"/>
          <w:sz w:val="22"/>
          <w:szCs w:val="22"/>
          <w:color w:val="auto"/>
        </w:rPr>
        <w:t>Note for figure 2: Of the 924 cases reported outside China, 29 were detected while apparently asymptomatic. For the remaining 895 cases, information on date of onset is available only for the 231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right="640"/>
        <w:spacing w:after="0" w:line="217" w:lineRule="auto"/>
        <w:rPr>
          <w:sz w:val="20"/>
          <w:szCs w:val="20"/>
          <w:color w:val="auto"/>
        </w:rPr>
      </w:pPr>
      <w:r>
        <w:rPr>
          <w:rFonts w:ascii="Calibri" w:cs="Calibri" w:eastAsia="Calibri" w:hAnsi="Calibri"/>
          <w:sz w:val="22"/>
          <w:szCs w:val="22"/>
          <w:b w:val="1"/>
          <w:bCs w:val="1"/>
          <w:color w:val="007AB0"/>
        </w:rPr>
        <w:t>Figure 3. Epidemic curve of COVID-19 cases (n=924) identified outside of China, by date of report and likely exposure location, 19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3810</wp:posOffset>
            </wp:positionV>
            <wp:extent cx="6647815" cy="36353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extLst>
                    </a:blip>
                    <a:srcRect/>
                    <a:stretch>
                      <a:fillRect/>
                    </a:stretch>
                  </pic:blipFill>
                  <pic:spPr bwMode="auto">
                    <a:xfrm>
                      <a:off x="0" y="0"/>
                      <a:ext cx="6647815" cy="3635375"/>
                    </a:xfrm>
                    <a:prstGeom prst="rect">
                      <a:avLst/>
                    </a:prstGeom>
                    <a:noFill/>
                  </pic:spPr>
                </pic:pic>
              </a:graphicData>
            </a:graphic>
          </wp:anchor>
        </w:drawing>
      </w:r>
    </w:p>
    <w:p>
      <w:pPr>
        <w:sectPr>
          <w:pgSz w:w="11920" w:h="16840" w:orient="portrait"/>
          <w:cols w:equalWidth="0" w:num="1">
            <w:col w:w="10380"/>
          </w:cols>
          <w:pgMar w:left="720" w:top="945" w:right="810" w:bottom="1440" w:gutter="0" w:footer="0" w:header="0"/>
        </w:sectPr>
      </w:pPr>
    </w:p>
    <w:bookmarkStart w:id="6" w:name="page7"/>
    <w:bookmarkEnd w:id="6"/>
    <w:p>
      <w:pPr>
        <w:spacing w:after="0" w:line="2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8"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1" w:lineRule="exact"/>
        <w:rPr>
          <w:sz w:val="20"/>
          <w:szCs w:val="20"/>
          <w:color w:val="auto"/>
        </w:rPr>
      </w:pPr>
    </w:p>
    <w:p>
      <w:pPr>
        <w:jc w:val="both"/>
        <w:ind w:left="940" w:right="260" w:hanging="370"/>
        <w:spacing w:after="0" w:line="224" w:lineRule="auto"/>
        <w:tabs>
          <w:tab w:leader="none" w:pos="94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5" w:lineRule="exact"/>
        <w:rPr>
          <w:rFonts w:ascii="Arial" w:cs="Arial" w:eastAsia="Arial" w:hAnsi="Arial"/>
          <w:sz w:val="22"/>
          <w:szCs w:val="22"/>
          <w:color w:val="auto"/>
        </w:rPr>
      </w:pPr>
    </w:p>
    <w:p>
      <w:pPr>
        <w:ind w:left="940" w:hanging="370"/>
        <w:spacing w:after="0"/>
        <w:tabs>
          <w:tab w:leader="none" w:pos="94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1" w:lineRule="exact"/>
        <w:rPr>
          <w:rFonts w:ascii="Arial" w:cs="Arial" w:eastAsia="Arial" w:hAnsi="Arial"/>
          <w:sz w:val="22"/>
          <w:szCs w:val="22"/>
          <w:color w:val="auto"/>
        </w:rPr>
      </w:pPr>
    </w:p>
    <w:p>
      <w:pPr>
        <w:ind w:left="940" w:hanging="370"/>
        <w:spacing w:after="0"/>
        <w:tabs>
          <w:tab w:leader="none" w:pos="94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2" w:lineRule="exact"/>
        <w:rPr>
          <w:rFonts w:ascii="Arial" w:cs="Arial" w:eastAsia="Arial" w:hAnsi="Arial"/>
          <w:sz w:val="22"/>
          <w:szCs w:val="22"/>
          <w:color w:val="auto"/>
        </w:rPr>
      </w:pPr>
    </w:p>
    <w:p>
      <w:pPr>
        <w:ind w:left="940" w:right="520" w:hanging="370"/>
        <w:spacing w:after="0" w:line="217" w:lineRule="auto"/>
        <w:tabs>
          <w:tab w:leader="none" w:pos="94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40" w:hanging="370"/>
        <w:spacing w:after="0"/>
        <w:tabs>
          <w:tab w:leader="none" w:pos="94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12" w:lineRule="exact"/>
        <w:rPr>
          <w:rFonts w:ascii="Arial" w:cs="Arial" w:eastAsia="Arial" w:hAnsi="Arial"/>
          <w:sz w:val="22"/>
          <w:szCs w:val="22"/>
          <w:color w:val="auto"/>
        </w:rPr>
      </w:pPr>
    </w:p>
    <w:p>
      <w:pPr>
        <w:ind w:left="940" w:hanging="370"/>
        <w:spacing w:after="0"/>
        <w:tabs>
          <w:tab w:leader="none" w:pos="94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8" w:lineRule="exact"/>
        <w:rPr>
          <w:sz w:val="20"/>
          <w:szCs w:val="20"/>
          <w:color w:val="auto"/>
        </w:rPr>
      </w:pPr>
    </w:p>
    <w:p>
      <w:pPr>
        <w:jc w:val="both"/>
        <w:ind w:left="220" w:right="34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20">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jc w:val="both"/>
        <w:ind w:left="360" w:right="820" w:hanging="360"/>
        <w:spacing w:after="0" w:line="254" w:lineRule="auto"/>
        <w:tabs>
          <w:tab w:leader="none" w:pos="36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21">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4" w:lineRule="exact"/>
        <w:rPr>
          <w:rFonts w:ascii="Calibri" w:cs="Calibri" w:eastAsia="Calibri" w:hAnsi="Calibri"/>
          <w:sz w:val="22"/>
          <w:szCs w:val="22"/>
          <w:color w:val="auto"/>
        </w:rPr>
      </w:pPr>
    </w:p>
    <w:p>
      <w:pPr>
        <w:ind w:left="360" w:right="40" w:hanging="360"/>
        <w:spacing w:after="0" w:line="265" w:lineRule="auto"/>
        <w:tabs>
          <w:tab w:leader="none" w:pos="360" w:val="left"/>
        </w:tabs>
        <w:numPr>
          <w:ilvl w:val="0"/>
          <w:numId w:val="8"/>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22">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22">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61" w:lineRule="exact"/>
        <w:rPr>
          <w:rFonts w:ascii="Calibri" w:cs="Calibri" w:eastAsia="Calibri" w:hAnsi="Calibri"/>
          <w:sz w:val="22"/>
          <w:szCs w:val="22"/>
          <w:color w:val="0000FF"/>
        </w:rPr>
      </w:pPr>
    </w:p>
    <w:p>
      <w:pPr>
        <w:ind w:left="360" w:right="140" w:hanging="360"/>
        <w:spacing w:after="0" w:line="235" w:lineRule="auto"/>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2" w:lineRule="exact"/>
        <w:rPr>
          <w:rFonts w:ascii="Arial" w:cs="Arial" w:eastAsia="Arial" w:hAnsi="Arial"/>
          <w:sz w:val="22"/>
          <w:szCs w:val="22"/>
          <w:color w:val="auto"/>
        </w:rPr>
      </w:pPr>
    </w:p>
    <w:p>
      <w:pPr>
        <w:ind w:left="360" w:hanging="360"/>
        <w:spacing w:after="0" w:line="264" w:lineRule="auto"/>
        <w:tabs>
          <w:tab w:leader="none" w:pos="360" w:val="left"/>
        </w:tabs>
        <w:numPr>
          <w:ilvl w:val="0"/>
          <w:numId w:val="8"/>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23">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4">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4">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25">
        <w:r>
          <w:rPr>
            <w:rFonts w:ascii="Calibri" w:cs="Calibri" w:eastAsia="Calibri" w:hAnsi="Calibri"/>
            <w:sz w:val="22"/>
            <w:szCs w:val="22"/>
            <w:u w:val="single" w:color="auto"/>
            <w:color w:val="0000FF"/>
          </w:rPr>
          <w:t>clinical management</w:t>
        </w:r>
      </w:hyperlink>
      <w:hyperlink r:id="rId26">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6">
        <w:r>
          <w:rPr>
            <w:rFonts w:ascii="Calibri" w:cs="Calibri" w:eastAsia="Calibri" w:hAnsi="Calibri"/>
            <w:sz w:val="22"/>
            <w:szCs w:val="22"/>
            <w:u w:val="single" w:color="auto"/>
            <w:color w:val="0000FF"/>
          </w:rPr>
          <w:t xml:space="preserve">infection prevention and control in health care settings, </w:t>
        </w:r>
      </w:hyperlink>
      <w:hyperlink r:id="rId27">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7">
        <w:r>
          <w:rPr>
            <w:rFonts w:ascii="Calibri" w:cs="Calibri" w:eastAsia="Calibri" w:hAnsi="Calibri"/>
            <w:sz w:val="22"/>
            <w:szCs w:val="22"/>
            <w:u w:val="single" w:color="auto"/>
            <w:color w:val="0000FF"/>
          </w:rPr>
          <w:t xml:space="preserve">coronavirus, </w:t>
        </w:r>
      </w:hyperlink>
      <w:hyperlink r:id="rId28">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7">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7">
        <w:r>
          <w:rPr>
            <w:rFonts w:ascii="Calibri" w:cs="Calibri" w:eastAsia="Calibri" w:hAnsi="Calibri"/>
            <w:sz w:val="22"/>
            <w:szCs w:val="22"/>
            <w:u w:val="single" w:color="auto"/>
            <w:color w:val="0000FF"/>
          </w:rPr>
          <w:t>novel coronavirus (2019-nCoV).</w:t>
        </w:r>
      </w:hyperlink>
    </w:p>
    <w:p>
      <w:pPr>
        <w:spacing w:after="0" w:line="67" w:lineRule="exact"/>
        <w:rPr>
          <w:rFonts w:ascii="Calibri" w:cs="Calibri" w:eastAsia="Calibri" w:hAnsi="Calibri"/>
          <w:sz w:val="22"/>
          <w:szCs w:val="22"/>
          <w:u w:val="single" w:color="auto"/>
          <w:color w:val="0000FF"/>
        </w:rPr>
      </w:pPr>
    </w:p>
    <w:p>
      <w:pPr>
        <w:ind w:left="360" w:right="840" w:hanging="360"/>
        <w:spacing w:after="0" w:line="235" w:lineRule="auto"/>
        <w:tabs>
          <w:tab w:leader="none" w:pos="36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9">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30">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1" w:lineRule="exact"/>
        <w:rPr>
          <w:rFonts w:ascii="Calibri" w:cs="Calibri" w:eastAsia="Calibri" w:hAnsi="Calibri"/>
          <w:sz w:val="22"/>
          <w:szCs w:val="22"/>
          <w:color w:val="auto"/>
        </w:rPr>
      </w:pPr>
    </w:p>
    <w:p>
      <w:pPr>
        <w:ind w:left="360" w:right="1000" w:hanging="360"/>
        <w:spacing w:after="0" w:line="235" w:lineRule="auto"/>
        <w:tabs>
          <w:tab w:leader="none" w:pos="360" w:val="left"/>
        </w:tabs>
        <w:numPr>
          <w:ilvl w:val="0"/>
          <w:numId w:val="8"/>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31">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31">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40" w:hanging="360"/>
        <w:spacing w:after="0" w:line="253" w:lineRule="auto"/>
        <w:tabs>
          <w:tab w:leader="none" w:pos="360" w:val="left"/>
        </w:tabs>
        <w:numPr>
          <w:ilvl w:val="0"/>
          <w:numId w:val="8"/>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online courses on the following topics: </w:t>
      </w:r>
      <w:hyperlink r:id="rId9">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9">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10">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11">
        <w:r>
          <w:rPr>
            <w:rFonts w:ascii="Calibri" w:cs="Calibri" w:eastAsia="Calibri" w:hAnsi="Calibri"/>
            <w:sz w:val="22"/>
            <w:szCs w:val="22"/>
            <w:u w:val="single" w:color="auto"/>
            <w:color w:val="0000FF"/>
          </w:rPr>
          <w:t>Simplified Chinese</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12">
        <w:r>
          <w:rPr>
            <w:rFonts w:ascii="Calibri" w:cs="Calibri" w:eastAsia="Calibri" w:hAnsi="Calibri"/>
            <w:sz w:val="22"/>
            <w:szCs w:val="22"/>
            <w:u w:val="single" w:color="auto"/>
            <w:color w:val="0000FF"/>
          </w:rPr>
          <w:t xml:space="preserve">Spanish </w:t>
        </w:r>
      </w:hyperlink>
      <w:r>
        <w:rPr>
          <w:rFonts w:ascii="Calibri" w:cs="Calibri" w:eastAsia="Calibri" w:hAnsi="Calibri"/>
          <w:sz w:val="22"/>
          <w:szCs w:val="22"/>
          <w:color w:val="000000"/>
        </w:rPr>
        <w:t>as</w:t>
      </w:r>
      <w:r>
        <w:rPr>
          <w:rFonts w:ascii="Calibri" w:cs="Calibri" w:eastAsia="Calibri" w:hAnsi="Calibri"/>
          <w:sz w:val="22"/>
          <w:szCs w:val="22"/>
          <w:color w:val="0000FF"/>
        </w:rPr>
        <w:t xml:space="preserve"> </w:t>
      </w:r>
      <w:r>
        <w:rPr>
          <w:rFonts w:ascii="Calibri" w:cs="Calibri" w:eastAsia="Calibri" w:hAnsi="Calibri"/>
          <w:sz w:val="22"/>
          <w:szCs w:val="22"/>
          <w:color w:val="000000"/>
        </w:rPr>
        <w:t>well);</w:t>
      </w:r>
      <w:r>
        <w:rPr>
          <w:rFonts w:ascii="Calibri" w:cs="Calibri" w:eastAsia="Calibri" w:hAnsi="Calibri"/>
          <w:sz w:val="22"/>
          <w:szCs w:val="22"/>
          <w:color w:val="0000FF"/>
        </w:rPr>
        <w:t xml:space="preserve"> </w:t>
      </w:r>
      <w:hyperlink r:id="rId13">
        <w:r>
          <w:rPr>
            <w:rFonts w:ascii="Calibri" w:cs="Calibri" w:eastAsia="Calibri" w:hAnsi="Calibri"/>
            <w:sz w:val="22"/>
            <w:szCs w:val="22"/>
            <w:u w:val="single" w:color="auto"/>
            <w:color w:val="0000FF"/>
          </w:rPr>
          <w:t>Critical Care</w:t>
        </w:r>
      </w:hyperlink>
      <w:r>
        <w:rPr>
          <w:rFonts w:ascii="Calibri" w:cs="Calibri" w:eastAsia="Calibri" w:hAnsi="Calibri"/>
          <w:sz w:val="22"/>
          <w:szCs w:val="22"/>
          <w:color w:val="0000FF"/>
        </w:rPr>
        <w:t xml:space="preserve"> </w:t>
      </w:r>
      <w:hyperlink r:id="rId13">
        <w:r>
          <w:rPr>
            <w:rFonts w:ascii="Calibri" w:cs="Calibri" w:eastAsia="Calibri" w:hAnsi="Calibri"/>
            <w:sz w:val="22"/>
            <w:szCs w:val="22"/>
            <w:u w:val="single" w:color="auto"/>
            <w:color w:val="0000FF"/>
          </w:rPr>
          <w:t xml:space="preserve">of Severe Acute Respiratory Infections; </w:t>
        </w:r>
      </w:hyperlink>
      <w:r>
        <w:rPr>
          <w:rFonts w:ascii="Calibri" w:cs="Calibri" w:eastAsia="Calibri" w:hAnsi="Calibri"/>
          <w:sz w:val="22"/>
          <w:szCs w:val="22"/>
          <w:u w:val="single" w:color="auto"/>
          <w:color w:val="0000FF"/>
        </w:rPr>
        <w:t xml:space="preserve">and </w:t>
      </w:r>
      <w:hyperlink r:id="rId14">
        <w:r>
          <w:rPr>
            <w:rFonts w:ascii="Calibri" w:cs="Calibri" w:eastAsia="Calibri" w:hAnsi="Calibri"/>
            <w:sz w:val="22"/>
            <w:szCs w:val="22"/>
            <w:u w:val="single" w:color="auto"/>
            <w:color w:val="0000FF"/>
          </w:rPr>
          <w:t>Health and safety briefing for respiratory diseases - ePROTECT</w:t>
        </w:r>
      </w:hyperlink>
    </w:p>
    <w:p>
      <w:pPr>
        <w:spacing w:after="0" w:line="77" w:lineRule="exact"/>
        <w:rPr>
          <w:rFonts w:ascii="Calibri" w:cs="Calibri" w:eastAsia="Calibri" w:hAnsi="Calibri"/>
          <w:sz w:val="22"/>
          <w:szCs w:val="22"/>
          <w:u w:val="single" w:color="auto"/>
          <w:color w:val="0000FF"/>
        </w:rPr>
      </w:pPr>
    </w:p>
    <w:p>
      <w:pPr>
        <w:ind w:left="360" w:right="100" w:hanging="360"/>
        <w:spacing w:after="0" w:line="253" w:lineRule="auto"/>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w:t>
      </w:r>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mc:AlternateContent>
          <mc:Choice Requires="wps">
            <w:drawing>
              <wp:anchor simplePos="0" relativeHeight="251657728" behindDoc="1" locked="0" layoutInCell="0" allowOverlap="1">
                <wp:simplePos x="0" y="0"/>
                <wp:positionH relativeFrom="column">
                  <wp:posOffset>2575560</wp:posOffset>
                </wp:positionH>
                <wp:positionV relativeFrom="paragraph">
                  <wp:posOffset>-3166110</wp:posOffset>
                </wp:positionV>
                <wp:extent cx="31115" cy="127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12700"/>
                        </a:xfrm>
                        <a:prstGeom prst="rect">
                          <a:avLst/>
                        </a:prstGeom>
                        <a:solidFill>
                          <a:srgbClr val="000000"/>
                        </a:solidFill>
                      </wps:spPr>
                      <wps:bodyPr/>
                    </wps:wsp>
                  </a:graphicData>
                </a:graphic>
              </wp:anchor>
            </w:drawing>
          </mc:Choice>
          <mc:Fallback>
            <w:pict>
              <v:rect id="Shape 10" o:spid="_x0000_s1035" style="position:absolute;margin-left:202.8pt;margin-top:-249.2999pt;width:2.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6276340</wp:posOffset>
                </wp:positionH>
                <wp:positionV relativeFrom="paragraph">
                  <wp:posOffset>-2970530</wp:posOffset>
                </wp:positionV>
                <wp:extent cx="31115" cy="1333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13335"/>
                        </a:xfrm>
                        <a:prstGeom prst="rect">
                          <a:avLst/>
                        </a:prstGeom>
                        <a:solidFill>
                          <a:srgbClr val="0000FF"/>
                        </a:solidFill>
                      </wps:spPr>
                      <wps:bodyPr/>
                    </wps:wsp>
                  </a:graphicData>
                </a:graphic>
              </wp:anchor>
            </w:drawing>
          </mc:Choice>
          <mc:Fallback>
            <w:pict>
              <v:rect id="Shape 11" o:spid="_x0000_s1036" style="position:absolute;margin-left:494.2pt;margin-top:-233.8999pt;width:2.4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0" w:orient="portrait"/>
          <w:cols w:equalWidth="0" w:num="1">
            <w:col w:w="10440"/>
          </w:cols>
          <w:pgMar w:left="720" w:top="1440" w:right="750" w:bottom="218" w:gutter="0" w:footer="0" w:header="0"/>
        </w:sectPr>
      </w:pPr>
    </w:p>
    <w:bookmarkStart w:id="7" w:name="page8"/>
    <w:bookmarkEnd w:id="7"/>
    <w:p>
      <w:pPr>
        <w:ind w:left="360"/>
        <w:spacing w:after="0" w:line="253"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severity, spectrum of disease, impact on the community and to inform operational models for implementation of countermeasures such as case isolation, contact tracing and isolation. Several protocols are available here: </w:t>
      </w:r>
      <w:hyperlink r:id="rId16">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77" w:lineRule="exact"/>
        <w:rPr>
          <w:sz w:val="20"/>
          <w:szCs w:val="20"/>
          <w:color w:val="auto"/>
        </w:rPr>
      </w:pPr>
    </w:p>
    <w:p>
      <w:pPr>
        <w:ind w:left="360" w:right="300" w:hanging="360"/>
        <w:spacing w:after="0" w:line="261" w:lineRule="auto"/>
        <w:tabs>
          <w:tab w:leader="none" w:pos="36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8" w:lineRule="exact"/>
        <w:rPr>
          <w:rFonts w:ascii="Arial" w:cs="Arial" w:eastAsia="Arial" w:hAnsi="Arial"/>
          <w:sz w:val="22"/>
          <w:szCs w:val="22"/>
          <w:color w:val="auto"/>
        </w:rPr>
      </w:pPr>
    </w:p>
    <w:p>
      <w:pPr>
        <w:ind w:left="360" w:right="200" w:hanging="360"/>
        <w:spacing w:after="0" w:line="235" w:lineRule="auto"/>
        <w:tabs>
          <w:tab w:leader="none" w:pos="36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5" w:lineRule="exact"/>
        <w:rPr>
          <w:sz w:val="20"/>
          <w:szCs w:val="20"/>
          <w:color w:val="auto"/>
        </w:rPr>
      </w:pPr>
    </w:p>
    <w:p>
      <w:pPr>
        <w:ind w:right="32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COVID-19 can be similar. The basic principles to reduce the general risk of transmission of acute respiratory infections include the following:</w:t>
      </w:r>
    </w:p>
    <w:p>
      <w:pPr>
        <w:spacing w:after="0" w:line="326" w:lineRule="exact"/>
        <w:rPr>
          <w:sz w:val="20"/>
          <w:szCs w:val="20"/>
          <w:color w:val="auto"/>
        </w:rPr>
      </w:pPr>
    </w:p>
    <w:p>
      <w:pPr>
        <w:ind w:left="360" w:hanging="360"/>
        <w:spacing w:after="0"/>
        <w:tabs>
          <w:tab w:leader="none" w:pos="36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39" w:lineRule="exact"/>
        <w:rPr>
          <w:rFonts w:ascii="Arial" w:cs="Arial" w:eastAsia="Arial" w:hAnsi="Arial"/>
          <w:sz w:val="22"/>
          <w:szCs w:val="22"/>
          <w:color w:val="auto"/>
        </w:rPr>
      </w:pPr>
    </w:p>
    <w:p>
      <w:pPr>
        <w:ind w:left="360" w:hanging="360"/>
        <w:spacing w:after="0"/>
        <w:tabs>
          <w:tab w:leader="none" w:pos="36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89" w:lineRule="exact"/>
        <w:rPr>
          <w:rFonts w:ascii="Arial" w:cs="Arial" w:eastAsia="Arial" w:hAnsi="Arial"/>
          <w:sz w:val="22"/>
          <w:szCs w:val="22"/>
          <w:color w:val="auto"/>
        </w:rPr>
      </w:pPr>
    </w:p>
    <w:p>
      <w:pPr>
        <w:ind w:left="360" w:right="200" w:hanging="360"/>
        <w:spacing w:after="0" w:line="236" w:lineRule="auto"/>
        <w:tabs>
          <w:tab w:leader="none" w:pos="36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0" w:lineRule="exact"/>
        <w:rPr>
          <w:rFonts w:ascii="Arial" w:cs="Arial" w:eastAsia="Arial" w:hAnsi="Arial"/>
          <w:sz w:val="22"/>
          <w:szCs w:val="22"/>
          <w:color w:val="auto"/>
        </w:rPr>
      </w:pPr>
    </w:p>
    <w:p>
      <w:pPr>
        <w:ind w:left="360" w:right="100" w:hanging="360"/>
        <w:spacing w:after="0" w:line="235" w:lineRule="auto"/>
        <w:tabs>
          <w:tab w:leader="none" w:pos="36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1"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226060</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858">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8pt" to="144pt,17.8pt" o:allowincell="f" strokecolor="#000000" strokeweight="0.54pt"/>
            </w:pict>
          </mc:Fallback>
        </mc:AlternateContent>
      </w:r>
    </w:p>
    <w:p>
      <w:pPr>
        <w:spacing w:after="0" w:line="200" w:lineRule="exact"/>
        <w:rPr>
          <w:sz w:val="20"/>
          <w:szCs w:val="20"/>
          <w:color w:val="auto"/>
        </w:rPr>
      </w:pPr>
    </w:p>
    <w:p>
      <w:pPr>
        <w:spacing w:after="0" w:line="266" w:lineRule="exact"/>
        <w:rPr>
          <w:sz w:val="20"/>
          <w:szCs w:val="20"/>
          <w:color w:val="auto"/>
        </w:rPr>
      </w:pPr>
    </w:p>
    <w:p>
      <w:pPr>
        <w:ind w:right="3180"/>
        <w:spacing w:after="0" w:line="192" w:lineRule="auto"/>
        <w:tabs>
          <w:tab w:leader="none" w:pos="86" w:val="left"/>
        </w:tabs>
        <w:numPr>
          <w:ilvl w:val="0"/>
          <w:numId w:val="11"/>
        </w:numPr>
        <w:rPr>
          <w:rFonts w:ascii="Calibri" w:cs="Calibri" w:eastAsia="Calibri" w:hAnsi="Calibri"/>
          <w:sz w:val="16"/>
          <w:szCs w:val="16"/>
          <w:u w:val="single" w:color="auto"/>
          <w:color w:val="0000FF"/>
        </w:rPr>
      </w:pPr>
      <w:r>
        <w:rPr>
          <w:rFonts w:ascii="Calibri" w:cs="Calibri" w:eastAsia="Calibri" w:hAnsi="Calibri"/>
          <w:sz w:val="16"/>
          <w:szCs w:val="16"/>
          <w:color w:val="auto"/>
        </w:rPr>
        <w:t xml:space="preserve">Liu T, Hu J, Kang M, Lin L, Zhong H, Xiao J, et al. Transmission dynamics of 2019 novel coronavirus (2019-nCoV), </w:t>
      </w:r>
      <w:hyperlink r:id="rId32">
        <w:r>
          <w:rPr>
            <w:rFonts w:ascii="Calibri" w:cs="Calibri" w:eastAsia="Calibri" w:hAnsi="Calibri"/>
            <w:sz w:val="16"/>
            <w:szCs w:val="16"/>
            <w:u w:val="single" w:color="auto"/>
            <w:color w:val="0000FF"/>
          </w:rPr>
          <w:t>https://www.biorxiv.org/content/10.1101/2020.01.25.919787v1.full.pdf</w:t>
        </w:r>
      </w:hyperlink>
    </w:p>
    <w:p>
      <w:pPr>
        <w:spacing w:after="0" w:line="39" w:lineRule="exact"/>
        <w:rPr>
          <w:rFonts w:ascii="Calibri" w:cs="Calibri" w:eastAsia="Calibri" w:hAnsi="Calibri"/>
          <w:sz w:val="16"/>
          <w:szCs w:val="16"/>
          <w:u w:val="single" w:color="auto"/>
          <w:color w:val="0000FF"/>
        </w:rPr>
      </w:pPr>
    </w:p>
    <w:p>
      <w:pPr>
        <w:ind w:right="220"/>
        <w:spacing w:after="0" w:line="192" w:lineRule="auto"/>
        <w:tabs>
          <w:tab w:leader="none" w:pos="86" w:val="left"/>
        </w:tabs>
        <w:numPr>
          <w:ilvl w:val="0"/>
          <w:numId w:val="11"/>
        </w:numPr>
        <w:rPr>
          <w:rFonts w:ascii="Calibri" w:cs="Calibri" w:eastAsia="Calibri" w:hAnsi="Calibri"/>
          <w:sz w:val="20"/>
          <w:szCs w:val="20"/>
          <w:color w:val="auto"/>
          <w:vertAlign w:val="superscript"/>
        </w:rPr>
      </w:pPr>
      <w:r>
        <w:rPr>
          <w:rFonts w:ascii="Calibri" w:cs="Calibri" w:eastAsia="Calibri" w:hAnsi="Calibri"/>
          <w:sz w:val="16"/>
          <w:szCs w:val="16"/>
          <w:color w:val="auto"/>
        </w:rPr>
        <w:t>Backer J, Klinkenberg D, Wallinga J, Incubation period of 2019 novel coronavirus (2019-nCov) infections among travellers from Wuhan, China, 20-28 January. Eurosurveillance 25(5), 2020</w:t>
      </w:r>
    </w:p>
    <w:p>
      <w:pPr>
        <w:spacing w:after="0" w:line="39" w:lineRule="exact"/>
        <w:rPr>
          <w:rFonts w:ascii="Calibri" w:cs="Calibri" w:eastAsia="Calibri" w:hAnsi="Calibri"/>
          <w:sz w:val="20"/>
          <w:szCs w:val="20"/>
          <w:color w:val="auto"/>
          <w:vertAlign w:val="superscript"/>
        </w:rPr>
      </w:pPr>
    </w:p>
    <w:p>
      <w:pPr>
        <w:ind w:right="2080"/>
        <w:spacing w:after="0" w:line="192" w:lineRule="auto"/>
        <w:tabs>
          <w:tab w:leader="none" w:pos="86" w:val="left"/>
        </w:tabs>
        <w:numPr>
          <w:ilvl w:val="0"/>
          <w:numId w:val="11"/>
        </w:numPr>
        <w:rPr>
          <w:rFonts w:ascii="Calibri" w:cs="Calibri" w:eastAsia="Calibri" w:hAnsi="Calibri"/>
          <w:sz w:val="16"/>
          <w:szCs w:val="16"/>
          <w:u w:val="single" w:color="auto"/>
          <w:color w:val="0000FF"/>
        </w:rPr>
      </w:pPr>
      <w:r>
        <w:rPr>
          <w:rFonts w:ascii="Calibri" w:cs="Calibri" w:eastAsia="Calibri" w:hAnsi="Calibri"/>
          <w:sz w:val="16"/>
          <w:szCs w:val="16"/>
          <w:color w:val="auto"/>
        </w:rPr>
        <w:t xml:space="preserve">Linton N et al, Epidemiological characteristics of novel coronavirus infection: A statistical analysis of publicly available case data, </w:t>
      </w:r>
      <w:hyperlink r:id="rId33">
        <w:r>
          <w:rPr>
            <w:rFonts w:ascii="Calibri" w:cs="Calibri" w:eastAsia="Calibri" w:hAnsi="Calibri"/>
            <w:sz w:val="16"/>
            <w:szCs w:val="16"/>
            <w:u w:val="single" w:color="auto"/>
            <w:color w:val="0000FF"/>
          </w:rPr>
          <w:t>https://www.medrxiv.org/content/10.1101/2020.01.26.20018754v1</w:t>
        </w:r>
      </w:hyperlink>
    </w:p>
    <w:p>
      <w:pPr>
        <w:spacing w:after="0" w:line="38" w:lineRule="exact"/>
        <w:rPr>
          <w:rFonts w:ascii="Calibri" w:cs="Calibri" w:eastAsia="Calibri" w:hAnsi="Calibri"/>
          <w:sz w:val="16"/>
          <w:szCs w:val="16"/>
          <w:u w:val="single" w:color="auto"/>
          <w:color w:val="0000FF"/>
        </w:rPr>
      </w:pPr>
    </w:p>
    <w:p>
      <w:pPr>
        <w:ind w:right="100"/>
        <w:spacing w:after="0" w:line="192" w:lineRule="auto"/>
        <w:tabs>
          <w:tab w:leader="none" w:pos="86" w:val="left"/>
        </w:tabs>
        <w:numPr>
          <w:ilvl w:val="0"/>
          <w:numId w:val="11"/>
        </w:numPr>
        <w:rPr>
          <w:rFonts w:ascii="Calibri" w:cs="Calibri" w:eastAsia="Calibri" w:hAnsi="Calibri"/>
          <w:sz w:val="20"/>
          <w:szCs w:val="20"/>
          <w:color w:val="auto"/>
          <w:vertAlign w:val="superscript"/>
        </w:rPr>
      </w:pPr>
      <w:r>
        <w:rPr>
          <w:rFonts w:ascii="Calibri" w:cs="Calibri" w:eastAsia="Calibri" w:hAnsi="Calibri"/>
          <w:sz w:val="16"/>
          <w:szCs w:val="16"/>
          <w:color w:val="auto"/>
        </w:rPr>
        <w:t>Li Q, Guan X, Wu P, Wang X, Zhou L, Tong Y, et al. Early Transmission Dynamics in Wuhan, China, of Novel Coronavirus–Infected Pneumonia, NEJM January 29, 2020</w:t>
      </w:r>
    </w:p>
    <w:p>
      <w:pPr>
        <w:spacing w:after="0" w:line="1" w:lineRule="exact"/>
        <w:rPr>
          <w:rFonts w:ascii="Calibri" w:cs="Calibri" w:eastAsia="Calibri" w:hAnsi="Calibri"/>
          <w:sz w:val="20"/>
          <w:szCs w:val="20"/>
          <w:color w:val="auto"/>
          <w:vertAlign w:val="superscript"/>
        </w:rPr>
      </w:pPr>
    </w:p>
    <w:p>
      <w:pPr>
        <w:ind w:left="80" w:hanging="80"/>
        <w:spacing w:after="0" w:line="192" w:lineRule="auto"/>
        <w:tabs>
          <w:tab w:leader="none" w:pos="80" w:val="left"/>
        </w:tabs>
        <w:numPr>
          <w:ilvl w:val="0"/>
          <w:numId w:val="11"/>
        </w:numPr>
        <w:rPr>
          <w:rFonts w:ascii="Calibri" w:cs="Calibri" w:eastAsia="Calibri" w:hAnsi="Calibri"/>
          <w:sz w:val="20"/>
          <w:szCs w:val="20"/>
          <w:color w:val="auto"/>
          <w:vertAlign w:val="superscript"/>
        </w:rPr>
      </w:pPr>
      <w:r>
        <w:rPr>
          <w:rFonts w:ascii="Calibri" w:cs="Calibri" w:eastAsia="Calibri" w:hAnsi="Calibri"/>
          <w:sz w:val="16"/>
          <w:szCs w:val="16"/>
          <w:color w:val="auto"/>
        </w:rPr>
        <w:t>Guan WJ, Ni ZY, Hu Y, Liang WH, Ou CQ, He JX, et al. Clinical characteristics of 2019 novel coronavirus infection in</w:t>
      </w:r>
    </w:p>
    <w:p>
      <w:pPr>
        <w:spacing w:after="0" w:line="233" w:lineRule="exact"/>
        <w:rPr>
          <w:rFonts w:ascii="Calibri" w:cs="Calibri" w:eastAsia="Calibri" w:hAnsi="Calibri"/>
          <w:sz w:val="20"/>
          <w:szCs w:val="20"/>
          <w:color w:val="auto"/>
          <w:vertAlign w:val="superscript"/>
        </w:rPr>
      </w:pPr>
    </w:p>
    <w:p>
      <w:pPr>
        <w:ind w:right="500"/>
        <w:spacing w:after="0" w:line="192" w:lineRule="auto"/>
        <w:tabs>
          <w:tab w:leader="none" w:pos="86" w:val="left"/>
        </w:tabs>
        <w:numPr>
          <w:ilvl w:val="0"/>
          <w:numId w:val="12"/>
        </w:numPr>
        <w:rPr>
          <w:rFonts w:ascii="Calibri" w:cs="Calibri" w:eastAsia="Calibri" w:hAnsi="Calibri"/>
          <w:sz w:val="16"/>
          <w:szCs w:val="16"/>
          <w:color w:val="auto"/>
        </w:rPr>
      </w:pPr>
      <w:r>
        <w:rPr>
          <w:rFonts w:ascii="Calibri" w:cs="Calibri" w:eastAsia="Calibri" w:hAnsi="Calibri"/>
          <w:sz w:val="16"/>
          <w:szCs w:val="16"/>
          <w:color w:val="auto"/>
        </w:rPr>
        <w:t xml:space="preserve">Lauer S, Grantz K, Bi Q, Jones F, Zheng Q, Meredith H, et al. The incubation period of 2019-nCoV from publicly reported confirmed cases: estimation and application. </w:t>
      </w:r>
      <w:hyperlink r:id="rId34">
        <w:r>
          <w:rPr>
            <w:rFonts w:ascii="Calibri" w:cs="Calibri" w:eastAsia="Calibri" w:hAnsi="Calibri"/>
            <w:sz w:val="16"/>
            <w:szCs w:val="16"/>
            <w:u w:val="single" w:color="auto"/>
            <w:color w:val="0000FF"/>
          </w:rPr>
          <w:t>https://www.medrxiv.org/content/10.1101/2020.02.02.20020016v1.full.pdf</w:t>
        </w:r>
      </w:hyperlink>
    </w:p>
    <w:p>
      <w:pPr>
        <w:spacing w:after="0" w:line="39" w:lineRule="exact"/>
        <w:rPr>
          <w:rFonts w:ascii="Calibri" w:cs="Calibri" w:eastAsia="Calibri" w:hAnsi="Calibri"/>
          <w:sz w:val="16"/>
          <w:szCs w:val="16"/>
          <w:color w:val="auto"/>
        </w:rPr>
      </w:pPr>
    </w:p>
    <w:p>
      <w:pPr>
        <w:ind w:right="1140"/>
        <w:spacing w:after="0" w:line="192" w:lineRule="auto"/>
        <w:tabs>
          <w:tab w:leader="none" w:pos="86" w:val="left"/>
        </w:tabs>
        <w:numPr>
          <w:ilvl w:val="0"/>
          <w:numId w:val="12"/>
        </w:numPr>
        <w:rPr>
          <w:rFonts w:ascii="Calibri" w:cs="Calibri" w:eastAsia="Calibri" w:hAnsi="Calibri"/>
          <w:sz w:val="16"/>
          <w:szCs w:val="16"/>
          <w:u w:val="single" w:color="auto"/>
          <w:color w:val="0000FF"/>
        </w:rPr>
      </w:pPr>
      <w:r>
        <w:rPr>
          <w:rFonts w:ascii="Calibri" w:cs="Calibri" w:eastAsia="Calibri" w:hAnsi="Calibri"/>
          <w:sz w:val="16"/>
          <w:szCs w:val="16"/>
          <w:color w:val="auto"/>
        </w:rPr>
        <w:t xml:space="preserve">Yang Y, Lu QB, Liu MJ, Wang YX, Zhang AR, Jalali N, et al. Epidemiological and clinical features of the 2019 novel coronavirus outbreak in China. </w:t>
      </w:r>
      <w:hyperlink r:id="rId35">
        <w:r>
          <w:rPr>
            <w:rFonts w:ascii="Calibri" w:cs="Calibri" w:eastAsia="Calibri" w:hAnsi="Calibri"/>
            <w:sz w:val="16"/>
            <w:szCs w:val="16"/>
            <w:u w:val="single" w:color="auto"/>
            <w:color w:val="0000FF"/>
          </w:rPr>
          <w:t>https://www.medrxiv.org/content/10.1101/2020.02.10.20021675v1.full.pdf</w:t>
        </w:r>
      </w:hyperlink>
    </w:p>
    <w:p>
      <w:pPr>
        <w:spacing w:after="0" w:line="38" w:lineRule="exact"/>
        <w:rPr>
          <w:rFonts w:ascii="Calibri" w:cs="Calibri" w:eastAsia="Calibri" w:hAnsi="Calibri"/>
          <w:sz w:val="16"/>
          <w:szCs w:val="16"/>
          <w:u w:val="single" w:color="auto"/>
          <w:color w:val="0000FF"/>
        </w:rPr>
      </w:pPr>
    </w:p>
    <w:p>
      <w:pPr>
        <w:ind w:right="1600"/>
        <w:spacing w:after="0" w:line="192" w:lineRule="auto"/>
        <w:tabs>
          <w:tab w:leader="none" w:pos="86" w:val="left"/>
        </w:tabs>
        <w:numPr>
          <w:ilvl w:val="0"/>
          <w:numId w:val="12"/>
        </w:numPr>
        <w:rPr>
          <w:rFonts w:ascii="Calibri" w:cs="Calibri" w:eastAsia="Calibri" w:hAnsi="Calibri"/>
          <w:sz w:val="16"/>
          <w:szCs w:val="16"/>
          <w:u w:val="single" w:color="auto"/>
          <w:color w:val="0000FF"/>
        </w:rPr>
      </w:pPr>
      <w:r>
        <w:rPr>
          <w:rFonts w:ascii="Calibri" w:cs="Calibri" w:eastAsia="Calibri" w:hAnsi="Calibri"/>
          <w:sz w:val="16"/>
          <w:szCs w:val="16"/>
          <w:color w:val="auto"/>
        </w:rPr>
        <w:t xml:space="preserve">You C, Deng Y, Hu W, Sun J, Lin Q, Zhou F, et al. Estimation of the Time-Varying Reproduction Number of 2019-nCoV Outbreak in China, </w:t>
      </w:r>
      <w:hyperlink r:id="rId36">
        <w:r>
          <w:rPr>
            <w:rFonts w:ascii="Calibri" w:cs="Calibri" w:eastAsia="Calibri" w:hAnsi="Calibri"/>
            <w:sz w:val="16"/>
            <w:szCs w:val="16"/>
            <w:u w:val="single" w:color="auto"/>
            <w:color w:val="0000FF"/>
          </w:rPr>
          <w:t>https://www.medrxiv.org/content/10.1101/2020.02.08.20021253v1</w:t>
        </w:r>
      </w:hyperlink>
    </w:p>
    <w:p>
      <w:pPr>
        <w:spacing w:after="0" w:line="39" w:lineRule="exact"/>
        <w:rPr>
          <w:rFonts w:ascii="Calibri" w:cs="Calibri" w:eastAsia="Calibri" w:hAnsi="Calibri"/>
          <w:sz w:val="16"/>
          <w:szCs w:val="16"/>
          <w:u w:val="single" w:color="auto"/>
          <w:color w:val="0000FF"/>
        </w:rPr>
      </w:pPr>
    </w:p>
    <w:p>
      <w:pPr>
        <w:ind w:right="260"/>
        <w:spacing w:after="0" w:line="192" w:lineRule="auto"/>
        <w:tabs>
          <w:tab w:leader="none" w:pos="73" w:val="left"/>
        </w:tabs>
        <w:numPr>
          <w:ilvl w:val="0"/>
          <w:numId w:val="12"/>
        </w:numPr>
        <w:rPr>
          <w:rFonts w:ascii="Calibri" w:cs="Calibri" w:eastAsia="Calibri" w:hAnsi="Calibri"/>
          <w:sz w:val="20"/>
          <w:szCs w:val="20"/>
          <w:color w:val="auto"/>
          <w:vertAlign w:val="superscript"/>
        </w:rPr>
      </w:pPr>
      <w:r>
        <w:rPr>
          <w:rFonts w:ascii="Calibri" w:cs="Calibri" w:eastAsia="Calibri" w:hAnsi="Calibri"/>
          <w:sz w:val="16"/>
          <w:szCs w:val="16"/>
          <w:color w:val="auto"/>
        </w:rPr>
        <w:t>The Novel Coronavirus Pneumonia Emergency Response Epidemiology Team, The Epidemiological Characteristics of an Outbreak of 2019 Novel Coronavirus Diseases (COVID-19) — China, 2020, CCDC Weekly / Vol. 2 / No. x</w:t>
      </w:r>
    </w:p>
    <w:p>
      <w:pPr>
        <w:spacing w:after="0" w:line="38" w:lineRule="exact"/>
        <w:rPr>
          <w:rFonts w:ascii="Calibri" w:cs="Calibri" w:eastAsia="Calibri" w:hAnsi="Calibri"/>
          <w:sz w:val="20"/>
          <w:szCs w:val="20"/>
          <w:color w:val="auto"/>
          <w:vertAlign w:val="superscript"/>
        </w:rPr>
      </w:pPr>
    </w:p>
    <w:p>
      <w:pPr>
        <w:ind w:right="180"/>
        <w:spacing w:after="0" w:line="217" w:lineRule="auto"/>
        <w:tabs>
          <w:tab w:leader="none" w:pos="124" w:val="left"/>
        </w:tabs>
        <w:numPr>
          <w:ilvl w:val="0"/>
          <w:numId w:val="12"/>
        </w:numPr>
        <w:rPr>
          <w:rFonts w:ascii="Calibri" w:cs="Calibri" w:eastAsia="Calibri" w:hAnsi="Calibri"/>
          <w:sz w:val="18"/>
          <w:szCs w:val="18"/>
          <w:color w:val="auto"/>
          <w:vertAlign w:val="superscript"/>
        </w:rPr>
      </w:pPr>
      <w:r>
        <w:rPr>
          <w:rFonts w:ascii="Calibri" w:cs="Calibri" w:eastAsia="Calibri" w:hAnsi="Calibri"/>
          <w:sz w:val="14"/>
          <w:szCs w:val="14"/>
          <w:color w:val="auto"/>
        </w:rPr>
        <w:t xml:space="preserve">Jung S, Akhmetzhanov A, Hayashi K , Linton N, Yang Y , Yuan B, et al. Real-Time Estimation of the Risk of Death from Novel Coronavirus (COVID-19) Infection: Inference Using Exported Cases, </w:t>
      </w:r>
      <w:r>
        <w:rPr>
          <w:rFonts w:ascii="Calibri" w:cs="Calibri" w:eastAsia="Calibri" w:hAnsi="Calibri"/>
          <w:sz w:val="14"/>
          <w:szCs w:val="14"/>
          <w:i w:val="1"/>
          <w:iCs w:val="1"/>
          <w:color w:val="auto"/>
        </w:rPr>
        <w:t>J. Clin. Med.</w:t>
      </w:r>
      <w:r>
        <w:rPr>
          <w:rFonts w:ascii="Calibri" w:cs="Calibri" w:eastAsia="Calibri" w:hAnsi="Calibri"/>
          <w:sz w:val="14"/>
          <w:szCs w:val="14"/>
          <w:color w:val="auto"/>
        </w:rPr>
        <w:t xml:space="preserve"> </w:t>
      </w:r>
      <w:r>
        <w:rPr>
          <w:rFonts w:ascii="Calibri" w:cs="Calibri" w:eastAsia="Calibri" w:hAnsi="Calibri"/>
          <w:sz w:val="14"/>
          <w:szCs w:val="14"/>
          <w:b w:val="1"/>
          <w:bCs w:val="1"/>
          <w:color w:val="auto"/>
        </w:rPr>
        <w:t>2020</w:t>
      </w:r>
      <w:r>
        <w:rPr>
          <w:rFonts w:ascii="Calibri" w:cs="Calibri" w:eastAsia="Calibri" w:hAnsi="Calibri"/>
          <w:sz w:val="14"/>
          <w:szCs w:val="14"/>
          <w:color w:val="auto"/>
        </w:rPr>
        <w:t xml:space="preserve">, </w:t>
      </w:r>
      <w:r>
        <w:rPr>
          <w:rFonts w:ascii="Calibri" w:cs="Calibri" w:eastAsia="Calibri" w:hAnsi="Calibri"/>
          <w:sz w:val="14"/>
          <w:szCs w:val="14"/>
          <w:i w:val="1"/>
          <w:iCs w:val="1"/>
          <w:color w:val="auto"/>
        </w:rPr>
        <w:t>9</w:t>
      </w:r>
      <w:r>
        <w:rPr>
          <w:rFonts w:ascii="Calibri" w:cs="Calibri" w:eastAsia="Calibri" w:hAnsi="Calibri"/>
          <w:sz w:val="14"/>
          <w:szCs w:val="14"/>
          <w:color w:val="auto"/>
        </w:rPr>
        <w:t>(2), 523</w:t>
      </w:r>
    </w:p>
    <w:p>
      <w:pPr>
        <w:spacing w:after="0" w:line="38" w:lineRule="exact"/>
        <w:rPr>
          <w:rFonts w:ascii="Calibri" w:cs="Calibri" w:eastAsia="Calibri" w:hAnsi="Calibri"/>
          <w:sz w:val="18"/>
          <w:szCs w:val="18"/>
          <w:color w:val="auto"/>
          <w:vertAlign w:val="superscript"/>
        </w:rPr>
      </w:pPr>
    </w:p>
    <w:p>
      <w:pPr>
        <w:ind w:right="280"/>
        <w:spacing w:after="0" w:line="192" w:lineRule="auto"/>
        <w:tabs>
          <w:tab w:leader="none" w:pos="137" w:val="left"/>
        </w:tabs>
        <w:numPr>
          <w:ilvl w:val="0"/>
          <w:numId w:val="12"/>
        </w:numPr>
        <w:rPr>
          <w:rFonts w:ascii="Calibri" w:cs="Calibri" w:eastAsia="Calibri" w:hAnsi="Calibri"/>
          <w:sz w:val="16"/>
          <w:szCs w:val="16"/>
          <w:u w:val="single" w:color="auto"/>
          <w:color w:val="0000FF"/>
        </w:rPr>
      </w:pPr>
      <w:r>
        <w:rPr>
          <w:rFonts w:ascii="Calibri" w:cs="Calibri" w:eastAsia="Calibri" w:hAnsi="Calibri"/>
          <w:sz w:val="16"/>
          <w:szCs w:val="16"/>
          <w:color w:val="auto"/>
        </w:rPr>
        <w:t xml:space="preserve">Dorigatti I, Okell L, Cori A, Imai N, Baguelin M, Bhatia S, et al. Report 4: Severity of 2019-novel coronavirus (nCoV), </w:t>
      </w:r>
      <w:hyperlink r:id="rId37">
        <w:r>
          <w:rPr>
            <w:rFonts w:ascii="Calibri" w:cs="Calibri" w:eastAsia="Calibri" w:hAnsi="Calibri"/>
            <w:sz w:val="16"/>
            <w:szCs w:val="16"/>
            <w:u w:val="single" w:color="auto"/>
            <w:color w:val="0000FF"/>
          </w:rPr>
          <w:t>https://www.imperial.ac.uk/mrc-global-</w:t>
        </w:r>
      </w:hyperlink>
      <w:hyperlink r:id="rId37">
        <w:r>
          <w:rPr>
            <w:rFonts w:ascii="Calibri" w:cs="Calibri" w:eastAsia="Calibri" w:hAnsi="Calibri"/>
            <w:sz w:val="16"/>
            <w:szCs w:val="16"/>
            <w:u w:val="single" w:color="auto"/>
            <w:color w:val="0000FF"/>
          </w:rPr>
          <w:t>infectious-disease-analysis/news--wuhan-coronavirus/</w:t>
        </w:r>
      </w:hyperlink>
    </w:p>
    <w:p>
      <w:pPr>
        <w:spacing w:after="0" w:line="38" w:lineRule="exact"/>
        <w:rPr>
          <w:rFonts w:ascii="Calibri" w:cs="Calibri" w:eastAsia="Calibri" w:hAnsi="Calibri"/>
          <w:sz w:val="16"/>
          <w:szCs w:val="16"/>
          <w:u w:val="single" w:color="auto"/>
          <w:color w:val="0000FF"/>
        </w:rPr>
      </w:pPr>
    </w:p>
    <w:p>
      <w:pPr>
        <w:ind w:right="680"/>
        <w:spacing w:after="0" w:line="207" w:lineRule="auto"/>
        <w:tabs>
          <w:tab w:leader="none" w:pos="137" w:val="left"/>
        </w:tabs>
        <w:numPr>
          <w:ilvl w:val="0"/>
          <w:numId w:val="12"/>
        </w:numPr>
        <w:rPr>
          <w:rFonts w:ascii="Calibri" w:cs="Calibri" w:eastAsia="Calibri" w:hAnsi="Calibri"/>
          <w:sz w:val="16"/>
          <w:szCs w:val="16"/>
          <w:u w:val="single" w:color="auto"/>
          <w:color w:val="0000FF"/>
        </w:rPr>
      </w:pPr>
      <w:r>
        <w:rPr>
          <w:rFonts w:ascii="Calibri" w:cs="Calibri" w:eastAsia="Calibri" w:hAnsi="Calibri"/>
          <w:sz w:val="16"/>
          <w:szCs w:val="16"/>
          <w:color w:val="auto"/>
        </w:rPr>
        <w:t xml:space="preserve">Famulare M. 2019-nCoV: preliminary estimates of the confirmed-case-fatality-ratio and infection-fatality-ratio, and initial pandemic risk assessment, </w:t>
      </w:r>
      <w:hyperlink r:id="rId38">
        <w:r>
          <w:rPr>
            <w:rFonts w:ascii="Calibri" w:cs="Calibri" w:eastAsia="Calibri" w:hAnsi="Calibri"/>
            <w:sz w:val="16"/>
            <w:szCs w:val="16"/>
            <w:u w:val="single" w:color="auto"/>
            <w:color w:val="0000FF"/>
          </w:rPr>
          <w:t>https://institutefordiseasemodeling.github.io/nCoV-public/analyses/first_adjusted_mortality_estimates_and_risk_assessment/2019-nCoV-</w:t>
        </w:r>
      </w:hyperlink>
      <w:hyperlink r:id="rId38">
        <w:r>
          <w:rPr>
            <w:rFonts w:ascii="Calibri" w:cs="Calibri" w:eastAsia="Calibri" w:hAnsi="Calibri"/>
            <w:sz w:val="16"/>
            <w:szCs w:val="16"/>
            <w:u w:val="single" w:color="auto"/>
            <w:color w:val="0000FF"/>
          </w:rPr>
          <w:t>preliminary_age_and_time_adjusted_mortality_rates_and_pandemic_risk_assessment.html</w:t>
        </w:r>
      </w:hyperlink>
    </w:p>
    <w:p>
      <w:pPr>
        <w:spacing w:after="0" w:line="38" w:lineRule="exact"/>
        <w:rPr>
          <w:rFonts w:ascii="Calibri" w:cs="Calibri" w:eastAsia="Calibri" w:hAnsi="Calibri"/>
          <w:sz w:val="16"/>
          <w:szCs w:val="16"/>
          <w:u w:val="single" w:color="auto"/>
          <w:color w:val="0000FF"/>
        </w:rPr>
      </w:pPr>
    </w:p>
    <w:p>
      <w:pPr>
        <w:ind w:right="60"/>
        <w:spacing w:after="0" w:line="192" w:lineRule="auto"/>
        <w:tabs>
          <w:tab w:leader="none" w:pos="137" w:val="left"/>
        </w:tabs>
        <w:numPr>
          <w:ilvl w:val="0"/>
          <w:numId w:val="12"/>
        </w:numPr>
        <w:rPr>
          <w:rFonts w:ascii="Calibri" w:cs="Calibri" w:eastAsia="Calibri" w:hAnsi="Calibri"/>
          <w:sz w:val="16"/>
          <w:szCs w:val="16"/>
          <w:color w:val="auto"/>
        </w:rPr>
      </w:pPr>
      <w:r>
        <w:rPr>
          <w:rFonts w:ascii="Calibri" w:cs="Calibri" w:eastAsia="Calibri" w:hAnsi="Calibri"/>
          <w:sz w:val="16"/>
          <w:szCs w:val="16"/>
          <w:color w:val="auto"/>
        </w:rPr>
        <w:t xml:space="preserve">Chinazzi M, Davis J, Ajelli M, Gioannini C, Litvinova M, Merler S, et al. The effect of travel restrictions on the spread of the 2019 novel coronavirus (2019-nCoV) outbreak; </w:t>
      </w:r>
      <w:hyperlink r:id="rId39">
        <w:r>
          <w:rPr>
            <w:rFonts w:ascii="Calibri" w:cs="Calibri" w:eastAsia="Calibri" w:hAnsi="Calibri"/>
            <w:sz w:val="16"/>
            <w:szCs w:val="16"/>
            <w:u w:val="single" w:color="auto"/>
            <w:color w:val="0000FF"/>
          </w:rPr>
          <w:t>https://www.medrxiv.org/content/10.1101/2020.02.09.20021261v1.full.pdf</w:t>
        </w:r>
      </w:hyperlink>
    </w:p>
    <w:p>
      <w:pPr>
        <w:spacing w:after="0" w:line="39" w:lineRule="exact"/>
        <w:rPr>
          <w:rFonts w:ascii="Calibri" w:cs="Calibri" w:eastAsia="Calibri" w:hAnsi="Calibri"/>
          <w:sz w:val="16"/>
          <w:szCs w:val="16"/>
          <w:color w:val="auto"/>
        </w:rPr>
      </w:pPr>
    </w:p>
    <w:p>
      <w:pPr>
        <w:ind w:right="580"/>
        <w:spacing w:after="0" w:line="192" w:lineRule="auto"/>
        <w:tabs>
          <w:tab w:leader="none" w:pos="137" w:val="left"/>
        </w:tabs>
        <w:numPr>
          <w:ilvl w:val="0"/>
          <w:numId w:val="12"/>
        </w:numPr>
        <w:rPr>
          <w:rFonts w:ascii="Calibri" w:cs="Calibri" w:eastAsia="Calibri" w:hAnsi="Calibri"/>
          <w:sz w:val="16"/>
          <w:szCs w:val="16"/>
          <w:color w:val="0000FF"/>
        </w:rPr>
      </w:pPr>
      <w:r>
        <w:rPr>
          <w:rFonts w:ascii="Calibri" w:cs="Calibri" w:eastAsia="Calibri" w:hAnsi="Calibri"/>
          <w:sz w:val="16"/>
          <w:szCs w:val="16"/>
          <w:color w:val="auto"/>
        </w:rPr>
        <w:t xml:space="preserve">Tian H; Li Y, Liu Y, Kraemer M, Chen B, Cai J, Li B, Early evaluation of Wuhan City travel restrictions in response to the 2019 novel coronavirus outbreak </w:t>
      </w:r>
      <w:hyperlink r:id="rId40">
        <w:r>
          <w:rPr>
            <w:rFonts w:ascii="Calibri" w:cs="Calibri" w:eastAsia="Calibri" w:hAnsi="Calibri"/>
            <w:sz w:val="16"/>
            <w:szCs w:val="16"/>
            <w:u w:val="single" w:color="auto"/>
            <w:color w:val="0000FF"/>
          </w:rPr>
          <w:t>https://www.medrxiv.org/content/10.1101/2020.01.30.20019844v3</w:t>
        </w:r>
        <w:r>
          <w:rPr>
            <w:rFonts w:ascii="Calibri" w:cs="Calibri" w:eastAsia="Calibri" w:hAnsi="Calibri"/>
            <w:sz w:val="16"/>
            <w:szCs w:val="16"/>
            <w:color w:val="0000FF"/>
          </w:rPr>
          <w:t xml:space="preserve"> </w:t>
        </w:r>
      </w:hyperlink>
      <w:r>
        <w:rPr>
          <w:rFonts w:ascii="Calibri" w:cs="Calibri" w:eastAsia="Calibri" w:hAnsi="Calibri"/>
          <w:sz w:val="16"/>
          <w:szCs w:val="16"/>
          <w:color w:val="000000"/>
        </w:rPr>
        <w:t>accessed</w:t>
      </w:r>
      <w:r>
        <w:rPr>
          <w:rFonts w:ascii="Calibri" w:cs="Calibri" w:eastAsia="Calibri" w:hAnsi="Calibri"/>
          <w:sz w:val="16"/>
          <w:szCs w:val="16"/>
          <w:color w:val="0000FF"/>
        </w:rPr>
        <w:t xml:space="preserve"> </w:t>
      </w:r>
      <w:r>
        <w:rPr>
          <w:rFonts w:ascii="Calibri" w:cs="Calibri" w:eastAsia="Calibri" w:hAnsi="Calibri"/>
          <w:sz w:val="16"/>
          <w:szCs w:val="16"/>
          <w:color w:val="000000"/>
        </w:rPr>
        <w:t>19 February 2020.</w:t>
      </w:r>
    </w:p>
    <w:p>
      <w:pPr>
        <w:spacing w:after="0" w:line="39" w:lineRule="exact"/>
        <w:rPr>
          <w:rFonts w:ascii="Calibri" w:cs="Calibri" w:eastAsia="Calibri" w:hAnsi="Calibri"/>
          <w:sz w:val="16"/>
          <w:szCs w:val="16"/>
          <w:color w:val="0000FF"/>
        </w:rPr>
      </w:pPr>
    </w:p>
    <w:p>
      <w:pPr>
        <w:ind w:right="200"/>
        <w:spacing w:after="0" w:line="192" w:lineRule="auto"/>
        <w:tabs>
          <w:tab w:leader="none" w:pos="137" w:val="left"/>
        </w:tabs>
        <w:numPr>
          <w:ilvl w:val="0"/>
          <w:numId w:val="12"/>
        </w:numPr>
        <w:rPr>
          <w:rFonts w:ascii="Calibri" w:cs="Calibri" w:eastAsia="Calibri" w:hAnsi="Calibri"/>
          <w:sz w:val="20"/>
          <w:szCs w:val="20"/>
          <w:color w:val="auto"/>
          <w:vertAlign w:val="superscript"/>
        </w:rPr>
      </w:pPr>
      <w:r>
        <w:rPr>
          <w:rFonts w:ascii="Calibri" w:cs="Calibri" w:eastAsia="Calibri" w:hAnsi="Calibri"/>
          <w:sz w:val="16"/>
          <w:szCs w:val="16"/>
          <w:color w:val="333333"/>
        </w:rPr>
        <w:t>Ryu S, Gao H, Wong J. Shiu E, Xiao J, Fong M, and Cowling B, Nonpharmaceutical Measures for Pandemic Influenza in Nonhealthcare Settings—International Travel-Related Measures, EID, Volume 6, number 5 – May 2020</w:t>
      </w:r>
    </w:p>
    <w:sectPr>
      <w:pgSz w:w="11920" w:h="16840" w:orient="portrait"/>
      <w:cols w:equalWidth="0" w:num="1">
        <w:col w:w="10460"/>
      </w:cols>
      <w:pgMar w:left="720" w:top="945" w:right="730" w:bottom="21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
      <w:numFmt w:val="bullet"/>
      <w:start w:val="1"/>
    </w:lvl>
  </w:abstractNum>
  <w:abstractNum w:abstractNumId="1">
    <w:nsid w:val="41B71EFB"/>
    <w:multiLevelType w:val="hybridMultilevel"/>
    <w:lvl w:ilvl="0">
      <w:lvlJc w:val="left"/>
      <w:lvlText w:val="%1"/>
      <w:numFmt w:val="lowerLetter"/>
      <w:start w:val="15"/>
    </w:lvl>
  </w:abstractNum>
  <w:abstractNum w:abstractNumId="2">
    <w:nsid w:val="79E2A9E3"/>
    <w:multiLevelType w:val="hybridMultilevel"/>
    <w:lvl w:ilvl="0">
      <w:lvlJc w:val="left"/>
      <w:lvlText w:val="%1"/>
      <w:numFmt w:val="lowerLetter"/>
      <w:start w:val="15"/>
    </w:lvl>
  </w:abstractNum>
  <w:abstractNum w:abstractNumId="3">
    <w:nsid w:val="7545E146"/>
    <w:multiLevelType w:val="hybridMultilevel"/>
    <w:lvl w:ilvl="0">
      <w:lvlJc w:val="left"/>
      <w:lvlText w:val="%1"/>
      <w:numFmt w:val="lowerLetter"/>
      <w:start w:val="15"/>
    </w:lvl>
  </w:abstractNum>
  <w:abstractNum w:abstractNumId="4">
    <w:nsid w:val="515F007C"/>
    <w:multiLevelType w:val="hybridMultilevel"/>
    <w:lvl w:ilvl="0">
      <w:lvlJc w:val="left"/>
      <w:lvlText w:val="%1"/>
      <w:numFmt w:val="decimal"/>
      <w:start w:val="25"/>
    </w:lvl>
  </w:abstractNum>
  <w:abstractNum w:abstractNumId="5">
    <w:nsid w:val="5BD062C2"/>
    <w:multiLevelType w:val="hybridMultilevel"/>
    <w:lvl w:ilvl="0">
      <w:lvlJc w:val="left"/>
      <w:lvlText w:val="•"/>
      <w:numFmt w:val="bullet"/>
      <w:start w:val="1"/>
    </w:lvl>
  </w:abstractNum>
  <w:abstractNum w:abstractNumId="6">
    <w:nsid w:val="12200854"/>
    <w:multiLevelType w:val="hybridMultilevel"/>
    <w:lvl w:ilvl="0">
      <w:lvlJc w:val="left"/>
      <w:lvlText w:val="•"/>
      <w:numFmt w:val="bullet"/>
      <w:start w:val="1"/>
    </w:lvl>
  </w:abstractNum>
  <w:abstractNum w:abstractNumId="7">
    <w:nsid w:val="4DB127F8"/>
    <w:multiLevelType w:val="hybridMultilevel"/>
    <w:lvl w:ilvl="0">
      <w:lvlJc w:val="left"/>
      <w:lvlText w:val="•"/>
      <w:numFmt w:val="bullet"/>
      <w:start w:val="1"/>
    </w:lvl>
  </w:abstractNum>
  <w:abstractNum w:abstractNumId="8">
    <w:nsid w:val="216231B"/>
    <w:multiLevelType w:val="hybridMultilevel"/>
    <w:lvl w:ilvl="0">
      <w:lvlJc w:val="left"/>
      <w:lvlText w:val="•"/>
      <w:numFmt w:val="bullet"/>
      <w:start w:val="1"/>
    </w:lvl>
  </w:abstractNum>
  <w:abstractNum w:abstractNumId="9">
    <w:nsid w:val="1F16E9E8"/>
    <w:multiLevelType w:val="hybridMultilevel"/>
    <w:lvl w:ilvl="0">
      <w:lvlJc w:val="left"/>
      <w:lvlText w:val="•"/>
      <w:numFmt w:val="bullet"/>
      <w:start w:val="1"/>
    </w:lvl>
  </w:abstractNum>
  <w:abstractNum w:abstractNumId="10">
    <w:nsid w:val="1190CDE7"/>
    <w:multiLevelType w:val="hybridMultilevel"/>
    <w:lvl w:ilvl="0">
      <w:lvlJc w:val="left"/>
      <w:lvlText w:val="%1"/>
      <w:numFmt w:val="decimal"/>
      <w:start w:val="1"/>
    </w:lvl>
  </w:abstractNum>
  <w:abstractNum w:abstractNumId="11">
    <w:nsid w:val="66EF438D"/>
    <w:multiLevelType w:val="hybridMultilevel"/>
    <w:lvl w:ilvl="0">
      <w:lvlJc w:val="left"/>
      <w:lvlText w:val="%1"/>
      <w:numFmt w:val="decimal"/>
      <w:start w:val="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5"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9" Type="http://schemas.openxmlformats.org/officeDocument/2006/relationships/hyperlink" Target="https://openwho.org/courses/introduction-to-ncov" TargetMode="External"/><Relationship Id="rId10" Type="http://schemas.openxmlformats.org/officeDocument/2006/relationships/hyperlink" Target="https://openwho.org/courses/introduction-au-ncov" TargetMode="External"/><Relationship Id="rId11" Type="http://schemas.openxmlformats.org/officeDocument/2006/relationships/hyperlink" Target="https://openwho.org/courses/introduction-to-ncov-ZH" TargetMode="External"/><Relationship Id="rId12" Type="http://schemas.openxmlformats.org/officeDocument/2006/relationships/hyperlink" Target="https://openwho.org/courses/introduccion-al-ncov" TargetMode="External"/><Relationship Id="rId13" Type="http://schemas.openxmlformats.org/officeDocument/2006/relationships/hyperlink" Target="https://openwho.org/courses/severe-acuterespiratory-infection" TargetMode="External"/><Relationship Id="rId14" Type="http://schemas.openxmlformats.org/officeDocument/2006/relationships/hyperlink" Target="https://openwho.org/courses/eprotect-acute-respiratory-infections" TargetMode="External"/><Relationship Id="rId16" Type="http://schemas.openxmlformats.org/officeDocument/2006/relationships/hyperlink" Target="https://www.who.int/emergencies/diseases/novel-coronavirus-2019/technical-guidance/early-investigations" TargetMode="External"/><Relationship Id="rId17" Type="http://schemas.openxmlformats.org/officeDocument/2006/relationships/hyperlink" Target="https://www.who.int/publications-detail/global-surveillance-for-human-infection-with-novel-coronavirus-(2019-ncov)" TargetMode="External"/><Relationship Id="rId20" Type="http://schemas.openxmlformats.org/officeDocument/2006/relationships/hyperlink" Target="https://www.who.int/emergencies/diseases/novel-coronavirus-2019/technical-guidance" TargetMode="External"/><Relationship Id="rId21" Type="http://schemas.openxmlformats.org/officeDocument/2006/relationships/hyperlink" Target="https://www.iata.org/en/programs/safety/health/diseases/#tab-2" TargetMode="External"/><Relationship Id="rId22" Type="http://schemas.openxmlformats.org/officeDocument/2006/relationships/hyperlink" Target="https://www.who.int/publications-detail/the-first-few-x-(ffx)-cases-and-contact-investigation-protocol-for-2019-novel-coronavirus-(2019-ncov)-infection" TargetMode="External"/><Relationship Id="rId23" Type="http://schemas.openxmlformats.org/officeDocument/2006/relationships/hyperlink" Target="https://www.who.int/emergencies/diseases/novel-coronavirus-2019/technical-guidance/laboratory-guidance" TargetMode="External"/><Relationship Id="rId24" Type="http://schemas.openxmlformats.org/officeDocument/2006/relationships/hyperlink" Target="https://www.who.int/publications-detail/advice-on-the-use-of-masks-in-the-community-during-home-care-and-in-healthcare-settings-in-the-context-of-the-novel-coronavirus-(2019-ncov)-outbreak" TargetMode="External"/><Relationship Id="rId25" Type="http://schemas.openxmlformats.org/officeDocument/2006/relationships/hyperlink" Target="https://www.who.int/publications-detail/clinical-management-of-severe-acute-respiratory-infection-when-novel-coronavirus-(ncov)-infection-is-suspected" TargetMode="External"/><Relationship Id="rId26" Type="http://schemas.openxmlformats.org/officeDocument/2006/relationships/hyperlink" Target="https://www.who.int/emergencies/diseases/novel-coronavirus-2019/technical-guidance/infection-prevention-and-control" TargetMode="External"/><Relationship Id="rId27" Type="http://schemas.openxmlformats.org/officeDocument/2006/relationships/hyperlink" Target="https://www.who.int/publications-detail/home-care-for-patients-with-suspected-novel-coronavirus-(ncov)-infection-presenting-with-mild-symptoms-and-management-of-contacts" TargetMode="External"/><Relationship Id="rId28" Type="http://schemas.openxmlformats.org/officeDocument/2006/relationships/hyperlink" Target="https://www.who.int/publications-detail/risk-communication-and-community-engagement-readiness-and-initial-response-for-novel-coronaviruses-(-ncov)" TargetMode="External"/><Relationship Id="rId29" Type="http://schemas.openxmlformats.org/officeDocument/2006/relationships/hyperlink" Target="https://www.who.int/publications-detail/disease-commodity-package---novel-coronavirus-(ncov)" TargetMode="External"/><Relationship Id="rId30" Type="http://schemas.openxmlformats.org/officeDocument/2006/relationships/hyperlink" Target="https://www.who.int/health-topics/coronavirus/who-recommendations-to-reduce-risk-of-transmission-of-emerging-pathogens-from-animals-to-humans-in-live-animal-markets" TargetMode="External"/><Relationship Id="rId31" Type="http://schemas.openxmlformats.org/officeDocument/2006/relationships/hyperlink" Target="https://www.who.int/ith/2019-nCoV_advice_for_international_traffic/en/" TargetMode="External"/><Relationship Id="rId32" Type="http://schemas.openxmlformats.org/officeDocument/2006/relationships/hyperlink" Target="https://www.biorxiv.org/content/10.1101/2020.01.25.919787v1.full.pdf" TargetMode="External"/><Relationship Id="rId33" Type="http://schemas.openxmlformats.org/officeDocument/2006/relationships/hyperlink" Target="https://www.medrxiv.org/content/10.1101/2020.01.26.20018754v1" TargetMode="External"/><Relationship Id="rId34" Type="http://schemas.openxmlformats.org/officeDocument/2006/relationships/hyperlink" Target="https://www.medrxiv.org/content/10.1101/2020.02.02.20020016v1.full.pdf" TargetMode="External"/><Relationship Id="rId35" Type="http://schemas.openxmlformats.org/officeDocument/2006/relationships/hyperlink" Target="https://www.medrxiv.org/content/10.1101/2020.02.10.20021675v1.full.pdf" TargetMode="External"/><Relationship Id="rId36" Type="http://schemas.openxmlformats.org/officeDocument/2006/relationships/hyperlink" Target="https://www.medrxiv.org/content/10.1101/2020.02.08.20021253v1" TargetMode="External"/><Relationship Id="rId37" Type="http://schemas.openxmlformats.org/officeDocument/2006/relationships/hyperlink" Target="https://www.imperial.ac.uk/mrc-global-infectious-disease-analysis/news--wuhan-coronavirus/" TargetMode="External"/><Relationship Id="rId38" Type="http://schemas.openxmlformats.org/officeDocument/2006/relationships/hyperlink" Target="https://institutefordiseasemodeling.github.io/nCoV-public/analyses/first_adjusted_mortality_estimates_and_risk_assessment/2019-nCoV-preliminary_age_and_time_adjusted_mortality_rates_and_pandemic_risk_assessment.html" TargetMode="External"/><Relationship Id="rId39" Type="http://schemas.openxmlformats.org/officeDocument/2006/relationships/hyperlink" Target="https://www.medrxiv.org/content/10.1101/2020.02.09.20021261v1.full.pdf" TargetMode="External"/><Relationship Id="rId40" Type="http://schemas.openxmlformats.org/officeDocument/2006/relationships/hyperlink" Target="https://www.medrxiv.org/content/10.1101/2020.01.30.20019844v3"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2020-03-10T16:46:17Z</dcterms:created>
  <dcterms:modified xsi:type="dcterms:W3CDTF">2020-03-10T16:46:17Z</dcterms:modified>
</cp:coreProperties>
</file>