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48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9525</wp:posOffset>
            </wp:positionV>
            <wp:extent cx="7560310" cy="127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76985"/>
                    </a:xfrm>
                    <a:prstGeom prst="rect">
                      <a:avLst/>
                    </a:prstGeom>
                    <a:noFill/>
                  </pic:spPr>
                </pic:pic>
              </a:graphicData>
            </a:graphic>
          </wp:anchor>
        </w:drawing>
        <w:t>Coronavirus disease 2019 (COVID-19)</w:t>
      </w:r>
    </w:p>
    <w:p>
      <w:pPr>
        <w:ind w:left="480"/>
        <w:spacing w:after="0" w:line="238" w:lineRule="auto"/>
        <w:rPr>
          <w:sz w:val="20"/>
          <w:szCs w:val="20"/>
          <w:color w:val="auto"/>
        </w:rPr>
      </w:pPr>
      <w:r>
        <w:rPr>
          <w:rFonts w:ascii="Arial" w:cs="Arial" w:eastAsia="Arial" w:hAnsi="Arial"/>
          <w:sz w:val="34"/>
          <w:szCs w:val="34"/>
          <w:b w:val="1"/>
          <w:bCs w:val="1"/>
          <w:color w:val="FFFFFF"/>
        </w:rPr>
        <w:t>Situation Report – 43</w:t>
      </w:r>
    </w:p>
    <w:p>
      <w:pPr>
        <w:spacing w:after="0" w:line="234" w:lineRule="exact"/>
        <w:rPr>
          <w:sz w:val="24"/>
          <w:szCs w:val="24"/>
          <w:color w:val="auto"/>
        </w:rPr>
      </w:pPr>
    </w:p>
    <w:p>
      <w:pPr>
        <w:ind w:left="540"/>
        <w:spacing w:after="0"/>
        <w:rPr>
          <w:sz w:val="20"/>
          <w:szCs w:val="20"/>
          <w:color w:val="auto"/>
        </w:rPr>
      </w:pPr>
      <w:r>
        <w:rPr>
          <w:rFonts w:ascii="Arial" w:cs="Arial" w:eastAsia="Arial" w:hAnsi="Arial"/>
          <w:sz w:val="16"/>
          <w:szCs w:val="16"/>
          <w:b w:val="1"/>
          <w:bCs w:val="1"/>
          <w:color w:val="FFFFFF"/>
        </w:rPr>
        <w:t>Data as reported by national authorities by 10AM CET 03 March 2020</w:t>
      </w:r>
    </w:p>
    <w:p>
      <w:pPr>
        <w:spacing w:after="0" w:line="356"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98" w:lineRule="exact"/>
        <w:rPr>
          <w:sz w:val="24"/>
          <w:szCs w:val="24"/>
          <w:color w:val="auto"/>
        </w:rPr>
      </w:pPr>
    </w:p>
    <w:p>
      <w:pPr>
        <w:ind w:left="720" w:hanging="351"/>
        <w:spacing w:after="0" w:line="236"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Eight new Member States (Andorra, Jordan, Latvia, Morocco, Portugal, Saudi Arabia, Senegal, and Tunisia) reported cases of COVID-19 in the past 24 hours.</w:t>
      </w:r>
    </w:p>
    <w:p>
      <w:pPr>
        <w:spacing w:after="0" w:line="299" w:lineRule="exact"/>
        <w:rPr>
          <w:rFonts w:ascii="Arial" w:cs="Arial" w:eastAsia="Arial" w:hAnsi="Arial"/>
          <w:sz w:val="22"/>
          <w:szCs w:val="22"/>
          <w:color w:val="auto"/>
        </w:rPr>
      </w:pPr>
    </w:p>
    <w:p>
      <w:pPr>
        <w:jc w:val="both"/>
        <w:ind w:left="720" w:hanging="351"/>
        <w:spacing w:after="0" w:line="264"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The increase of COVID-19 cases in the Eastern Mediterranean Region is of great concern. The WHO Regional Director of the Eastern Mediterranean region reiterated the need to enhance surveillance and response activities, and share critical information, as being essential to containing the outbreak and strengthening health systems. More information can be found </w:t>
      </w:r>
      <w:hyperlink r:id="rId9">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220" w:lineRule="exact"/>
        <w:rPr>
          <w:rFonts w:ascii="Calibri" w:cs="Calibri" w:eastAsia="Calibri" w:hAnsi="Calibri"/>
          <w:sz w:val="22"/>
          <w:szCs w:val="22"/>
          <w:color w:val="auto"/>
        </w:rPr>
      </w:pPr>
    </w:p>
    <w:p>
      <w:pPr>
        <w:jc w:val="both"/>
        <w:ind w:left="720" w:hanging="351"/>
        <w:spacing w:after="0" w:line="265"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The Pan American Health Organization (PAHO) is implementing a comprehensive plan to support country preparedness and containment efforts for COVID-19. Barbados was one of the first Caribbean countries to acquire test kits and reagents for COVID-19 detection, and receive training on how to use them. More information can be found </w:t>
      </w:r>
      <w:hyperlink r:id="rId10">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216" w:lineRule="exact"/>
        <w:rPr>
          <w:rFonts w:ascii="Calibri" w:cs="Calibri" w:eastAsia="Calibri" w:hAnsi="Calibri"/>
          <w:sz w:val="22"/>
          <w:szCs w:val="22"/>
          <w:color w:val="auto"/>
        </w:rPr>
      </w:pPr>
    </w:p>
    <w:p>
      <w:pPr>
        <w:jc w:val="both"/>
        <w:ind w:left="720" w:hanging="351"/>
        <w:spacing w:after="0" w:line="261" w:lineRule="auto"/>
        <w:tabs>
          <w:tab w:leader="none" w:pos="720"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 xml:space="preserve">Real-time training is critical for effective preparedness and response. WHO has several COVID-19 online resources for health professionals, decision-makers and the public in multiple languages. Please see the COVID-19 courses on OpenWHO </w:t>
      </w:r>
      <w:hyperlink r:id="rId11">
        <w:r>
          <w:rPr>
            <w:rFonts w:ascii="Calibri" w:cs="Calibri" w:eastAsia="Calibri" w:hAnsi="Calibri"/>
            <w:sz w:val="22"/>
            <w:szCs w:val="22"/>
            <w:u w:val="single" w:color="auto"/>
            <w:color w:val="0000FF"/>
          </w:rPr>
          <w:t>here</w:t>
        </w:r>
        <w:r>
          <w:rPr>
            <w:rFonts w:ascii="Calibri" w:cs="Calibri" w:eastAsia="Calibri" w:hAnsi="Calibri"/>
            <w:sz w:val="22"/>
            <w:szCs w:val="22"/>
            <w:color w:val="000000"/>
          </w:rPr>
          <w:t>.</w:t>
        </w:r>
      </w:hyperlink>
    </w:p>
    <w:p>
      <w:pPr>
        <w:spacing w:after="0" w:line="20" w:lineRule="exact"/>
        <w:rPr>
          <w:rFonts w:ascii="Arial" w:cs="Arial" w:eastAsia="Arial" w:hAnsi="Arial"/>
          <w:sz w:val="22"/>
          <w:szCs w:val="22"/>
          <w:color w:val="auto"/>
        </w:rPr>
      </w:pPr>
      <w:r>
        <w:rPr>
          <w:rFonts w:ascii="Arial" w:cs="Arial" w:eastAsia="Arial" w:hAnsi="Arial"/>
          <w:sz w:val="22"/>
          <w:szCs w:val="22"/>
          <w:color w:val="auto"/>
        </w:rPr>
        <w:br w:type="column"/>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50"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-93345</wp:posOffset>
                </wp:positionH>
                <wp:positionV relativeFrom="paragraph">
                  <wp:posOffset>-279400</wp:posOffset>
                </wp:positionV>
                <wp:extent cx="225552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5520" cy="4314190"/>
                        </a:xfrm>
                        <a:prstGeom prst="rect">
                          <a:avLst/>
                        </a:prstGeom>
                        <a:solidFill>
                          <a:srgbClr val="E9E6D7"/>
                        </a:solidFill>
                      </wps:spPr>
                      <wps:bodyPr/>
                    </wps:wsp>
                  </a:graphicData>
                </a:graphic>
              </wp:anchor>
            </w:drawing>
          </mc:Choice>
          <mc:Fallback>
            <w:pict>
              <v:rect id="Shape 2" o:spid="_x0000_s1027" style="position:absolute;margin-left:-7.3499pt;margin-top:-22pt;width:177.6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180"/>
        <w:spacing w:after="0" w:line="233"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5"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Globally</w:t>
      </w:r>
    </w:p>
    <w:p>
      <w:pPr>
        <w:ind w:left="100"/>
        <w:spacing w:after="0"/>
        <w:rPr>
          <w:sz w:val="20"/>
          <w:szCs w:val="20"/>
          <w:color w:val="auto"/>
        </w:rPr>
      </w:pPr>
      <w:r>
        <w:rPr>
          <w:rFonts w:ascii="Calibri" w:cs="Calibri" w:eastAsia="Calibri" w:hAnsi="Calibri"/>
          <w:sz w:val="24"/>
          <w:szCs w:val="24"/>
          <w:color w:val="FF6600"/>
        </w:rPr>
        <w:t>90 869 confirmed (1922 new)</w:t>
      </w:r>
    </w:p>
    <w:p>
      <w:pPr>
        <w:spacing w:after="0" w:line="295"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China</w:t>
      </w:r>
    </w:p>
    <w:p>
      <w:pPr>
        <w:ind w:left="100"/>
        <w:spacing w:after="0"/>
        <w:rPr>
          <w:sz w:val="20"/>
          <w:szCs w:val="20"/>
          <w:color w:val="auto"/>
        </w:rPr>
      </w:pPr>
      <w:r>
        <w:rPr>
          <w:rFonts w:ascii="Calibri" w:cs="Calibri" w:eastAsia="Calibri" w:hAnsi="Calibri"/>
          <w:sz w:val="24"/>
          <w:szCs w:val="24"/>
          <w:color w:val="FF6600"/>
        </w:rPr>
        <w:t>80 304 confirmed (130 new)</w:t>
      </w:r>
    </w:p>
    <w:p>
      <w:pPr>
        <w:ind w:left="220"/>
        <w:spacing w:after="0"/>
        <w:rPr>
          <w:sz w:val="20"/>
          <w:szCs w:val="20"/>
          <w:color w:val="auto"/>
        </w:rPr>
      </w:pPr>
      <w:r>
        <w:rPr>
          <w:rFonts w:ascii="Calibri" w:cs="Calibri" w:eastAsia="Calibri" w:hAnsi="Calibri"/>
          <w:sz w:val="24"/>
          <w:szCs w:val="24"/>
          <w:color w:val="FF6600"/>
        </w:rPr>
        <w:t>2946 deaths (31 new)</w:t>
      </w:r>
    </w:p>
    <w:p>
      <w:pPr>
        <w:spacing w:after="0" w:line="292"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Outside of China</w:t>
      </w:r>
    </w:p>
    <w:p>
      <w:pPr>
        <w:ind w:left="100"/>
        <w:spacing w:after="0"/>
        <w:rPr>
          <w:sz w:val="20"/>
          <w:szCs w:val="20"/>
          <w:color w:val="auto"/>
        </w:rPr>
      </w:pPr>
      <w:r>
        <w:rPr>
          <w:rFonts w:ascii="Calibri" w:cs="Calibri" w:eastAsia="Calibri" w:hAnsi="Calibri"/>
          <w:sz w:val="24"/>
          <w:szCs w:val="24"/>
          <w:color w:val="FF6600"/>
        </w:rPr>
        <w:t>10 565 confirmed (1792 new)</w:t>
      </w:r>
    </w:p>
    <w:p>
      <w:pPr>
        <w:ind w:left="220"/>
        <w:spacing w:after="0"/>
        <w:rPr>
          <w:sz w:val="20"/>
          <w:szCs w:val="20"/>
          <w:color w:val="auto"/>
        </w:rPr>
      </w:pPr>
      <w:r>
        <w:rPr>
          <w:rFonts w:ascii="Calibri" w:cs="Calibri" w:eastAsia="Calibri" w:hAnsi="Calibri"/>
          <w:sz w:val="24"/>
          <w:szCs w:val="24"/>
          <w:color w:val="FF6600"/>
        </w:rPr>
        <w:t>72 countries (8 new)</w:t>
      </w:r>
    </w:p>
    <w:p>
      <w:pPr>
        <w:ind w:left="320"/>
        <w:spacing w:after="0"/>
        <w:rPr>
          <w:sz w:val="20"/>
          <w:szCs w:val="20"/>
          <w:color w:val="auto"/>
        </w:rPr>
      </w:pPr>
      <w:r>
        <w:rPr>
          <w:rFonts w:ascii="Calibri" w:cs="Calibri" w:eastAsia="Calibri" w:hAnsi="Calibri"/>
          <w:sz w:val="24"/>
          <w:szCs w:val="24"/>
          <w:color w:val="FF6600"/>
        </w:rPr>
        <w:t>166 deaths (38 new)</w:t>
      </w:r>
    </w:p>
    <w:p>
      <w:pPr>
        <w:spacing w:after="0" w:line="292" w:lineRule="exact"/>
        <w:rPr>
          <w:rFonts w:ascii="Arial" w:cs="Arial" w:eastAsia="Arial" w:hAnsi="Arial"/>
          <w:sz w:val="22"/>
          <w:szCs w:val="22"/>
          <w:color w:val="auto"/>
        </w:rPr>
      </w:pPr>
    </w:p>
    <w:p>
      <w:pPr>
        <w:jc w:val="center"/>
        <w:ind w:right="36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Arial" w:cs="Arial" w:eastAsia="Arial" w:hAnsi="Arial"/>
          <w:sz w:val="22"/>
          <w:szCs w:val="22"/>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0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Very High</w:t>
      </w:r>
    </w:p>
    <w:p>
      <w:pPr>
        <w:spacing w:after="0" w:line="2" w:lineRule="exact"/>
        <w:rPr>
          <w:rFonts w:ascii="Arial" w:cs="Arial" w:eastAsia="Arial" w:hAnsi="Arial"/>
          <w:sz w:val="22"/>
          <w:szCs w:val="22"/>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Very High</w:t>
      </w:r>
    </w:p>
    <w:p>
      <w:pPr>
        <w:spacing w:after="0" w:line="200" w:lineRule="exact"/>
        <w:rPr>
          <w:rFonts w:ascii="Arial" w:cs="Arial" w:eastAsia="Arial" w:hAnsi="Arial"/>
          <w:sz w:val="22"/>
          <w:szCs w:val="22"/>
          <w:color w:val="auto"/>
        </w:rPr>
      </w:pPr>
    </w:p>
    <w:p>
      <w:pPr>
        <w:sectPr>
          <w:pgSz w:w="11920" w:h="16841" w:orient="portrait"/>
          <w:cols w:equalWidth="0" w:num="2">
            <w:col w:w="7920" w:space="400"/>
            <w:col w:w="2980"/>
          </w:cols>
          <w:pgMar w:left="80" w:top="596" w:right="531" w:bottom="1440"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97" w:lineRule="exact"/>
        <w:rPr>
          <w:rFonts w:ascii="Arial" w:cs="Arial" w:eastAsia="Arial" w:hAnsi="Arial"/>
          <w:sz w:val="22"/>
          <w:szCs w:val="22"/>
          <w:color w:val="auto"/>
        </w:rPr>
      </w:pPr>
    </w:p>
    <w:p>
      <w:pPr>
        <w:ind w:left="78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03 March 2020</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491490</wp:posOffset>
            </wp:positionH>
            <wp:positionV relativeFrom="paragraph">
              <wp:posOffset>224155</wp:posOffset>
            </wp:positionV>
            <wp:extent cx="6447790" cy="36302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6447790" cy="3630295"/>
                    </a:xfrm>
                    <a:prstGeom prst="rect">
                      <a:avLst/>
                    </a:prstGeom>
                    <a:noFill/>
                  </pic:spPr>
                </pic:pic>
              </a:graphicData>
            </a:graphic>
          </wp:anchor>
        </w:drawing>
      </w:r>
    </w:p>
    <w:p>
      <w:pPr>
        <w:sectPr>
          <w:pgSz w:w="11920" w:h="16841" w:orient="portrait"/>
          <w:cols w:equalWidth="0" w:num="1">
            <w:col w:w="11300"/>
          </w:cols>
          <w:pgMar w:left="80" w:top="596" w:right="531" w:bottom="1440" w:gutter="0" w:footer="0" w:header="0"/>
          <w:type w:val="continuous"/>
        </w:sectPr>
      </w:pPr>
    </w:p>
    <w:bookmarkStart w:id="1" w:name="page2"/>
    <w:bookmarkEnd w:id="1"/>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Data as of 03 March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58"/>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640" w:type="dxa"/>
            <w:vAlign w:val="bottom"/>
            <w:tcBorders>
              <w:top w:val="single" w:sz="8" w:color="auto"/>
              <w:right w:val="single" w:sz="8" w:color="5B9BD5"/>
            </w:tcBorders>
            <w:gridSpan w:val="4"/>
            <w:shd w:val="clear" w:color="auto" w:fill="5B9BD5"/>
          </w:tcPr>
          <w:p>
            <w:pPr>
              <w:ind w:left="40"/>
              <w:spacing w:after="0"/>
              <w:rPr>
                <w:sz w:val="20"/>
                <w:szCs w:val="20"/>
                <w:color w:val="auto"/>
              </w:rPr>
            </w:pPr>
            <w:r>
              <w:rPr>
                <w:rFonts w:ascii="Calibri" w:cs="Calibri" w:eastAsia="Calibri" w:hAnsi="Calibri"/>
                <w:sz w:val="22"/>
                <w:szCs w:val="22"/>
                <w:b w:val="1"/>
                <w:bCs w:val="1"/>
                <w:color w:val="FFFFFF"/>
              </w:rPr>
              <w:t>In last 24 hours</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00" w:type="dxa"/>
            <w:vAlign w:val="bottom"/>
            <w:tcBorders>
              <w:left w:val="single" w:sz="8" w:color="auto"/>
              <w:bottom w:val="single" w:sz="8" w:color="5B9BD5"/>
            </w:tcBorders>
            <w:shd w:val="clear" w:color="auto" w:fill="5B9BD5"/>
          </w:tcPr>
          <w:p>
            <w:pPr>
              <w:spacing w:after="0"/>
              <w:rPr>
                <w:sz w:val="13"/>
                <w:szCs w:val="13"/>
                <w:color w:val="auto"/>
              </w:rPr>
            </w:pPr>
          </w:p>
        </w:tc>
        <w:tc>
          <w:tcPr>
            <w:tcW w:w="176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2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00" w:type="dxa"/>
            <w:vAlign w:val="bottom"/>
            <w:tcBorders>
              <w:top w:val="single" w:sz="8" w:color="5B9BD5"/>
              <w:left w:val="single" w:sz="8" w:color="auto"/>
            </w:tcBorders>
            <w:shd w:val="clear" w:color="auto" w:fill="5B9BD5"/>
          </w:tcPr>
          <w:p>
            <w:pPr>
              <w:spacing w:after="0"/>
              <w:rPr>
                <w:sz w:val="7"/>
                <w:szCs w:val="7"/>
                <w:color w:val="auto"/>
              </w:rPr>
            </w:pPr>
          </w:p>
        </w:tc>
        <w:tc>
          <w:tcPr>
            <w:tcW w:w="1760" w:type="dxa"/>
            <w:vAlign w:val="bottom"/>
            <w:tcBorders>
              <w:top w:val="single" w:sz="8" w:color="5B9BD5"/>
            </w:tcBorders>
            <w:vMerge w:val="restart"/>
            <w:shd w:val="clear" w:color="auto" w:fill="5B9BD5"/>
          </w:tcPr>
          <w:p>
            <w:pPr>
              <w:jc w:val="center"/>
              <w:spacing w:after="0" w:line="219" w:lineRule="exact"/>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5B9BD5"/>
            </w:tcBorders>
            <w:shd w:val="clear" w:color="auto" w:fill="5B9BD5"/>
          </w:tcPr>
          <w:p>
            <w:pPr>
              <w:spacing w:after="0"/>
              <w:rPr>
                <w:sz w:val="7"/>
                <w:szCs w:val="7"/>
                <w:color w:val="auto"/>
              </w:rPr>
            </w:pPr>
          </w:p>
        </w:tc>
        <w:tc>
          <w:tcPr>
            <w:tcW w:w="102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0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0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100" w:type="dxa"/>
            <w:vAlign w:val="bottom"/>
            <w:tcBorders>
              <w:left w:val="single" w:sz="8" w:color="auto"/>
              <w:bottom w:val="single" w:sz="8" w:color="auto"/>
            </w:tcBorders>
            <w:shd w:val="clear" w:color="auto" w:fill="5B9BD5"/>
          </w:tcPr>
          <w:p>
            <w:pPr>
              <w:spacing w:after="0"/>
              <w:rPr>
                <w:sz w:val="8"/>
                <w:szCs w:val="8"/>
                <w:color w:val="auto"/>
              </w:rPr>
            </w:pPr>
          </w:p>
        </w:tc>
        <w:tc>
          <w:tcPr>
            <w:tcW w:w="17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114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67217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2834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11346</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1350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1272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5737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7</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1213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6324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990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935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10047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758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Chongqing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576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538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3773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480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414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338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3941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296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3864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245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168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Tianjin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17</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136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4359</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125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Hong Kong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101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Jilin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Xinjiang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Ningxia</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74</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42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603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344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130</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129</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31</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80304</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2946</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2" w:name="page3"/>
    <w:bookmarkEnd w:id="2"/>
    <w:p>
      <w:pPr>
        <w:ind w:right="300"/>
        <w:spacing w:after="0" w:line="19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03 March 2020</w:t>
      </w:r>
      <w:r>
        <w:rPr>
          <w:rFonts w:ascii="Calibri" w:cs="Calibri" w:eastAsia="Calibri" w:hAnsi="Calibri"/>
          <w:sz w:val="27"/>
          <w:szCs w:val="27"/>
          <w:b w:val="1"/>
          <w:bCs w:val="1"/>
          <w:color w:val="007AB0"/>
          <w:vertAlign w:val="superscript"/>
        </w:rPr>
        <w:t>^</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53"/>
        </w:trPr>
        <w:tc>
          <w:tcPr>
            <w:tcW w:w="120" w:type="dxa"/>
            <w:vAlign w:val="bottom"/>
            <w:tcBorders>
              <w:top w:val="single" w:sz="8" w:color="auto"/>
              <w:left w:val="single" w:sz="8" w:color="auto"/>
            </w:tcBorders>
            <w:shd w:val="clear" w:color="auto" w:fill="4F81BD"/>
          </w:tcPr>
          <w:p>
            <w:pPr>
              <w:spacing w:after="0"/>
              <w:rPr>
                <w:sz w:val="21"/>
                <w:szCs w:val="21"/>
                <w:color w:val="auto"/>
              </w:rPr>
            </w:pPr>
          </w:p>
        </w:tc>
        <w:tc>
          <w:tcPr>
            <w:tcW w:w="1840" w:type="dxa"/>
            <w:vAlign w:val="bottom"/>
            <w:tcBorders>
              <w:top w:val="single" w:sz="8" w:color="auto"/>
            </w:tcBorders>
            <w:shd w:val="clear" w:color="auto" w:fill="4F81BD"/>
          </w:tcPr>
          <w:p>
            <w:pPr>
              <w:spacing w:after="0"/>
              <w:rPr>
                <w:sz w:val="21"/>
                <w:szCs w:val="21"/>
                <w:color w:val="auto"/>
              </w:rPr>
            </w:pP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0" w:type="dxa"/>
            <w:vAlign w:val="bottom"/>
            <w:tcBorders>
              <w:top w:val="single" w:sz="8" w:color="auto"/>
              <w:right w:val="single" w:sz="8" w:color="auto"/>
            </w:tcBorders>
            <w:shd w:val="clear" w:color="auto" w:fill="4F81BD"/>
          </w:tcPr>
          <w:p>
            <w:pPr>
              <w:spacing w:after="0"/>
              <w:rPr>
                <w:sz w:val="21"/>
                <w:szCs w:val="21"/>
                <w:color w:val="auto"/>
              </w:rPr>
            </w:pPr>
          </w:p>
        </w:tc>
        <w:tc>
          <w:tcPr>
            <w:tcW w:w="6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40" w:type="dxa"/>
            <w:vAlign w:val="bottom"/>
            <w:tcBorders>
              <w:top w:val="single" w:sz="8" w:color="auto"/>
              <w:right w:val="single" w:sz="8" w:color="auto"/>
            </w:tcBorders>
            <w:shd w:val="clear" w:color="auto" w:fill="4F81BD"/>
          </w:tcPr>
          <w:p>
            <w:pPr>
              <w:spacing w:after="0"/>
              <w:rPr>
                <w:sz w:val="21"/>
                <w:szCs w:val="21"/>
                <w:color w:val="auto"/>
              </w:rPr>
            </w:pPr>
          </w:p>
        </w:tc>
        <w:tc>
          <w:tcPr>
            <w:tcW w:w="80" w:type="dxa"/>
            <w:vAlign w:val="bottom"/>
            <w:tcBorders>
              <w:top w:val="single" w:sz="8" w:color="auto"/>
            </w:tcBorders>
            <w:shd w:val="clear" w:color="auto" w:fill="4F81BD"/>
          </w:tcPr>
          <w:p>
            <w:pPr>
              <w:spacing w:after="0"/>
              <w:rPr>
                <w:sz w:val="21"/>
                <w:szCs w:val="21"/>
                <w:color w:val="auto"/>
              </w:rPr>
            </w:pPr>
          </w:p>
        </w:tc>
        <w:tc>
          <w:tcPr>
            <w:tcW w:w="1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22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Days since</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Reporting Country</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confirmed*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confirmed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last reported</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classification</w:t>
            </w:r>
            <w:r>
              <w:rPr>
                <w:rFonts w:ascii="Calibri" w:cs="Calibri" w:eastAsia="Calibri" w:hAnsi="Calibri"/>
                <w:sz w:val="25"/>
                <w:szCs w:val="25"/>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tcBorders>
            <w:shd w:val="clear" w:color="auto" w:fill="4F81BD"/>
          </w:tcPr>
          <w:p>
            <w:pPr>
              <w:spacing w:after="0"/>
              <w:rPr>
                <w:sz w:val="12"/>
                <w:szCs w:val="12"/>
                <w:color w:val="auto"/>
              </w:rPr>
            </w:pPr>
          </w:p>
        </w:tc>
        <w:tc>
          <w:tcPr>
            <w:tcW w:w="1840" w:type="dxa"/>
            <w:vAlign w:val="bottom"/>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new cases</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860" w:type="dxa"/>
            <w:vAlign w:val="bottom"/>
            <w:vMerge w:val="continue"/>
            <w:shd w:val="clear" w:color="auto" w:fill="4F81BD"/>
          </w:tcPr>
          <w:p>
            <w:pPr>
              <w:spacing w:after="0"/>
              <w:rPr>
                <w:sz w:val="12"/>
                <w:szCs w:val="12"/>
                <w:color w:val="auto"/>
              </w:rPr>
            </w:pPr>
          </w:p>
        </w:tc>
        <w:tc>
          <w:tcPr>
            <w:tcW w:w="160" w:type="dxa"/>
            <w:vAlign w:val="bottom"/>
            <w:tcBorders>
              <w:right w:val="single" w:sz="8" w:color="auto"/>
            </w:tcBorders>
            <w:shd w:val="clear" w:color="auto" w:fill="4F81BD"/>
          </w:tcPr>
          <w:p>
            <w:pPr>
              <w:spacing w:after="0"/>
              <w:rPr>
                <w:sz w:val="12"/>
                <w:szCs w:val="12"/>
                <w:color w:val="auto"/>
              </w:rPr>
            </w:pPr>
          </w:p>
        </w:tc>
        <w:tc>
          <w:tcPr>
            <w:tcW w:w="60" w:type="dxa"/>
            <w:vAlign w:val="bottom"/>
            <w:shd w:val="clear" w:color="auto" w:fill="4F81BD"/>
          </w:tcPr>
          <w:p>
            <w:pPr>
              <w:spacing w:after="0"/>
              <w:rPr>
                <w:sz w:val="12"/>
                <w:szCs w:val="1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40" w:type="dxa"/>
            <w:vAlign w:val="bottom"/>
            <w:tcBorders>
              <w:right w:val="single" w:sz="8" w:color="auto"/>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86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2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case</w:t>
            </w:r>
          </w:p>
        </w:tc>
        <w:tc>
          <w:tcPr>
            <w:tcW w:w="12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33"/>
        </w:trPr>
        <w:tc>
          <w:tcPr>
            <w:tcW w:w="120" w:type="dxa"/>
            <w:vAlign w:val="bottom"/>
            <w:tcBorders>
              <w:left w:val="single" w:sz="8" w:color="auto"/>
              <w:bottom w:val="single" w:sz="8" w:color="auto"/>
            </w:tcBorders>
            <w:shd w:val="clear" w:color="auto" w:fill="4F81BD"/>
          </w:tcPr>
          <w:p>
            <w:pPr>
              <w:spacing w:after="0"/>
              <w:rPr>
                <w:sz w:val="11"/>
                <w:szCs w:val="11"/>
                <w:color w:val="auto"/>
              </w:rPr>
            </w:pPr>
          </w:p>
        </w:tc>
        <w:tc>
          <w:tcPr>
            <w:tcW w:w="18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60" w:type="dxa"/>
            <w:vAlign w:val="bottom"/>
            <w:tcBorders>
              <w:bottom w:val="single" w:sz="8" w:color="auto"/>
              <w:right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vMerge w:val="continue"/>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8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22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5"/>
            <w:shd w:val="clear" w:color="auto" w:fill="A6A6A6"/>
          </w:tcPr>
          <w:p>
            <w:pPr>
              <w:spacing w:after="0" w:line="253" w:lineRule="exact"/>
              <w:rPr>
                <w:sz w:val="20"/>
                <w:szCs w:val="20"/>
                <w:color w:val="auto"/>
              </w:rPr>
            </w:pPr>
            <w:r>
              <w:rPr>
                <w:rFonts w:ascii="Calibri" w:cs="Calibri" w:eastAsia="Calibri" w:hAnsi="Calibri"/>
                <w:sz w:val="22"/>
                <w:szCs w:val="22"/>
                <w:b w:val="1"/>
                <w:bCs w:val="1"/>
                <w:color w:val="FFFFFF"/>
              </w:rPr>
              <w:t>Western Pacific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Republic of Korea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4812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600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28</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Japan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268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6</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Singapore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108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Australia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Malaysia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Viet Nam</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Philippines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New Zealand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Cambodia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196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European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Italy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2036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347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52</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17</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France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191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3</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Germany</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5"/>
              </w:rPr>
              <w:t>157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Spain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114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69</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 Kingdom</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Switzerland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Norway</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Netherlands</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Sweden</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Israel</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Croatia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Iceland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San Marino</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Belgium</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Finland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Greece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Denmark</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Azerbaijan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Czechia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Georgia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Romania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Russian Federation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Portugal</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Andorra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Armenia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Belarus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Estonia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Ireland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Latvia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Lithuania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Luxembourg</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Monaco</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Under investigation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North Macedonia</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5"/>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South-East Asia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Thailand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India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280"/>
          </w:cols>
          <w:pgMar w:left="720" w:top="943" w:right="911" w:bottom="640" w:gutter="0" w:footer="0" w:header="0"/>
        </w:sectPr>
      </w:pPr>
    </w:p>
    <w:bookmarkStart w:id="3" w:name="page4"/>
    <w:bookmarkEnd w:id="3"/>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5"/>
        </w:trPr>
        <w:tc>
          <w:tcPr>
            <w:tcW w:w="120" w:type="dxa"/>
            <w:vAlign w:val="bottom"/>
            <w:tcBorders>
              <w:top w:val="single" w:sz="8" w:color="auto"/>
              <w:left w:val="single" w:sz="8" w:color="auto"/>
              <w:bottom w:val="single" w:sz="8" w:color="auto"/>
            </w:tcBorders>
          </w:tcPr>
          <w:p>
            <w:pPr>
              <w:spacing w:after="0"/>
              <w:rPr>
                <w:sz w:val="23"/>
                <w:szCs w:val="23"/>
                <w:color w:val="auto"/>
              </w:rPr>
            </w:pPr>
          </w:p>
        </w:tc>
        <w:tc>
          <w:tcPr>
            <w:tcW w:w="1960" w:type="dxa"/>
            <w:vAlign w:val="bottom"/>
            <w:tcBorders>
              <w:top w:val="single" w:sz="8" w:color="auto"/>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Indonesia</w:t>
            </w:r>
          </w:p>
        </w:tc>
        <w:tc>
          <w:tcPr>
            <w:tcW w:w="240" w:type="dxa"/>
            <w:vAlign w:val="bottom"/>
            <w:tcBorders>
              <w:top w:val="single" w:sz="8" w:color="auto"/>
              <w:bottom w:val="single" w:sz="8" w:color="auto"/>
            </w:tcBorders>
          </w:tcPr>
          <w:p>
            <w:pPr>
              <w:spacing w:after="0"/>
              <w:rPr>
                <w:sz w:val="23"/>
                <w:szCs w:val="23"/>
                <w:color w:val="auto"/>
              </w:rPr>
            </w:pPr>
          </w:p>
        </w:tc>
        <w:tc>
          <w:tcPr>
            <w:tcW w:w="900" w:type="dxa"/>
            <w:vAlign w:val="bottom"/>
            <w:tcBorders>
              <w:top w:val="single" w:sz="8" w:color="auto"/>
              <w:bottom w:val="single" w:sz="8" w:color="auto"/>
            </w:tcBorders>
          </w:tcPr>
          <w:p>
            <w:pPr>
              <w:jc w:val="center"/>
              <w:ind w:right="30"/>
              <w:spacing w:after="0"/>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960" w:type="dxa"/>
            <w:vAlign w:val="bottom"/>
            <w:tcBorders>
              <w:top w:val="single" w:sz="8" w:color="auto"/>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bottom w:val="single" w:sz="8" w:color="auto"/>
              <w:right w:val="single" w:sz="8" w:color="auto"/>
            </w:tcBorders>
          </w:tcPr>
          <w:p>
            <w:pPr>
              <w:spacing w:after="0"/>
              <w:rPr>
                <w:sz w:val="23"/>
                <w:szCs w:val="23"/>
                <w:color w:val="auto"/>
              </w:rPr>
            </w:pPr>
          </w:p>
        </w:tc>
        <w:tc>
          <w:tcPr>
            <w:tcW w:w="9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bottom w:val="single" w:sz="8" w:color="auto"/>
              <w:right w:val="single" w:sz="8" w:color="auto"/>
            </w:tcBorders>
          </w:tcPr>
          <w:p>
            <w:pPr>
              <w:spacing w:after="0"/>
              <w:rPr>
                <w:sz w:val="23"/>
                <w:szCs w:val="23"/>
                <w:color w:val="auto"/>
              </w:rPr>
            </w:pPr>
          </w:p>
        </w:tc>
        <w:tc>
          <w:tcPr>
            <w:tcW w:w="80" w:type="dxa"/>
            <w:vAlign w:val="bottom"/>
            <w:tcBorders>
              <w:top w:val="single" w:sz="8" w:color="auto"/>
              <w:bottom w:val="single" w:sz="8" w:color="auto"/>
            </w:tcBorders>
          </w:tcPr>
          <w:p>
            <w:pPr>
              <w:spacing w:after="0"/>
              <w:rPr>
                <w:sz w:val="23"/>
                <w:szCs w:val="23"/>
                <w:color w:val="auto"/>
              </w:rPr>
            </w:pPr>
          </w:p>
        </w:tc>
        <w:tc>
          <w:tcPr>
            <w:tcW w:w="1980" w:type="dxa"/>
            <w:vAlign w:val="bottom"/>
            <w:tcBorders>
              <w:top w:val="single" w:sz="8" w:color="auto"/>
              <w:bottom w:val="single" w:sz="8" w:color="auto"/>
              <w:right w:val="single" w:sz="8" w:color="auto"/>
            </w:tcBorders>
          </w:tcPr>
          <w:p>
            <w:pPr>
              <w:jc w:val="center"/>
              <w:ind w:right="10"/>
              <w:spacing w:after="0"/>
              <w:rPr>
                <w:sz w:val="20"/>
                <w:szCs w:val="20"/>
                <w:color w:val="auto"/>
              </w:rPr>
            </w:pPr>
            <w:r>
              <w:rPr>
                <w:rFonts w:ascii="Calibri" w:cs="Calibri" w:eastAsia="Calibri" w:hAnsi="Calibri"/>
                <w:sz w:val="22"/>
                <w:szCs w:val="22"/>
                <w:color w:val="auto"/>
              </w:rPr>
              <w:t>Local transmission</w:t>
            </w:r>
          </w:p>
        </w:tc>
        <w:tc>
          <w:tcPr>
            <w:tcW w:w="1320" w:type="dxa"/>
            <w:vAlign w:val="bottom"/>
            <w:tcBorders>
              <w:top w:val="single" w:sz="8" w:color="auto"/>
              <w:bottom w:val="single" w:sz="8" w:color="auto"/>
            </w:tcBorders>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Nepal</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39</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Sri Lanka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36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5"/>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Eastern Mediterranean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980" w:type="dxa"/>
            <w:vAlign w:val="bottom"/>
            <w:tcBorders>
              <w:bottom w:val="single" w:sz="8" w:color="auto"/>
              <w:right w:val="single" w:sz="8" w:color="A6A6A6"/>
            </w:tcBorders>
            <w:shd w:val="clear" w:color="auto" w:fill="A6A6A6"/>
          </w:tcPr>
          <w:p>
            <w:pPr>
              <w:spacing w:after="0"/>
              <w:rPr>
                <w:sz w:val="22"/>
                <w:szCs w:val="22"/>
                <w:color w:val="auto"/>
              </w:rPr>
            </w:pPr>
          </w:p>
        </w:tc>
        <w:tc>
          <w:tcPr>
            <w:tcW w:w="13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4"/>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Iran (Islamic</w:t>
            </w:r>
          </w:p>
        </w:tc>
        <w:tc>
          <w:tcPr>
            <w:tcW w:w="240" w:type="dxa"/>
            <w:vAlign w:val="bottom"/>
          </w:tcPr>
          <w:p>
            <w:pPr>
              <w:spacing w:after="0"/>
              <w:rPr>
                <w:sz w:val="22"/>
                <w:szCs w:val="22"/>
                <w:color w:val="auto"/>
              </w:rPr>
            </w:pPr>
          </w:p>
        </w:tc>
        <w:tc>
          <w:tcPr>
            <w:tcW w:w="900" w:type="dxa"/>
            <w:vAlign w:val="bottom"/>
            <w:vMerge w:val="restart"/>
          </w:tcPr>
          <w:p>
            <w:pPr>
              <w:jc w:val="center"/>
              <w:ind w:right="30"/>
              <w:spacing w:after="0"/>
              <w:rPr>
                <w:sz w:val="20"/>
                <w:szCs w:val="20"/>
                <w:color w:val="auto"/>
              </w:rPr>
            </w:pPr>
            <w:r>
              <w:rPr>
                <w:rFonts w:ascii="Calibri" w:cs="Calibri" w:eastAsia="Calibri" w:hAnsi="Calibri"/>
                <w:sz w:val="22"/>
                <w:szCs w:val="22"/>
                <w:color w:val="auto"/>
                <w:w w:val="98"/>
              </w:rPr>
              <w:t>1501</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523</w:t>
            </w:r>
          </w:p>
        </w:tc>
        <w:tc>
          <w:tcPr>
            <w:tcW w:w="120" w:type="dxa"/>
            <w:vAlign w:val="bottom"/>
            <w:tcBorders>
              <w:right w:val="single" w:sz="8" w:color="auto"/>
            </w:tcBorders>
          </w:tcPr>
          <w:p>
            <w:pPr>
              <w:spacing w:after="0"/>
              <w:rPr>
                <w:sz w:val="22"/>
                <w:szCs w:val="22"/>
                <w:color w:val="auto"/>
              </w:rPr>
            </w:pPr>
          </w:p>
        </w:tc>
        <w:tc>
          <w:tcPr>
            <w:tcW w:w="96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98"/>
              </w:rPr>
              <w:t>66</w:t>
            </w:r>
          </w:p>
        </w:tc>
        <w:tc>
          <w:tcPr>
            <w:tcW w:w="140" w:type="dxa"/>
            <w:vAlign w:val="bottom"/>
            <w:tcBorders>
              <w:right w:val="single" w:sz="8" w:color="auto"/>
            </w:tcBorders>
          </w:tcPr>
          <w:p>
            <w:pPr>
              <w:spacing w:after="0"/>
              <w:rPr>
                <w:sz w:val="22"/>
                <w:szCs w:val="22"/>
                <w:color w:val="auto"/>
              </w:rPr>
            </w:pPr>
          </w:p>
        </w:tc>
        <w:tc>
          <w:tcPr>
            <w:tcW w:w="9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98"/>
              </w:rPr>
              <w:t>12</w:t>
            </w: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80" w:type="dxa"/>
            <w:vAlign w:val="bottom"/>
            <w:tcBorders>
              <w:right w:val="single" w:sz="8" w:color="auto"/>
            </w:tcBorders>
            <w:vMerge w:val="restart"/>
          </w:tcPr>
          <w:p>
            <w:pPr>
              <w:jc w:val="center"/>
              <w:ind w:right="10"/>
              <w:spacing w:after="0"/>
              <w:rPr>
                <w:sz w:val="20"/>
                <w:szCs w:val="20"/>
                <w:color w:val="auto"/>
              </w:rPr>
            </w:pPr>
            <w:r>
              <w:rPr>
                <w:rFonts w:ascii="Calibri" w:cs="Calibri" w:eastAsia="Calibri" w:hAnsi="Calibri"/>
                <w:sz w:val="22"/>
                <w:szCs w:val="22"/>
                <w:color w:val="auto"/>
              </w:rPr>
              <w:t>Local transmission</w:t>
            </w:r>
          </w:p>
        </w:tc>
        <w:tc>
          <w:tcPr>
            <w:tcW w:w="132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Republic of)</w:t>
            </w:r>
          </w:p>
        </w:tc>
        <w:tc>
          <w:tcPr>
            <w:tcW w:w="240" w:type="dxa"/>
            <w:vAlign w:val="bottom"/>
          </w:tcPr>
          <w:p>
            <w:pPr>
              <w:spacing w:after="0"/>
              <w:rPr>
                <w:sz w:val="11"/>
                <w:szCs w:val="11"/>
                <w:color w:val="auto"/>
              </w:rPr>
            </w:pPr>
          </w:p>
        </w:tc>
        <w:tc>
          <w:tcPr>
            <w:tcW w:w="9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94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1980" w:type="dxa"/>
            <w:vAlign w:val="bottom"/>
            <w:tcBorders>
              <w:right w:val="single" w:sz="8" w:color="auto"/>
            </w:tcBorders>
            <w:vMerge w:val="continue"/>
          </w:tcPr>
          <w:p>
            <w:pPr>
              <w:spacing w:after="0"/>
              <w:rPr>
                <w:sz w:val="11"/>
                <w:szCs w:val="11"/>
                <w:color w:val="auto"/>
              </w:rPr>
            </w:pPr>
          </w:p>
        </w:tc>
        <w:tc>
          <w:tcPr>
            <w:tcW w:w="132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980" w:type="dxa"/>
            <w:vAlign w:val="bottom"/>
            <w:tcBorders>
              <w:bottom w:val="single" w:sz="8" w:color="auto"/>
              <w:right w:val="single" w:sz="8" w:color="auto"/>
            </w:tcBorders>
          </w:tcPr>
          <w:p>
            <w:pPr>
              <w:spacing w:after="0"/>
              <w:rPr>
                <w:sz w:val="11"/>
                <w:szCs w:val="11"/>
                <w:color w:val="auto"/>
              </w:rPr>
            </w:pPr>
          </w:p>
        </w:tc>
        <w:tc>
          <w:tcPr>
            <w:tcW w:w="132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Kuwait</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56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Bahrain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49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Iraq</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26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United Arab</w:t>
            </w:r>
          </w:p>
        </w:tc>
        <w:tc>
          <w:tcPr>
            <w:tcW w:w="240" w:type="dxa"/>
            <w:vAlign w:val="bottom"/>
          </w:tcPr>
          <w:p>
            <w:pPr>
              <w:spacing w:after="0"/>
              <w:rPr>
                <w:sz w:val="22"/>
                <w:szCs w:val="22"/>
                <w:color w:val="auto"/>
              </w:rPr>
            </w:pPr>
          </w:p>
        </w:tc>
        <w:tc>
          <w:tcPr>
            <w:tcW w:w="900" w:type="dxa"/>
            <w:vAlign w:val="bottom"/>
            <w:vMerge w:val="restart"/>
          </w:tcPr>
          <w:p>
            <w:pPr>
              <w:jc w:val="center"/>
              <w:ind w:right="10"/>
              <w:spacing w:after="0"/>
              <w:rPr>
                <w:sz w:val="20"/>
                <w:szCs w:val="20"/>
                <w:color w:val="auto"/>
              </w:rPr>
            </w:pPr>
            <w:r>
              <w:rPr>
                <w:rFonts w:ascii="Calibri" w:cs="Calibri" w:eastAsia="Calibri" w:hAnsi="Calibri"/>
                <w:sz w:val="22"/>
                <w:szCs w:val="22"/>
                <w:color w:val="auto"/>
                <w:w w:val="98"/>
              </w:rPr>
              <w:t>21</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6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9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80" w:type="dxa"/>
            <w:vAlign w:val="bottom"/>
            <w:tcBorders>
              <w:right w:val="single" w:sz="8" w:color="auto"/>
            </w:tcBorders>
            <w:vMerge w:val="restart"/>
          </w:tcPr>
          <w:p>
            <w:pPr>
              <w:jc w:val="center"/>
              <w:ind w:right="10"/>
              <w:spacing w:after="0"/>
              <w:rPr>
                <w:sz w:val="20"/>
                <w:szCs w:val="20"/>
                <w:color w:val="auto"/>
              </w:rPr>
            </w:pPr>
            <w:r>
              <w:rPr>
                <w:rFonts w:ascii="Calibri" w:cs="Calibri" w:eastAsia="Calibri" w:hAnsi="Calibri"/>
                <w:sz w:val="22"/>
                <w:szCs w:val="22"/>
                <w:color w:val="auto"/>
              </w:rPr>
              <w:t>Local transmission</w:t>
            </w:r>
          </w:p>
        </w:tc>
        <w:tc>
          <w:tcPr>
            <w:tcW w:w="132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Emirates</w:t>
            </w:r>
          </w:p>
        </w:tc>
        <w:tc>
          <w:tcPr>
            <w:tcW w:w="240" w:type="dxa"/>
            <w:vAlign w:val="bottom"/>
          </w:tcPr>
          <w:p>
            <w:pPr>
              <w:spacing w:after="0"/>
              <w:rPr>
                <w:sz w:val="11"/>
                <w:szCs w:val="11"/>
                <w:color w:val="auto"/>
              </w:rPr>
            </w:pPr>
          </w:p>
        </w:tc>
        <w:tc>
          <w:tcPr>
            <w:tcW w:w="9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94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1980" w:type="dxa"/>
            <w:vAlign w:val="bottom"/>
            <w:tcBorders>
              <w:right w:val="single" w:sz="8" w:color="auto"/>
            </w:tcBorders>
            <w:vMerge w:val="continue"/>
          </w:tcPr>
          <w:p>
            <w:pPr>
              <w:spacing w:after="0"/>
              <w:rPr>
                <w:sz w:val="11"/>
                <w:szCs w:val="11"/>
                <w:color w:val="auto"/>
              </w:rPr>
            </w:pPr>
          </w:p>
        </w:tc>
        <w:tc>
          <w:tcPr>
            <w:tcW w:w="132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980" w:type="dxa"/>
            <w:vAlign w:val="bottom"/>
            <w:tcBorders>
              <w:bottom w:val="single" w:sz="8" w:color="auto"/>
              <w:right w:val="single" w:sz="8" w:color="auto"/>
            </w:tcBorders>
          </w:tcPr>
          <w:p>
            <w:pPr>
              <w:spacing w:after="0"/>
              <w:rPr>
                <w:sz w:val="11"/>
                <w:szCs w:val="11"/>
                <w:color w:val="auto"/>
              </w:rPr>
            </w:pPr>
          </w:p>
        </w:tc>
        <w:tc>
          <w:tcPr>
            <w:tcW w:w="132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Lebanon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Qatar</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8"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8"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Oman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Pakistan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Egypt</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Afghanistan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8</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Jordan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Morocco</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Saudi Arabia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Tunisia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00" w:type="dxa"/>
            <w:vAlign w:val="bottom"/>
            <w:tcBorders>
              <w:bottom w:val="single" w:sz="8" w:color="auto"/>
            </w:tcBorders>
            <w:gridSpan w:val="3"/>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Region of the Americas</w:t>
            </w:r>
          </w:p>
        </w:tc>
        <w:tc>
          <w:tcPr>
            <w:tcW w:w="9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980" w:type="dxa"/>
            <w:vAlign w:val="bottom"/>
            <w:tcBorders>
              <w:bottom w:val="single" w:sz="8" w:color="auto"/>
              <w:right w:val="single" w:sz="8" w:color="A6A6A6"/>
            </w:tcBorders>
            <w:shd w:val="clear" w:color="auto" w:fill="A6A6A6"/>
          </w:tcPr>
          <w:p>
            <w:pPr>
              <w:spacing w:after="0"/>
              <w:rPr>
                <w:sz w:val="22"/>
                <w:szCs w:val="22"/>
                <w:color w:val="auto"/>
              </w:rPr>
            </w:pPr>
          </w:p>
        </w:tc>
        <w:tc>
          <w:tcPr>
            <w:tcW w:w="13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the United States</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3" w:lineRule="exact"/>
              <w:rPr>
                <w:sz w:val="20"/>
                <w:szCs w:val="20"/>
                <w:color w:val="auto"/>
              </w:rPr>
            </w:pPr>
            <w:r>
              <w:rPr>
                <w:rFonts w:ascii="Calibri" w:cs="Calibri" w:eastAsia="Calibri" w:hAnsi="Calibri"/>
                <w:sz w:val="22"/>
                <w:szCs w:val="22"/>
                <w:color w:val="auto"/>
                <w:w w:val="98"/>
              </w:rPr>
              <w:t>64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3" w:lineRule="exact"/>
              <w:rPr>
                <w:sz w:val="20"/>
                <w:szCs w:val="20"/>
                <w:color w:val="auto"/>
              </w:rPr>
            </w:pPr>
            <w:r>
              <w:rPr>
                <w:rFonts w:ascii="Calibri" w:cs="Calibri" w:eastAsia="Calibri" w:hAnsi="Calibri"/>
                <w:sz w:val="22"/>
                <w:szCs w:val="22"/>
                <w:color w:val="auto"/>
              </w:rPr>
              <w:t>2</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2</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3"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Canada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27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Ecuador</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Mexico</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Brazil</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Dominican Republic</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2"/>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00" w:type="dxa"/>
            <w:vAlign w:val="bottom"/>
            <w:tcBorders>
              <w:bottom w:val="single" w:sz="8" w:color="auto"/>
            </w:tcBorders>
            <w:gridSpan w:val="3"/>
            <w:shd w:val="clear" w:color="auto" w:fill="A6A6A6"/>
          </w:tcPr>
          <w:p>
            <w:pPr>
              <w:spacing w:after="0" w:line="258" w:lineRule="exact"/>
              <w:rPr>
                <w:sz w:val="20"/>
                <w:szCs w:val="20"/>
                <w:color w:val="auto"/>
              </w:rPr>
            </w:pPr>
            <w:r>
              <w:rPr>
                <w:rFonts w:ascii="Calibri" w:cs="Calibri" w:eastAsia="Calibri" w:hAnsi="Calibri"/>
                <w:sz w:val="22"/>
                <w:szCs w:val="22"/>
                <w:b w:val="1"/>
                <w:bCs w:val="1"/>
                <w:color w:val="FFFFFF"/>
              </w:rPr>
              <w:t>African Region</w:t>
            </w:r>
          </w:p>
        </w:tc>
        <w:tc>
          <w:tcPr>
            <w:tcW w:w="9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980" w:type="dxa"/>
            <w:vAlign w:val="bottom"/>
            <w:tcBorders>
              <w:bottom w:val="single" w:sz="8" w:color="auto"/>
              <w:right w:val="single" w:sz="8" w:color="A6A6A6"/>
            </w:tcBorders>
            <w:shd w:val="clear" w:color="auto" w:fill="A6A6A6"/>
          </w:tcPr>
          <w:p>
            <w:pPr>
              <w:spacing w:after="0"/>
              <w:rPr>
                <w:sz w:val="22"/>
                <w:szCs w:val="22"/>
                <w:color w:val="auto"/>
              </w:rPr>
            </w:pPr>
          </w:p>
        </w:tc>
        <w:tc>
          <w:tcPr>
            <w:tcW w:w="13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Algeria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3"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3"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Nigeria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Senegal</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shd w:val="clear" w:color="auto" w:fill="4F81BD"/>
          </w:tcPr>
          <w:p>
            <w:pPr>
              <w:spacing w:after="0"/>
              <w:rPr>
                <w:sz w:val="22"/>
                <w:szCs w:val="22"/>
                <w:color w:val="auto"/>
              </w:rPr>
            </w:pPr>
          </w:p>
        </w:tc>
        <w:tc>
          <w:tcPr>
            <w:tcW w:w="1840" w:type="dxa"/>
            <w:vAlign w:val="bottom"/>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Subtotal for all</w:t>
            </w:r>
          </w:p>
        </w:tc>
        <w:tc>
          <w:tcPr>
            <w:tcW w:w="120" w:type="dxa"/>
            <w:vAlign w:val="bottom"/>
            <w:tcBorders>
              <w:right w:val="single" w:sz="8" w:color="auto"/>
            </w:tcBorders>
            <w:shd w:val="clear" w:color="auto" w:fill="4F81BD"/>
          </w:tcPr>
          <w:p>
            <w:pPr>
              <w:spacing w:after="0"/>
              <w:rPr>
                <w:sz w:val="22"/>
                <w:szCs w:val="22"/>
                <w:color w:val="auto"/>
              </w:rPr>
            </w:pPr>
          </w:p>
        </w:tc>
        <w:tc>
          <w:tcPr>
            <w:tcW w:w="240" w:type="dxa"/>
            <w:vAlign w:val="bottom"/>
            <w:shd w:val="clear" w:color="auto" w:fill="4F81BD"/>
          </w:tcPr>
          <w:p>
            <w:pPr>
              <w:spacing w:after="0"/>
              <w:rPr>
                <w:sz w:val="22"/>
                <w:szCs w:val="22"/>
                <w:color w:val="auto"/>
              </w:rPr>
            </w:pPr>
          </w:p>
        </w:tc>
        <w:tc>
          <w:tcPr>
            <w:tcW w:w="900" w:type="dxa"/>
            <w:vAlign w:val="bottom"/>
            <w:vMerge w:val="restart"/>
            <w:shd w:val="clear" w:color="auto" w:fill="4F81BD"/>
          </w:tcPr>
          <w:p>
            <w:pPr>
              <w:jc w:val="center"/>
              <w:ind w:right="30"/>
              <w:spacing w:after="0"/>
              <w:rPr>
                <w:sz w:val="20"/>
                <w:szCs w:val="20"/>
                <w:color w:val="auto"/>
              </w:rPr>
            </w:pPr>
            <w:r>
              <w:rPr>
                <w:rFonts w:ascii="Calibri" w:cs="Calibri" w:eastAsia="Calibri" w:hAnsi="Calibri"/>
                <w:sz w:val="22"/>
                <w:szCs w:val="22"/>
                <w:b w:val="1"/>
                <w:bCs w:val="1"/>
                <w:color w:val="FFFFFF"/>
                <w:w w:val="98"/>
              </w:rPr>
              <w:t>9859</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1792</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160</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38</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1980" w:type="dxa"/>
            <w:vAlign w:val="bottom"/>
            <w:tcBorders>
              <w:right w:val="single" w:sz="8" w:color="auto"/>
            </w:tcBorders>
            <w:shd w:val="clear" w:color="auto" w:fill="4F81BD"/>
          </w:tcPr>
          <w:p>
            <w:pPr>
              <w:spacing w:after="0"/>
              <w:rPr>
                <w:sz w:val="22"/>
                <w:szCs w:val="22"/>
                <w:color w:val="auto"/>
              </w:rPr>
            </w:pPr>
          </w:p>
        </w:tc>
        <w:tc>
          <w:tcPr>
            <w:tcW w:w="1320" w:type="dxa"/>
            <w:vAlign w:val="bottom"/>
            <w:shd w:val="clear" w:color="auto" w:fill="4F81BD"/>
          </w:tcPr>
          <w:p>
            <w:pPr>
              <w:spacing w:after="0"/>
              <w:rPr>
                <w:sz w:val="22"/>
                <w:szCs w:val="22"/>
                <w:color w:val="auto"/>
              </w:rPr>
            </w:pPr>
          </w:p>
        </w:tc>
        <w:tc>
          <w:tcPr>
            <w:tcW w:w="120" w:type="dxa"/>
            <w:vAlign w:val="bottom"/>
            <w:tcBorders>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regions</w:t>
            </w:r>
          </w:p>
        </w:tc>
        <w:tc>
          <w:tcPr>
            <w:tcW w:w="120" w:type="dxa"/>
            <w:vAlign w:val="bottom"/>
            <w:tcBorders>
              <w:right w:val="single" w:sz="8" w:color="auto"/>
            </w:tcBorders>
            <w:shd w:val="clear" w:color="auto" w:fill="4F81BD"/>
          </w:tcPr>
          <w:p>
            <w:pPr>
              <w:spacing w:after="0"/>
              <w:rPr>
                <w:sz w:val="11"/>
                <w:szCs w:val="11"/>
                <w:color w:val="auto"/>
              </w:rPr>
            </w:pPr>
          </w:p>
        </w:tc>
        <w:tc>
          <w:tcPr>
            <w:tcW w:w="240" w:type="dxa"/>
            <w:vAlign w:val="bottom"/>
            <w:shd w:val="clear" w:color="auto" w:fill="4F81BD"/>
          </w:tcPr>
          <w:p>
            <w:pPr>
              <w:spacing w:after="0"/>
              <w:rPr>
                <w:sz w:val="11"/>
                <w:szCs w:val="11"/>
                <w:color w:val="auto"/>
              </w:rPr>
            </w:pPr>
          </w:p>
        </w:tc>
        <w:tc>
          <w:tcPr>
            <w:tcW w:w="9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980" w:type="dxa"/>
            <w:vAlign w:val="bottom"/>
            <w:tcBorders>
              <w:right w:val="single" w:sz="8" w:color="auto"/>
            </w:tcBorders>
            <w:shd w:val="clear" w:color="auto" w:fill="4F81BD"/>
          </w:tcPr>
          <w:p>
            <w:pPr>
              <w:spacing w:after="0"/>
              <w:rPr>
                <w:sz w:val="11"/>
                <w:szCs w:val="11"/>
                <w:color w:val="auto"/>
              </w:rPr>
            </w:pPr>
          </w:p>
        </w:tc>
        <w:tc>
          <w:tcPr>
            <w:tcW w:w="13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shd w:val="clear" w:color="auto" w:fill="4F81BD"/>
          </w:tcPr>
          <w:p>
            <w:pPr>
              <w:spacing w:after="0"/>
              <w:rPr>
                <w:sz w:val="11"/>
                <w:szCs w:val="11"/>
                <w:color w:val="auto"/>
              </w:rPr>
            </w:pPr>
          </w:p>
        </w:tc>
        <w:tc>
          <w:tcPr>
            <w:tcW w:w="18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240" w:type="dxa"/>
            <w:vAlign w:val="bottom"/>
            <w:tcBorders>
              <w:bottom w:val="single" w:sz="8" w:color="auto"/>
            </w:tcBorders>
            <w:shd w:val="clear" w:color="auto" w:fill="4F81BD"/>
          </w:tcPr>
          <w:p>
            <w:pPr>
              <w:spacing w:after="0"/>
              <w:rPr>
                <w:sz w:val="11"/>
                <w:szCs w:val="11"/>
                <w:color w:val="auto"/>
              </w:rPr>
            </w:pPr>
          </w:p>
        </w:tc>
        <w:tc>
          <w:tcPr>
            <w:tcW w:w="90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980" w:type="dxa"/>
            <w:vAlign w:val="bottom"/>
            <w:tcBorders>
              <w:bottom w:val="single" w:sz="8" w:color="auto"/>
              <w:right w:val="single" w:sz="8" w:color="auto"/>
            </w:tcBorders>
            <w:shd w:val="clear" w:color="auto" w:fill="4F81BD"/>
          </w:tcPr>
          <w:p>
            <w:pPr>
              <w:spacing w:after="0"/>
              <w:rPr>
                <w:sz w:val="11"/>
                <w:szCs w:val="11"/>
                <w:color w:val="auto"/>
              </w:rPr>
            </w:pPr>
          </w:p>
        </w:tc>
        <w:tc>
          <w:tcPr>
            <w:tcW w:w="132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International</w:t>
            </w:r>
          </w:p>
        </w:tc>
        <w:tc>
          <w:tcPr>
            <w:tcW w:w="24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80" w:type="dxa"/>
            <w:vAlign w:val="bottom"/>
            <w:tcBorders>
              <w:right w:val="single" w:sz="8" w:color="auto"/>
            </w:tcBorders>
          </w:tcPr>
          <w:p>
            <w:pPr>
              <w:spacing w:after="0"/>
              <w:rPr>
                <w:sz w:val="22"/>
                <w:szCs w:val="22"/>
                <w:color w:val="auto"/>
              </w:rPr>
            </w:pPr>
          </w:p>
        </w:tc>
        <w:tc>
          <w:tcPr>
            <w:tcW w:w="132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9"/>
        </w:trPr>
        <w:tc>
          <w:tcPr>
            <w:tcW w:w="120" w:type="dxa"/>
            <w:vAlign w:val="bottom"/>
            <w:tcBorders>
              <w:left w:val="single" w:sz="8" w:color="auto"/>
            </w:tcBorders>
          </w:tcPr>
          <w:p>
            <w:pPr>
              <w:spacing w:after="0"/>
              <w:rPr>
                <w:sz w:val="23"/>
                <w:szCs w:val="23"/>
                <w:color w:val="auto"/>
              </w:rPr>
            </w:pPr>
          </w:p>
        </w:tc>
        <w:tc>
          <w:tcPr>
            <w:tcW w:w="1960" w:type="dxa"/>
            <w:vAlign w:val="bottom"/>
            <w:tcBorders>
              <w:right w:val="single" w:sz="8" w:color="auto"/>
            </w:tcBorders>
            <w:gridSpan w:val="2"/>
          </w:tcPr>
          <w:p>
            <w:pPr>
              <w:spacing w:after="0"/>
              <w:rPr>
                <w:sz w:val="20"/>
                <w:szCs w:val="20"/>
                <w:color w:val="auto"/>
              </w:rPr>
            </w:pPr>
            <w:r>
              <w:rPr>
                <w:rFonts w:ascii="Calibri" w:cs="Calibri" w:eastAsia="Calibri" w:hAnsi="Calibri"/>
                <w:sz w:val="22"/>
                <w:szCs w:val="22"/>
                <w:color w:val="auto"/>
              </w:rPr>
              <w:t>conveyance</w:t>
            </w:r>
          </w:p>
        </w:tc>
        <w:tc>
          <w:tcPr>
            <w:tcW w:w="240" w:type="dxa"/>
            <w:vAlign w:val="bottom"/>
          </w:tcPr>
          <w:p>
            <w:pPr>
              <w:spacing w:after="0"/>
              <w:rPr>
                <w:sz w:val="23"/>
                <w:szCs w:val="23"/>
                <w:color w:val="auto"/>
              </w:rPr>
            </w:pPr>
          </w:p>
        </w:tc>
        <w:tc>
          <w:tcPr>
            <w:tcW w:w="900" w:type="dxa"/>
            <w:vAlign w:val="bottom"/>
          </w:tcPr>
          <w:p>
            <w:pPr>
              <w:jc w:val="center"/>
              <w:ind w:right="30"/>
              <w:spacing w:after="0"/>
              <w:rPr>
                <w:sz w:val="20"/>
                <w:szCs w:val="20"/>
                <w:color w:val="auto"/>
              </w:rPr>
            </w:pPr>
            <w:r>
              <w:rPr>
                <w:rFonts w:ascii="Calibri" w:cs="Calibri" w:eastAsia="Calibri" w:hAnsi="Calibri"/>
                <w:sz w:val="22"/>
                <w:szCs w:val="22"/>
                <w:color w:val="auto"/>
                <w:w w:val="95"/>
              </w:rPr>
              <w:t>706</w:t>
            </w:r>
          </w:p>
        </w:tc>
        <w:tc>
          <w:tcPr>
            <w:tcW w:w="120" w:type="dxa"/>
            <w:vAlign w:val="bottom"/>
            <w:tcBorders>
              <w:right w:val="single" w:sz="8" w:color="auto"/>
            </w:tcBorders>
          </w:tcPr>
          <w:p>
            <w:pPr>
              <w:spacing w:after="0"/>
              <w:rPr>
                <w:sz w:val="23"/>
                <w:szCs w:val="23"/>
                <w:color w:val="auto"/>
              </w:rPr>
            </w:pPr>
          </w:p>
        </w:tc>
        <w:tc>
          <w:tcPr>
            <w:tcW w:w="1140" w:type="dxa"/>
            <w:vAlign w:val="bottom"/>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3"/>
                <w:szCs w:val="23"/>
                <w:color w:val="auto"/>
              </w:rPr>
            </w:pPr>
          </w:p>
        </w:tc>
        <w:tc>
          <w:tcPr>
            <w:tcW w:w="960" w:type="dxa"/>
            <w:vAlign w:val="bottom"/>
            <w:gridSpan w:val="2"/>
          </w:tcPr>
          <w:p>
            <w:pPr>
              <w:jc w:val="center"/>
              <w:ind w:left="10"/>
              <w:spacing w:after="0"/>
              <w:rPr>
                <w:sz w:val="20"/>
                <w:szCs w:val="20"/>
                <w:color w:val="auto"/>
              </w:rPr>
            </w:pPr>
            <w:r>
              <w:rPr>
                <w:rFonts w:ascii="Calibri" w:cs="Calibri" w:eastAsia="Calibri" w:hAnsi="Calibri"/>
                <w:sz w:val="22"/>
                <w:szCs w:val="22"/>
                <w:color w:val="auto"/>
              </w:rPr>
              <w:t>6</w:t>
            </w:r>
          </w:p>
        </w:tc>
        <w:tc>
          <w:tcPr>
            <w:tcW w:w="140" w:type="dxa"/>
            <w:vAlign w:val="bottom"/>
            <w:tcBorders>
              <w:right w:val="single" w:sz="8" w:color="auto"/>
            </w:tcBorders>
          </w:tcPr>
          <w:p>
            <w:pPr>
              <w:spacing w:after="0"/>
              <w:rPr>
                <w:sz w:val="23"/>
                <w:szCs w:val="23"/>
                <w:color w:val="auto"/>
              </w:rPr>
            </w:pPr>
          </w:p>
        </w:tc>
        <w:tc>
          <w:tcPr>
            <w:tcW w:w="940" w:type="dxa"/>
            <w:vAlign w:val="bottom"/>
            <w:gridSpan w:val="2"/>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3"/>
                <w:szCs w:val="23"/>
                <w:color w:val="auto"/>
              </w:rPr>
            </w:pPr>
          </w:p>
        </w:tc>
        <w:tc>
          <w:tcPr>
            <w:tcW w:w="80" w:type="dxa"/>
            <w:vAlign w:val="bottom"/>
          </w:tcPr>
          <w:p>
            <w:pPr>
              <w:spacing w:after="0"/>
              <w:rPr>
                <w:sz w:val="23"/>
                <w:szCs w:val="23"/>
                <w:color w:val="auto"/>
              </w:rPr>
            </w:pPr>
          </w:p>
        </w:tc>
        <w:tc>
          <w:tcPr>
            <w:tcW w:w="1980" w:type="dxa"/>
            <w:vAlign w:val="bottom"/>
            <w:tcBorders>
              <w:right w:val="single" w:sz="8" w:color="auto"/>
            </w:tcBorders>
          </w:tcPr>
          <w:p>
            <w:pPr>
              <w:jc w:val="center"/>
              <w:ind w:right="10"/>
              <w:spacing w:after="0"/>
              <w:rPr>
                <w:sz w:val="20"/>
                <w:szCs w:val="20"/>
                <w:color w:val="auto"/>
              </w:rPr>
            </w:pPr>
            <w:r>
              <w:rPr>
                <w:rFonts w:ascii="Calibri" w:cs="Calibri" w:eastAsia="Calibri" w:hAnsi="Calibri"/>
                <w:sz w:val="22"/>
                <w:szCs w:val="22"/>
                <w:color w:val="auto"/>
              </w:rPr>
              <w:t>Local transmission</w:t>
            </w:r>
          </w:p>
        </w:tc>
        <w:tc>
          <w:tcPr>
            <w:tcW w:w="1320" w:type="dxa"/>
            <w:vAlign w:val="bottom"/>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120" w:type="dxa"/>
            <w:vAlign w:val="bottom"/>
            <w:tcBorders>
              <w:left w:val="single" w:sz="8" w:color="auto"/>
              <w:bottom w:val="single" w:sz="8" w:color="auto"/>
            </w:tcBorders>
          </w:tcPr>
          <w:p>
            <w:pPr>
              <w:spacing w:after="0"/>
              <w:rPr>
                <w:sz w:val="23"/>
                <w:szCs w:val="23"/>
                <w:color w:val="auto"/>
              </w:rPr>
            </w:pPr>
          </w:p>
        </w:tc>
        <w:tc>
          <w:tcPr>
            <w:tcW w:w="1960" w:type="dxa"/>
            <w:vAlign w:val="bottom"/>
            <w:tcBorders>
              <w:bottom w:val="single" w:sz="8" w:color="auto"/>
              <w:right w:val="single" w:sz="8" w:color="auto"/>
            </w:tcBorders>
            <w:gridSpan w:val="2"/>
          </w:tcPr>
          <w:p>
            <w:pPr>
              <w:spacing w:after="0" w:line="275" w:lineRule="exact"/>
              <w:rPr>
                <w:sz w:val="20"/>
                <w:szCs w:val="20"/>
                <w:color w:val="auto"/>
              </w:rPr>
            </w:pPr>
            <w:r>
              <w:rPr>
                <w:rFonts w:ascii="Calibri" w:cs="Calibri" w:eastAsia="Calibri" w:hAnsi="Calibri"/>
                <w:sz w:val="22"/>
                <w:szCs w:val="22"/>
                <w:color w:val="auto"/>
              </w:rPr>
              <w:t xml:space="preserve">(Diamond Princess) </w:t>
            </w:r>
            <w:r>
              <w:rPr>
                <w:rFonts w:ascii="Calibri" w:cs="Calibri" w:eastAsia="Calibri" w:hAnsi="Calibri"/>
                <w:sz w:val="25"/>
                <w:szCs w:val="25"/>
                <w:color w:val="auto"/>
                <w:vertAlign w:val="superscript"/>
              </w:rPr>
              <w:t>‡</w:t>
            </w:r>
          </w:p>
        </w:tc>
        <w:tc>
          <w:tcPr>
            <w:tcW w:w="240" w:type="dxa"/>
            <w:vAlign w:val="bottom"/>
            <w:tcBorders>
              <w:bottom w:val="single" w:sz="8" w:color="auto"/>
            </w:tcBorders>
          </w:tcPr>
          <w:p>
            <w:pPr>
              <w:spacing w:after="0"/>
              <w:rPr>
                <w:sz w:val="23"/>
                <w:szCs w:val="23"/>
                <w:color w:val="auto"/>
              </w:rPr>
            </w:pPr>
          </w:p>
        </w:tc>
        <w:tc>
          <w:tcPr>
            <w:tcW w:w="90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104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40" w:type="dxa"/>
            <w:vAlign w:val="bottom"/>
            <w:tcBorders>
              <w:bottom w:val="single" w:sz="8" w:color="auto"/>
              <w:right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1980" w:type="dxa"/>
            <w:vAlign w:val="bottom"/>
            <w:tcBorders>
              <w:bottom w:val="single" w:sz="8" w:color="auto"/>
              <w:right w:val="single" w:sz="8" w:color="auto"/>
            </w:tcBorders>
          </w:tcPr>
          <w:p>
            <w:pPr>
              <w:spacing w:after="0"/>
              <w:rPr>
                <w:sz w:val="23"/>
                <w:szCs w:val="23"/>
                <w:color w:val="auto"/>
              </w:rPr>
            </w:pPr>
          </w:p>
        </w:tc>
        <w:tc>
          <w:tcPr>
            <w:tcW w:w="1320" w:type="dxa"/>
            <w:vAlign w:val="bottom"/>
            <w:tcBorders>
              <w:bottom w:val="single" w:sz="8" w:color="auto"/>
            </w:tcBorders>
          </w:tcPr>
          <w:p>
            <w:pPr>
              <w:spacing w:after="0"/>
              <w:rPr>
                <w:sz w:val="23"/>
                <w:szCs w:val="23"/>
                <w:color w:val="auto"/>
              </w:rPr>
            </w:pPr>
          </w:p>
        </w:tc>
        <w:tc>
          <w:tcPr>
            <w:tcW w:w="12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4F81BD"/>
          </w:tcPr>
          <w:p>
            <w:pPr>
              <w:spacing w:after="0"/>
              <w:rPr>
                <w:sz w:val="22"/>
                <w:szCs w:val="22"/>
                <w:color w:val="auto"/>
              </w:rPr>
            </w:pPr>
          </w:p>
        </w:tc>
        <w:tc>
          <w:tcPr>
            <w:tcW w:w="1840" w:type="dxa"/>
            <w:vAlign w:val="bottom"/>
            <w:tcBorders>
              <w:bottom w:val="single" w:sz="8" w:color="auto"/>
            </w:tcBorders>
            <w:shd w:val="clear" w:color="auto" w:fill="4F81BD"/>
          </w:tcPr>
          <w:p>
            <w:pPr>
              <w:spacing w:after="0" w:line="259" w:lineRule="exact"/>
              <w:rPr>
                <w:sz w:val="20"/>
                <w:szCs w:val="20"/>
                <w:color w:val="auto"/>
              </w:rPr>
            </w:pPr>
            <w:r>
              <w:rPr>
                <w:rFonts w:ascii="Calibri" w:cs="Calibri" w:eastAsia="Calibri" w:hAnsi="Calibri"/>
                <w:sz w:val="22"/>
                <w:szCs w:val="22"/>
                <w:b w:val="1"/>
                <w:bCs w:val="1"/>
                <w:color w:val="FFFFFF"/>
              </w:rPr>
              <w:t>Grand total</w:t>
            </w:r>
            <w:r>
              <w:rPr>
                <w:rFonts w:ascii="Calibri" w:cs="Calibri" w:eastAsia="Calibri" w:hAnsi="Calibri"/>
                <w:sz w:val="27"/>
                <w:szCs w:val="27"/>
                <w:b w:val="1"/>
                <w:bCs w:val="1"/>
                <w:color w:val="FFFFFF"/>
                <w:vertAlign w:val="superscript"/>
              </w:rPr>
              <w:t>§</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240" w:type="dxa"/>
            <w:vAlign w:val="bottom"/>
            <w:tcBorders>
              <w:bottom w:val="single" w:sz="8" w:color="auto"/>
            </w:tcBorders>
            <w:shd w:val="clear" w:color="auto" w:fill="4F81BD"/>
          </w:tcPr>
          <w:p>
            <w:pPr>
              <w:spacing w:after="0"/>
              <w:rPr>
                <w:sz w:val="22"/>
                <w:szCs w:val="22"/>
                <w:color w:val="auto"/>
              </w:rPr>
            </w:pPr>
          </w:p>
        </w:tc>
        <w:tc>
          <w:tcPr>
            <w:tcW w:w="900" w:type="dxa"/>
            <w:vAlign w:val="bottom"/>
            <w:tcBorders>
              <w:bottom w:val="single" w:sz="8" w:color="auto"/>
            </w:tcBorders>
            <w:shd w:val="clear" w:color="auto" w:fill="4F81BD"/>
          </w:tcPr>
          <w:p>
            <w:pPr>
              <w:jc w:val="center"/>
              <w:ind w:right="30"/>
              <w:spacing w:after="0" w:line="252" w:lineRule="exact"/>
              <w:rPr>
                <w:sz w:val="20"/>
                <w:szCs w:val="20"/>
                <w:color w:val="auto"/>
              </w:rPr>
            </w:pPr>
            <w:r>
              <w:rPr>
                <w:rFonts w:ascii="Calibri" w:cs="Calibri" w:eastAsia="Calibri" w:hAnsi="Calibri"/>
                <w:sz w:val="22"/>
                <w:szCs w:val="22"/>
                <w:b w:val="1"/>
                <w:bCs w:val="1"/>
                <w:color w:val="FFFFFF"/>
              </w:rPr>
              <w:t>10565</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1792</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86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166</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80" w:type="dxa"/>
            <w:vAlign w:val="bottom"/>
            <w:tcBorders>
              <w:bottom w:val="single" w:sz="8" w:color="auto"/>
            </w:tcBorders>
            <w:shd w:val="clear" w:color="auto" w:fill="4F81BD"/>
          </w:tcPr>
          <w:p>
            <w:pPr>
              <w:spacing w:after="0"/>
              <w:rPr>
                <w:sz w:val="22"/>
                <w:szCs w:val="22"/>
                <w:color w:val="auto"/>
              </w:rPr>
            </w:pPr>
          </w:p>
        </w:tc>
        <w:tc>
          <w:tcPr>
            <w:tcW w:w="86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38</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80" w:type="dxa"/>
            <w:vAlign w:val="bottom"/>
            <w:tcBorders>
              <w:bottom w:val="single" w:sz="8" w:color="auto"/>
            </w:tcBorders>
            <w:shd w:val="clear" w:color="auto" w:fill="4F81BD"/>
          </w:tcPr>
          <w:p>
            <w:pPr>
              <w:spacing w:after="0"/>
              <w:rPr>
                <w:sz w:val="22"/>
                <w:szCs w:val="22"/>
                <w:color w:val="auto"/>
              </w:rPr>
            </w:pPr>
          </w:p>
        </w:tc>
        <w:tc>
          <w:tcPr>
            <w:tcW w:w="1980" w:type="dxa"/>
            <w:vAlign w:val="bottom"/>
            <w:tcBorders>
              <w:bottom w:val="single" w:sz="8" w:color="auto"/>
              <w:right w:val="single" w:sz="8" w:color="auto"/>
            </w:tcBorders>
            <w:shd w:val="clear" w:color="auto" w:fill="4F81BD"/>
          </w:tcPr>
          <w:p>
            <w:pPr>
              <w:spacing w:after="0"/>
              <w:rPr>
                <w:sz w:val="22"/>
                <w:szCs w:val="22"/>
                <w:color w:val="auto"/>
              </w:rPr>
            </w:pPr>
          </w:p>
        </w:tc>
        <w:tc>
          <w:tcPr>
            <w:tcW w:w="1320" w:type="dxa"/>
            <w:vAlign w:val="bottom"/>
            <w:tcBorders>
              <w:bottom w:val="single" w:sz="8" w:color="auto"/>
            </w:tcBorders>
            <w:shd w:val="clear" w:color="auto" w:fill="4F81BD"/>
          </w:tcPr>
          <w:p>
            <w:pPr>
              <w:spacing w:after="0"/>
              <w:rPr>
                <w:sz w:val="22"/>
                <w:szCs w:val="22"/>
                <w:color w:val="auto"/>
              </w:rPr>
            </w:pP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bl>
    <w:p>
      <w:pPr>
        <w:ind w:left="100" w:hanging="100"/>
        <w:spacing w:after="0" w:line="186" w:lineRule="auto"/>
        <w:tabs>
          <w:tab w:leader="none" w:pos="100" w:val="left"/>
        </w:tabs>
        <w:numPr>
          <w:ilvl w:val="0"/>
          <w:numId w:val="2"/>
        </w:numPr>
        <w:rPr>
          <w:rFonts w:ascii="Arial" w:cs="Arial" w:eastAsia="Arial" w:hAnsi="Arial"/>
          <w:sz w:val="28"/>
          <w:szCs w:val="28"/>
          <w:color w:val="auto"/>
          <w:vertAlign w:val="superscript"/>
        </w:rPr>
      </w:pPr>
      <w:r>
        <w:rPr>
          <w:rFonts w:ascii="Calibri" w:cs="Calibri" w:eastAsia="Calibri" w:hAnsi="Calibri"/>
          <w:sz w:val="18"/>
          <w:szCs w:val="18"/>
          <w:color w:val="auto"/>
        </w:rPr>
        <w:t>Numbers include both domestic and repatriated cases</w:t>
      </w:r>
    </w:p>
    <w:p>
      <w:pPr>
        <w:spacing w:after="0"/>
        <w:rPr>
          <w:rFonts w:ascii="Calibri" w:cs="Calibri" w:eastAsia="Calibri" w:hAnsi="Calibri"/>
          <w:sz w:val="18"/>
          <w:szCs w:val="18"/>
          <w:color w:val="auto"/>
        </w:rPr>
      </w:pPr>
      <w:r>
        <w:rPr>
          <w:rFonts w:ascii="Calibri" w:cs="Calibri" w:eastAsia="Calibri" w:hAnsi="Calibri"/>
          <w:sz w:val="18"/>
          <w:szCs w:val="18"/>
          <w:color w:val="auto"/>
        </w:rPr>
        <w:t xml:space="preserve">*Case classifications are based on </w:t>
      </w:r>
      <w:hyperlink r:id="rId13">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36"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Transmission classification is based on WHO analysis of available official data and may be subject to reclassification as additional data become available. Countries/territories/areas experiencing multiple types of transmission are classified in the highest category for which there is evidence; they may be removed from a given category if interruption of transmission can be demonstrated. It should be noted that even within categories, different countries/territories/areas may have differing degrees of transmission as indicated by the differing numbers of cases and other factors. Not all locations within a given country/territory/area are equally affected. Terms:</w:t>
      </w:r>
    </w:p>
    <w:p>
      <w:pPr>
        <w:spacing w:after="0" w:line="146" w:lineRule="exact"/>
        <w:rPr>
          <w:sz w:val="20"/>
          <w:szCs w:val="20"/>
          <w:color w:val="auto"/>
        </w:rPr>
      </w:pPr>
    </w:p>
    <w:p>
      <w:pPr>
        <w:ind w:left="720" w:right="320" w:hanging="360"/>
        <w:spacing w:after="0" w:line="218" w:lineRule="auto"/>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Community transmission </w:t>
      </w:r>
      <w:r>
        <w:rPr>
          <w:rFonts w:ascii="Calibri" w:cs="Calibri" w:eastAsia="Calibri" w:hAnsi="Calibri"/>
          <w:sz w:val="16"/>
          <w:szCs w:val="16"/>
          <w:color w:val="auto"/>
        </w:rPr>
        <w:t>is evidenced by the inability to relate confirmed cases through chains of transmission for a large number of cases, or by</w:t>
      </w:r>
      <w:r>
        <w:rPr>
          <w:rFonts w:ascii="Calibri" w:cs="Calibri" w:eastAsia="Calibri" w:hAnsi="Calibri"/>
          <w:sz w:val="16"/>
          <w:szCs w:val="16"/>
          <w:b w:val="1"/>
          <w:bCs w:val="1"/>
          <w:color w:val="auto"/>
        </w:rPr>
        <w:t xml:space="preserve"> </w:t>
      </w:r>
      <w:r>
        <w:rPr>
          <w:rFonts w:ascii="Calibri" w:cs="Calibri" w:eastAsia="Calibri" w:hAnsi="Calibri"/>
          <w:sz w:val="16"/>
          <w:szCs w:val="16"/>
          <w:color w:val="auto"/>
        </w:rPr>
        <w:t>increasing positive tests through routine screening of sentinel samples.</w:t>
      </w:r>
    </w:p>
    <w:p>
      <w:pPr>
        <w:spacing w:after="0" w:line="2" w:lineRule="exact"/>
        <w:rPr>
          <w:rFonts w:ascii="Arial" w:cs="Arial" w:eastAsia="Arial" w:hAnsi="Arial"/>
          <w:sz w:val="16"/>
          <w:szCs w:val="16"/>
          <w:color w:val="auto"/>
        </w:rPr>
      </w:pP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Local transmission </w:t>
      </w:r>
      <w:r>
        <w:rPr>
          <w:rFonts w:ascii="Calibri" w:cs="Calibri" w:eastAsia="Calibri" w:hAnsi="Calibri"/>
          <w:sz w:val="16"/>
          <w:szCs w:val="16"/>
          <w:color w:val="auto"/>
        </w:rPr>
        <w:t>indicates locations where the source of infection is within the reporting location.</w:t>
      </w: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Imported cases only </w:t>
      </w:r>
      <w:r>
        <w:rPr>
          <w:rFonts w:ascii="Calibri" w:cs="Calibri" w:eastAsia="Calibri" w:hAnsi="Calibri"/>
          <w:sz w:val="16"/>
          <w:szCs w:val="16"/>
          <w:color w:val="auto"/>
        </w:rPr>
        <w:t>indicates locations where all cases have been acquired outside the location of reporting.</w:t>
      </w:r>
    </w:p>
    <w:p>
      <w:pPr>
        <w:sectPr>
          <w:pgSz w:w="11920" w:h="16841" w:orient="portrait"/>
          <w:cols w:equalWidth="0" w:num="1">
            <w:col w:w="10480"/>
          </w:cols>
          <w:pgMar w:left="720" w:top="880" w:right="711" w:bottom="882" w:gutter="0" w:footer="0" w:header="0"/>
        </w:sectPr>
      </w:pPr>
    </w:p>
    <w:p>
      <w:pPr>
        <w:spacing w:after="0" w:line="2" w:lineRule="exact"/>
        <w:rPr>
          <w:sz w:val="20"/>
          <w:szCs w:val="20"/>
          <w:color w:val="auto"/>
        </w:rPr>
      </w:pPr>
    </w:p>
    <w:p>
      <w:pPr>
        <w:ind w:left="360"/>
        <w:spacing w:after="0"/>
        <w:rPr>
          <w:sz w:val="20"/>
          <w:szCs w:val="20"/>
          <w:color w:val="auto"/>
        </w:rPr>
      </w:pPr>
      <w:r>
        <w:rPr>
          <w:rFonts w:ascii="Arial" w:cs="Arial" w:eastAsia="Arial" w:hAnsi="Arial"/>
          <w:sz w:val="22"/>
          <w:szCs w:val="22"/>
          <w:color w:val="auto"/>
        </w:rPr>
        <w:t>-</w:t>
      </w:r>
    </w:p>
    <w:p>
      <w:pPr>
        <w:ind w:left="360"/>
        <w:spacing w:after="0" w:line="236" w:lineRule="auto"/>
        <w:rPr>
          <w:sz w:val="20"/>
          <w:szCs w:val="20"/>
          <w:color w:val="auto"/>
        </w:rPr>
      </w:pPr>
      <w:r>
        <w:rPr>
          <w:rFonts w:ascii="Arial" w:cs="Arial" w:eastAsia="Arial" w:hAnsi="Arial"/>
          <w:sz w:val="22"/>
          <w:szCs w:val="22"/>
          <w:color w:val="auto"/>
        </w:rPr>
        <w:t>-</w:t>
      </w:r>
    </w:p>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Under investigation </w:t>
      </w:r>
      <w:r>
        <w:rPr>
          <w:rFonts w:ascii="Calibri" w:cs="Calibri" w:eastAsia="Calibri" w:hAnsi="Calibri"/>
          <w:sz w:val="16"/>
          <w:szCs w:val="16"/>
          <w:color w:val="auto"/>
        </w:rPr>
        <w:t>indicates locations where type of transmission has not been determined for any cases.</w:t>
      </w:r>
    </w:p>
    <w:p>
      <w:pPr>
        <w:spacing w:after="0" w:line="54"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Interrupted transmission </w:t>
      </w:r>
      <w:r>
        <w:rPr>
          <w:rFonts w:ascii="Calibri" w:cs="Calibri" w:eastAsia="Calibri" w:hAnsi="Calibri"/>
          <w:sz w:val="16"/>
          <w:szCs w:val="16"/>
          <w:color w:val="auto"/>
        </w:rPr>
        <w:t>indicates locations where interruption of transmission has been demonstrated (details to be determined)</w:t>
      </w:r>
    </w:p>
    <w:p>
      <w:pPr>
        <w:spacing w:after="0" w:line="6" w:lineRule="exact"/>
        <w:rPr>
          <w:sz w:val="20"/>
          <w:szCs w:val="20"/>
          <w:color w:val="auto"/>
        </w:rPr>
      </w:pPr>
    </w:p>
    <w:p>
      <w:pPr>
        <w:sectPr>
          <w:pgSz w:w="11920" w:h="16841" w:orient="portrait"/>
          <w:cols w:equalWidth="0" w:num="2">
            <w:col w:w="440" w:space="280"/>
            <w:col w:w="9760"/>
          </w:cols>
          <w:pgMar w:left="720" w:top="880" w:right="711" w:bottom="882" w:gutter="0" w:footer="0" w:header="0"/>
          <w:type w:val="continuous"/>
        </w:sectPr>
      </w:pPr>
    </w:p>
    <w:p>
      <w:pPr>
        <w:spacing w:after="0" w:line="203"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spacing w:after="0" w:line="186"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310 female/416 male/9840 unknown. 34 healthcare workers (9 female/13 male/ 12 unknown).</w:t>
      </w:r>
    </w:p>
    <w:p>
      <w:pPr>
        <w:ind w:right="20"/>
        <w:spacing w:after="0" w:line="217" w:lineRule="auto"/>
        <w:rPr>
          <w:sz w:val="20"/>
          <w:szCs w:val="20"/>
          <w:color w:val="auto"/>
        </w:rPr>
      </w:pPr>
      <w:r>
        <w:rPr>
          <w:rFonts w:ascii="Calibri" w:cs="Calibri" w:eastAsia="Calibri" w:hAnsi="Calibri"/>
          <w:sz w:val="18"/>
          <w:szCs w:val="18"/>
          <w:color w:val="auto"/>
        </w:rPr>
        <w:t>Erratum: Transmission classification for the Dominican Republic, Israel and Sweden have been corrected. Total cases for Croatia have been corrected.</w:t>
      </w:r>
    </w:p>
    <w:p>
      <w:pPr>
        <w:sectPr>
          <w:pgSz w:w="11920" w:h="16841" w:orient="portrait"/>
          <w:cols w:equalWidth="0" w:num="1">
            <w:col w:w="10480"/>
          </w:cols>
          <w:pgMar w:left="720" w:top="880" w:right="711" w:bottom="882" w:gutter="0" w:footer="0" w:header="0"/>
          <w:type w:val="continuous"/>
        </w:sectPr>
      </w:pPr>
    </w:p>
    <w:bookmarkStart w:id="4" w:name="page5"/>
    <w:bookmarkEnd w:id="4"/>
    <w:p>
      <w:pPr>
        <w:ind w:right="220"/>
        <w:spacing w:after="0" w:line="218" w:lineRule="auto"/>
        <w:rPr>
          <w:sz w:val="20"/>
          <w:szCs w:val="20"/>
          <w:color w:val="auto"/>
        </w:rPr>
      </w:pPr>
      <w:r>
        <w:rPr>
          <w:rFonts w:ascii="Calibri" w:cs="Calibri" w:eastAsia="Calibri" w:hAnsi="Calibri"/>
          <w:sz w:val="22"/>
          <w:szCs w:val="22"/>
          <w:b w:val="1"/>
          <w:bCs w:val="1"/>
          <w:color w:val="007AB0"/>
        </w:rPr>
        <w:t>Figure 2. Epidemic curve of confirmed COVID-19 cases reported outside of China, by date of report and WHO region with complete days of reporting through 02 March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344805</wp:posOffset>
            </wp:positionV>
            <wp:extent cx="6660515" cy="7498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6660515" cy="74987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ind w:left="92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Interrupt human-to-human transmission including reducing secondary infections among close contacts and health care workers, preventing transmission amplification events, and preventing further international spread*;</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20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8" w:lineRule="exact"/>
        <w:rPr>
          <w:sz w:val="20"/>
          <w:szCs w:val="20"/>
          <w:color w:val="auto"/>
        </w:rPr>
      </w:pPr>
    </w:p>
    <w:p>
      <w:pPr>
        <w:jc w:val="both"/>
        <w:ind w:left="200" w:right="2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ectPr>
          <w:pgSz w:w="11920" w:h="16841" w:orient="portrait"/>
          <w:cols w:equalWidth="0" w:num="1">
            <w:col w:w="10120"/>
          </w:cols>
          <w:pgMar w:left="720" w:top="1211" w:right="1071" w:bottom="1440" w:gutter="0" w:footer="0" w:header="0"/>
        </w:sectPr>
      </w:pPr>
    </w:p>
    <w:bookmarkStart w:id="5" w:name="page6"/>
    <w:bookmarkEnd w:id="5"/>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2" w:lineRule="exact"/>
        <w:rPr>
          <w:sz w:val="20"/>
          <w:szCs w:val="20"/>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5">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jc w:val="both"/>
        <w:ind w:left="360" w:right="840" w:hanging="360"/>
        <w:spacing w:after="0" w:line="254"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6">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3" w:lineRule="exact"/>
        <w:rPr>
          <w:rFonts w:ascii="Calibri" w:cs="Calibri" w:eastAsia="Calibri" w:hAnsi="Calibri"/>
          <w:sz w:val="22"/>
          <w:szCs w:val="22"/>
          <w:color w:val="auto"/>
        </w:rPr>
      </w:pPr>
    </w:p>
    <w:p>
      <w:pPr>
        <w:ind w:left="360" w:right="16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1" w:lineRule="exact"/>
        <w:rPr>
          <w:rFonts w:ascii="Arial" w:cs="Arial" w:eastAsia="Arial" w:hAnsi="Arial"/>
          <w:sz w:val="22"/>
          <w:szCs w:val="22"/>
          <w:color w:val="auto"/>
        </w:rPr>
      </w:pPr>
    </w:p>
    <w:p>
      <w:pPr>
        <w:ind w:left="360" w:right="20" w:hanging="360"/>
        <w:spacing w:after="0" w:line="264"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7">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8">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8">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19">
        <w:r>
          <w:rPr>
            <w:rFonts w:ascii="Calibri" w:cs="Calibri" w:eastAsia="Calibri" w:hAnsi="Calibri"/>
            <w:sz w:val="22"/>
            <w:szCs w:val="22"/>
            <w:u w:val="single" w:color="auto"/>
            <w:color w:val="0000FF"/>
          </w:rPr>
          <w:t>clinical management</w:t>
        </w:r>
      </w:hyperlink>
      <w:hyperlink r:id="rId20">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0">
        <w:r>
          <w:rPr>
            <w:rFonts w:ascii="Calibri" w:cs="Calibri" w:eastAsia="Calibri" w:hAnsi="Calibri"/>
            <w:sz w:val="22"/>
            <w:szCs w:val="22"/>
            <w:u w:val="single" w:color="auto"/>
            <w:color w:val="0000FF"/>
          </w:rPr>
          <w:t xml:space="preserve">infection prevention and control in health care settings, </w:t>
        </w:r>
      </w:hyperlink>
      <w:hyperlink r:id="rId21">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1">
        <w:r>
          <w:rPr>
            <w:rFonts w:ascii="Calibri" w:cs="Calibri" w:eastAsia="Calibri" w:hAnsi="Calibri"/>
            <w:sz w:val="22"/>
            <w:szCs w:val="22"/>
            <w:u w:val="single" w:color="auto"/>
            <w:color w:val="0000FF"/>
          </w:rPr>
          <w:t xml:space="preserve">coronavirus, </w:t>
        </w:r>
      </w:hyperlink>
      <w:hyperlink r:id="rId22">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3">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3">
        <w:r>
          <w:rPr>
            <w:rFonts w:ascii="Calibri" w:cs="Calibri" w:eastAsia="Calibri" w:hAnsi="Calibri"/>
            <w:sz w:val="22"/>
            <w:szCs w:val="22"/>
            <w:u w:val="single" w:color="auto"/>
            <w:color w:val="0000FF"/>
          </w:rPr>
          <w:t>novel coronavirus (2019-nCoV).</w:t>
        </w:r>
      </w:hyperlink>
    </w:p>
    <w:p>
      <w:pPr>
        <w:spacing w:after="0" w:line="66" w:lineRule="exact"/>
        <w:rPr>
          <w:rFonts w:ascii="Calibri" w:cs="Calibri" w:eastAsia="Calibri" w:hAnsi="Calibri"/>
          <w:sz w:val="22"/>
          <w:szCs w:val="22"/>
          <w:u w:val="single" w:color="auto"/>
          <w:color w:val="0000FF"/>
        </w:rPr>
      </w:pPr>
    </w:p>
    <w:p>
      <w:pPr>
        <w:ind w:left="360" w:right="300" w:hanging="360"/>
        <w:spacing w:after="0" w:line="261"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mathematical modelling, diagnostics and virology, clinical care and treatment, infection prevention and control, and risk communication. WHO has issued interim guidance for countries, which are updated regularly.</w:t>
      </w:r>
    </w:p>
    <w:p>
      <w:pPr>
        <w:spacing w:after="0" w:line="67" w:lineRule="exact"/>
        <w:rPr>
          <w:rFonts w:ascii="Arial" w:cs="Arial" w:eastAsia="Arial" w:hAnsi="Arial"/>
          <w:sz w:val="22"/>
          <w:szCs w:val="22"/>
          <w:color w:val="auto"/>
        </w:rPr>
      </w:pPr>
    </w:p>
    <w:p>
      <w:pPr>
        <w:ind w:left="360" w:right="70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a </w:t>
      </w:r>
      <w:hyperlink r:id="rId23">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4">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ind w:left="360" w:right="1000" w:hanging="360"/>
        <w:spacing w:after="0" w:line="23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5">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5">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2"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the R&amp;D blueprint to accelerate diagnostics, vaccines, and therapeutics.</w:t>
      </w:r>
    </w:p>
    <w:p>
      <w:pPr>
        <w:spacing w:after="0" w:line="89" w:lineRule="exact"/>
        <w:rPr>
          <w:rFonts w:ascii="Arial" w:cs="Arial" w:eastAsia="Arial" w:hAnsi="Arial"/>
          <w:sz w:val="22"/>
          <w:szCs w:val="22"/>
          <w:color w:val="auto"/>
        </w:rPr>
      </w:pPr>
    </w:p>
    <w:p>
      <w:pPr>
        <w:ind w:left="360" w:right="280" w:hanging="360"/>
        <w:spacing w:after="0" w:line="265"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online courses on the following topics: </w:t>
      </w:r>
      <w:hyperlink r:id="rId26">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26">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27">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28">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29">
        <w:r>
          <w:rPr>
            <w:rFonts w:ascii="Calibri" w:cs="Calibri" w:eastAsia="Calibri" w:hAnsi="Calibri"/>
            <w:sz w:val="22"/>
            <w:szCs w:val="22"/>
            <w:u w:val="single" w:color="auto"/>
            <w:color w:val="0000FF"/>
          </w:rPr>
          <w:t>Spanish</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30">
        <w:r>
          <w:rPr>
            <w:rFonts w:ascii="Calibri" w:cs="Calibri" w:eastAsia="Calibri" w:hAnsi="Calibri"/>
            <w:sz w:val="22"/>
            <w:szCs w:val="22"/>
            <w:u w:val="single" w:color="auto"/>
            <w:color w:val="0000FF"/>
          </w:rPr>
          <w:t>Portuguese</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1">
        <w:r>
          <w:rPr>
            <w:rFonts w:ascii="Calibri" w:cs="Calibri" w:eastAsia="Calibri" w:hAnsi="Calibri"/>
            <w:sz w:val="22"/>
            <w:szCs w:val="22"/>
            <w:u w:val="single" w:color="auto"/>
            <w:color w:val="0000FF"/>
          </w:rPr>
          <w:t>Critical Care of</w:t>
        </w:r>
      </w:hyperlink>
      <w:r>
        <w:rPr>
          <w:rFonts w:ascii="Calibri" w:cs="Calibri" w:eastAsia="Calibri" w:hAnsi="Calibri"/>
          <w:sz w:val="22"/>
          <w:szCs w:val="22"/>
          <w:color w:val="0000FF"/>
        </w:rPr>
        <w:t xml:space="preserve"> </w:t>
      </w:r>
      <w:hyperlink r:id="rId31">
        <w:r>
          <w:rPr>
            <w:rFonts w:ascii="Calibri" w:cs="Calibri" w:eastAsia="Calibri" w:hAnsi="Calibri"/>
            <w:sz w:val="22"/>
            <w:szCs w:val="22"/>
            <w:u w:val="single" w:color="auto"/>
            <w:color w:val="0000FF"/>
          </w:rPr>
          <w:t xml:space="preserve">Severe Acute Respiratory Infections; </w:t>
        </w:r>
      </w:hyperlink>
      <w:r>
        <w:rPr>
          <w:rFonts w:ascii="Calibri" w:cs="Calibri" w:eastAsia="Calibri" w:hAnsi="Calibri"/>
          <w:sz w:val="22"/>
          <w:szCs w:val="22"/>
          <w:u w:val="single" w:color="auto"/>
          <w:color w:val="0000FF"/>
        </w:rPr>
        <w:t xml:space="preserve">and </w:t>
      </w:r>
      <w:hyperlink r:id="rId32">
        <w:r>
          <w:rPr>
            <w:rFonts w:ascii="Calibri" w:cs="Calibri" w:eastAsia="Calibri" w:hAnsi="Calibri"/>
            <w:sz w:val="22"/>
            <w:szCs w:val="22"/>
            <w:u w:val="single" w:color="auto"/>
            <w:color w:val="0000FF"/>
          </w:rPr>
          <w:t>Health and safety briefing for respiratory diseases - ePROTECT</w:t>
        </w:r>
      </w:hyperlink>
      <w:r>
        <w:rPr>
          <w:rFonts w:ascii="Calibri" w:cs="Calibri" w:eastAsia="Calibri" w:hAnsi="Calibri"/>
          <w:sz w:val="22"/>
          <w:szCs w:val="22"/>
          <w:u w:val="single" w:color="auto"/>
          <w:color w:val="0000FF"/>
        </w:rPr>
        <w:t xml:space="preserve"> </w:t>
      </w:r>
      <w:r>
        <w:rPr>
          <w:rFonts w:ascii="Calibri" w:cs="Calibri" w:eastAsia="Calibri" w:hAnsi="Calibri"/>
          <w:sz w:val="22"/>
          <w:szCs w:val="22"/>
          <w:color w:val="000000"/>
        </w:rPr>
        <w:t xml:space="preserve">(available in </w:t>
      </w:r>
      <w:hyperlink r:id="rId33">
        <w:r>
          <w:rPr>
            <w:rFonts w:ascii="Calibri" w:cs="Calibri" w:eastAsia="Calibri" w:hAnsi="Calibri"/>
            <w:sz w:val="22"/>
            <w:szCs w:val="22"/>
            <w:u w:val="single" w:color="auto"/>
            <w:color w:val="0000FF"/>
          </w:rPr>
          <w:t>French</w:t>
        </w:r>
      </w:hyperlink>
      <w:r>
        <w:rPr>
          <w:rFonts w:ascii="Calibri" w:cs="Calibri" w:eastAsia="Calibri" w:hAnsi="Calibri"/>
          <w:sz w:val="22"/>
          <w:szCs w:val="22"/>
          <w:color w:val="000000"/>
        </w:rPr>
        <w:t xml:space="preserve">); </w:t>
      </w:r>
      <w:hyperlink r:id="rId34">
        <w:r>
          <w:rPr>
            <w:rFonts w:ascii="Calibri" w:cs="Calibri" w:eastAsia="Calibri" w:hAnsi="Calibri"/>
            <w:sz w:val="22"/>
            <w:szCs w:val="22"/>
            <w:u w:val="single" w:color="auto"/>
            <w:color w:val="0000FF"/>
          </w:rPr>
          <w:t>Infection Prevention and Control for Novel Coronavirus (COVID-19)</w:t>
        </w:r>
        <w:r>
          <w:rPr>
            <w:rFonts w:ascii="Calibri" w:cs="Calibri" w:eastAsia="Calibri" w:hAnsi="Calibri"/>
            <w:sz w:val="22"/>
            <w:szCs w:val="22"/>
            <w:u w:val="single" w:color="auto"/>
            <w:color w:val="000000"/>
          </w:rPr>
          <w:t xml:space="preserve">; </w:t>
        </w:r>
      </w:hyperlink>
      <w:hyperlink r:id="rId35">
        <w:r>
          <w:rPr>
            <w:rFonts w:ascii="Calibri" w:cs="Calibri" w:eastAsia="Calibri" w:hAnsi="Calibri"/>
            <w:sz w:val="22"/>
            <w:szCs w:val="22"/>
            <w:u w:val="single" w:color="auto"/>
            <w:color w:val="0000FF"/>
          </w:rPr>
          <w:t>Critical Care Severe</w:t>
        </w:r>
      </w:hyperlink>
      <w:r>
        <w:rPr>
          <w:rFonts w:ascii="Calibri" w:cs="Calibri" w:eastAsia="Calibri" w:hAnsi="Calibri"/>
          <w:sz w:val="22"/>
          <w:szCs w:val="22"/>
          <w:color w:val="000000"/>
        </w:rPr>
        <w:t xml:space="preserve"> </w:t>
      </w:r>
      <w:hyperlink r:id="rId35">
        <w:r>
          <w:rPr>
            <w:rFonts w:ascii="Calibri" w:cs="Calibri" w:eastAsia="Calibri" w:hAnsi="Calibri"/>
            <w:sz w:val="22"/>
            <w:szCs w:val="22"/>
            <w:u w:val="single" w:color="auto"/>
            <w:color w:val="0000FF"/>
          </w:rPr>
          <w:t>Acute Respiratory Infection</w:t>
        </w:r>
      </w:hyperlink>
    </w:p>
    <w:p>
      <w:pPr>
        <w:spacing w:after="0" w:line="60" w:lineRule="exact"/>
        <w:rPr>
          <w:rFonts w:ascii="Calibri" w:cs="Calibri" w:eastAsia="Calibri" w:hAnsi="Calibri"/>
          <w:sz w:val="22"/>
          <w:szCs w:val="22"/>
          <w:u w:val="single" w:color="auto"/>
          <w:color w:val="0000FF"/>
        </w:rPr>
      </w:pPr>
    </w:p>
    <w:p>
      <w:pPr>
        <w:ind w:left="360" w:right="60" w:hanging="360"/>
        <w:spacing w:after="0" w:line="271"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early investigations, which are critical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here: </w:t>
      </w:r>
      <w:hyperlink r:id="rId36">
        <w:r>
          <w:rPr>
            <w:rFonts w:ascii="Calibri" w:cs="Calibri" w:eastAsia="Calibri" w:hAnsi="Calibri"/>
            <w:sz w:val="22"/>
            <w:szCs w:val="22"/>
            <w:u w:val="single" w:color="auto"/>
            <w:color w:val="0000FF"/>
          </w:rPr>
          <w:t>https://www.who.int/emergencies/diseases/novel-coronavirus-2019/technical-guidance/early-investigations</w:t>
        </w:r>
      </w:hyperlink>
      <w:r>
        <w:rPr>
          <w:rFonts w:ascii="Calibri" w:cs="Calibri" w:eastAsia="Calibri" w:hAnsi="Calibri"/>
          <w:sz w:val="22"/>
          <w:szCs w:val="22"/>
          <w:u w:val="single" w:color="auto"/>
          <w:color w:val="0000FF"/>
        </w:rPr>
        <w:t xml:space="preserve"> </w:t>
      </w:r>
      <w:r>
        <w:rPr>
          <w:rFonts w:ascii="Calibri" w:cs="Calibri" w:eastAsia="Calibri" w:hAnsi="Calibri"/>
          <w:sz w:val="22"/>
          <w:szCs w:val="22"/>
          <w:color w:val="000000"/>
        </w:rPr>
        <w:t>One such protocol is for the investigation of early COVID-19 cases and contacts (the “</w:t>
      </w:r>
      <w:hyperlink r:id="rId37">
        <w:r>
          <w:rPr>
            <w:rFonts w:ascii="Calibri" w:cs="Calibri" w:eastAsia="Calibri" w:hAnsi="Calibri"/>
            <w:sz w:val="22"/>
            <w:szCs w:val="22"/>
            <w:u w:val="single" w:color="auto"/>
            <w:color w:val="0000FF"/>
          </w:rPr>
          <w:t>First Few X (FFX) Cases and</w:t>
        </w:r>
      </w:hyperlink>
      <w:r>
        <w:rPr>
          <w:rFonts w:ascii="Calibri" w:cs="Calibri" w:eastAsia="Calibri" w:hAnsi="Calibri"/>
          <w:sz w:val="22"/>
          <w:szCs w:val="22"/>
          <w:color w:val="000000"/>
        </w:rPr>
        <w:t xml:space="preserve"> </w:t>
      </w:r>
      <w:hyperlink r:id="rId37">
        <w:r>
          <w:rPr>
            <w:rFonts w:ascii="Calibri" w:cs="Calibri" w:eastAsia="Calibri" w:hAnsi="Calibri"/>
            <w:sz w:val="22"/>
            <w:szCs w:val="22"/>
            <w:u w:val="single" w:color="auto"/>
            <w:color w:val="0000FF"/>
          </w:rPr>
          <w:t>contact investigation protocol for 2019-novel coronavirus (2019-nCoV) infection</w:t>
        </w:r>
      </w:hyperlink>
      <w:r>
        <w:rPr>
          <w:rFonts w:ascii="Calibri" w:cs="Calibri" w:eastAsia="Calibri" w:hAnsi="Calibri"/>
          <w:sz w:val="22"/>
          <w:szCs w:val="22"/>
          <w:color w:val="000000"/>
        </w:rPr>
        <w:t>”). The protocol is designed to</w:t>
      </w:r>
      <w:r>
        <w:rPr>
          <w:rFonts w:ascii="Calibri" w:cs="Calibri" w:eastAsia="Calibri" w:hAnsi="Calibri"/>
          <w:sz w:val="22"/>
          <w:szCs w:val="22"/>
          <w:color w:val="0000FF"/>
        </w:rPr>
        <w:t xml:space="preserve"> </w:t>
      </w:r>
      <w:r>
        <w:rPr>
          <w:rFonts w:ascii="Calibri" w:cs="Calibri" w:eastAsia="Calibri" w:hAnsi="Calibri"/>
          <w:sz w:val="22"/>
          <w:szCs w:val="22"/>
          <w:color w:val="000000"/>
        </w:rPr>
        <w:t>gain an early understanding of the key clinical, epidemiological and virological characteristics of the first cases of COVID-19 infection detected in any individual country, to inform the development and updating of public health guidance to manage cases and reduce the potential spread and impact of infection.</w:t>
      </w:r>
    </w:p>
    <w:p>
      <w:pPr>
        <w:spacing w:after="0" w:line="20" w:lineRule="exact"/>
        <w:rPr>
          <w:rFonts w:ascii="Calibri" w:cs="Calibri" w:eastAsia="Calibri" w:hAnsi="Calibri"/>
          <w:sz w:val="22"/>
          <w:szCs w:val="22"/>
          <w:u w:val="single" w:color="auto"/>
          <w:color w:val="0000FF"/>
        </w:rPr>
      </w:pPr>
      <w:r>
        <w:rPr>
          <w:rFonts w:ascii="Calibri" w:cs="Calibri" w:eastAsia="Calibri" w:hAnsi="Calibri"/>
          <w:sz w:val="22"/>
          <w:szCs w:val="22"/>
          <w:u w:val="single" w:color="auto"/>
          <w:color w:val="0000FF"/>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-5921375</wp:posOffset>
                </wp:positionV>
                <wp:extent cx="31750" cy="1333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3335"/>
                        </a:xfrm>
                        <a:prstGeom prst="rect">
                          <a:avLst/>
                        </a:prstGeom>
                        <a:solidFill>
                          <a:srgbClr val="000000"/>
                        </a:solidFill>
                      </wps:spPr>
                      <wps:bodyPr/>
                    </wps:wsp>
                  </a:graphicData>
                </a:graphic>
              </wp:anchor>
            </w:drawing>
          </mc:Choice>
          <mc:Fallback>
            <w:pict>
              <v:rect id="Shape 5" o:spid="_x0000_s1030" style="position:absolute;margin-left:202.95pt;margin-top:-466.2499pt;width:2.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6278245</wp:posOffset>
                </wp:positionH>
                <wp:positionV relativeFrom="paragraph">
                  <wp:posOffset>-5726430</wp:posOffset>
                </wp:positionV>
                <wp:extent cx="30480" cy="1333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3335"/>
                        </a:xfrm>
                        <a:prstGeom prst="rect">
                          <a:avLst/>
                        </a:prstGeom>
                        <a:solidFill>
                          <a:srgbClr val="0000FF"/>
                        </a:solidFill>
                      </wps:spPr>
                      <wps:bodyPr/>
                    </wps:wsp>
                  </a:graphicData>
                </a:graphic>
              </wp:anchor>
            </w:drawing>
          </mc:Choice>
          <mc:Fallback>
            <w:pict>
              <v:rect id="Shape 6" o:spid="_x0000_s1031" style="position:absolute;margin-left:494.35pt;margin-top:-450.8999pt;width:2.4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pacing w:after="0" w:line="252" w:lineRule="exact"/>
        <w:rPr>
          <w:rFonts w:ascii="Calibri" w:cs="Calibri" w:eastAsia="Calibri" w:hAnsi="Calibri"/>
          <w:sz w:val="22"/>
          <w:szCs w:val="22"/>
          <w:u w:val="single" w:color="auto"/>
          <w:color w:val="0000FF"/>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rFonts w:ascii="Calibri" w:cs="Calibri" w:eastAsia="Calibri" w:hAnsi="Calibri"/>
          <w:sz w:val="22"/>
          <w:szCs w:val="22"/>
          <w:u w:val="single" w:color="auto"/>
          <w:color w:val="0000FF"/>
        </w:rPr>
      </w:pPr>
    </w:p>
    <w:p>
      <w:pPr>
        <w:spacing w:after="0" w:line="268" w:lineRule="auto"/>
        <w:rPr>
          <w:rFonts w:ascii="Calibri" w:cs="Calibri" w:eastAsia="Calibri" w:hAnsi="Calibri"/>
          <w:sz w:val="22"/>
          <w:szCs w:val="22"/>
          <w:color w:val="auto"/>
        </w:rPr>
      </w:pPr>
      <w:r>
        <w:rPr>
          <w:rFonts w:ascii="Calibri" w:cs="Calibri" w:eastAsia="Calibri" w:hAnsi="Calibri"/>
          <w:sz w:val="22"/>
          <w:szCs w:val="22"/>
          <w:color w:val="auto"/>
        </w:rPr>
        <w:t xml:space="preserve">If you are not in an area where COVID-19 is spreading, or have not travelled from an area where COVID-19 is spreading, or have not been in contact with an infected patient, your risk of infection is low. It is understandable that you may feel anxious about the outbreak. Get the facts from reliable sources to help you accurately determine your risks so that you can take reasonable precautions (See </w:t>
      </w:r>
      <w:hyperlink r:id="rId38">
        <w:r>
          <w:rPr>
            <w:rFonts w:ascii="Calibri" w:cs="Calibri" w:eastAsia="Calibri" w:hAnsi="Calibri"/>
            <w:sz w:val="22"/>
            <w:szCs w:val="22"/>
            <w:u w:val="single" w:color="auto"/>
            <w:color w:val="0000FF"/>
          </w:rPr>
          <w:t>Frequently Asked Questions</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 xml:space="preserve">. Seek guidance from WHO, your healthcare provider, your national public health authority or your employer for accurate information on COVID-19 and whether COVID-19 is circulating where you live. It is important to be informed of the situation and take appropriate measures to protect yourself and your family (see </w:t>
      </w:r>
      <w:r>
        <w:rPr>
          <w:rFonts w:ascii="Calibri" w:cs="Calibri" w:eastAsia="Calibri" w:hAnsi="Calibri"/>
          <w:sz w:val="22"/>
          <w:szCs w:val="22"/>
          <w:u w:val="single" w:color="auto"/>
          <w:color w:val="0000FF"/>
        </w:rPr>
        <w:t>Protection measures for everyone</w:t>
      </w:r>
      <w:r>
        <w:rPr>
          <w:rFonts w:ascii="Calibri" w:cs="Calibri" w:eastAsia="Calibri" w:hAnsi="Calibri"/>
          <w:sz w:val="22"/>
          <w:szCs w:val="22"/>
          <w:color w:val="auto"/>
        </w:rPr>
        <w:t>).</w:t>
      </w:r>
    </w:p>
    <w:p>
      <w:pPr>
        <w:sectPr>
          <w:pgSz w:w="11920" w:h="16841" w:orient="portrait"/>
          <w:cols w:equalWidth="0" w:num="1">
            <w:col w:w="10460"/>
          </w:cols>
          <w:pgMar w:left="720" w:top="899" w:right="731" w:bottom="401" w:gutter="0" w:footer="0" w:header="0"/>
        </w:sectPr>
      </w:pPr>
    </w:p>
    <w:bookmarkStart w:id="6" w:name="page7"/>
    <w:bookmarkEnd w:id="6"/>
    <w:p>
      <w:pPr>
        <w:spacing w:after="0" w:line="267" w:lineRule="auto"/>
        <w:rPr>
          <w:sz w:val="20"/>
          <w:szCs w:val="20"/>
          <w:color w:val="auto"/>
        </w:rPr>
      </w:pPr>
      <w:r>
        <w:rPr>
          <w:rFonts w:ascii="Calibri" w:cs="Calibri" w:eastAsia="Calibri" w:hAnsi="Calibri"/>
          <w:sz w:val="22"/>
          <w:szCs w:val="22"/>
          <w:color w:val="auto"/>
        </w:rPr>
        <w:t xml:space="preserve">If you are in an area where there are cases of COVID-19 you need to take the risk of infection seriously. Follow the advice of WHO and guidance issued by national and local health authorities. For most people, COVID-19 infection will cause mild illness however, it can make some people very ill and, in some people, it can be fatal. Older people, and those with pre-existing medical conditions (such as cardiovascular disease, chronic respiratory disease or diabetes) are at risk for severe disease (See </w:t>
      </w:r>
      <w:r>
        <w:rPr>
          <w:rFonts w:ascii="Calibri" w:cs="Calibri" w:eastAsia="Calibri" w:hAnsi="Calibri"/>
          <w:sz w:val="22"/>
          <w:szCs w:val="22"/>
          <w:u w:val="single" w:color="auto"/>
          <w:color w:val="0000FF"/>
        </w:rPr>
        <w:t>Protection measures for persons who are in or have recently visited (past</w:t>
      </w:r>
      <w:r>
        <w:rPr>
          <w:rFonts w:ascii="Calibri" w:cs="Calibri" w:eastAsia="Calibri" w:hAnsi="Calibri"/>
          <w:sz w:val="22"/>
          <w:szCs w:val="22"/>
          <w:color w:val="auto"/>
        </w:rPr>
        <w:t xml:space="preserve"> </w:t>
      </w:r>
      <w:r>
        <w:rPr>
          <w:rFonts w:ascii="Calibri" w:cs="Calibri" w:eastAsia="Calibri" w:hAnsi="Calibri"/>
          <w:sz w:val="22"/>
          <w:szCs w:val="22"/>
          <w:u w:val="single" w:color="auto"/>
          <w:color w:val="0000FF"/>
        </w:rPr>
        <w:t>14 days) areas where COVID-19 is spreading</w:t>
      </w:r>
      <w:r>
        <w:rPr>
          <w:rFonts w:ascii="Calibri" w:cs="Calibri" w:eastAsia="Calibri" w:hAnsi="Calibri"/>
          <w:sz w:val="22"/>
          <w:szCs w:val="22"/>
          <w:color w:val="000000"/>
        </w:rPr>
        <w:t>).</w:t>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CASE DEFINITIONS</w:t>
      </w:r>
    </w:p>
    <w:p>
      <w:pPr>
        <w:spacing w:after="0" w:line="394" w:lineRule="exact"/>
        <w:rPr>
          <w:sz w:val="20"/>
          <w:szCs w:val="20"/>
          <w:color w:val="auto"/>
        </w:rPr>
      </w:pPr>
    </w:p>
    <w:p>
      <w:pPr>
        <w:ind w:right="840"/>
        <w:spacing w:after="0" w:line="236" w:lineRule="auto"/>
        <w:rPr>
          <w:rFonts w:ascii="Calibri" w:cs="Calibri" w:eastAsia="Calibri" w:hAnsi="Calibri"/>
          <w:sz w:val="22"/>
          <w:szCs w:val="22"/>
          <w:color w:val="auto"/>
        </w:rPr>
      </w:pPr>
      <w:r>
        <w:rPr>
          <w:rFonts w:ascii="Calibri" w:cs="Calibri" w:eastAsia="Calibri" w:hAnsi="Calibri"/>
          <w:sz w:val="22"/>
          <w:szCs w:val="22"/>
          <w:color w:val="auto"/>
        </w:rPr>
        <w:t xml:space="preserve">WHO periodically updates the </w:t>
      </w:r>
      <w:hyperlink r:id="rId13">
        <w:r>
          <w:rPr>
            <w:rFonts w:ascii="Calibri" w:cs="Calibri" w:eastAsia="Calibri" w:hAnsi="Calibri"/>
            <w:sz w:val="22"/>
            <w:szCs w:val="22"/>
            <w:u w:val="single" w:color="auto"/>
            <w:color w:val="0000FF"/>
          </w:rPr>
          <w:t>Global Surveillance for human infection with coronavirus disease (COVID-19)</w:t>
        </w:r>
      </w:hyperlink>
      <w:r>
        <w:rPr>
          <w:rFonts w:ascii="Calibri" w:cs="Calibri" w:eastAsia="Calibri" w:hAnsi="Calibri"/>
          <w:sz w:val="22"/>
          <w:szCs w:val="22"/>
          <w:color w:val="auto"/>
        </w:rPr>
        <w:t xml:space="preserve"> document which includes case definitions.</w:t>
      </w:r>
    </w:p>
    <w:p>
      <w:pPr>
        <w:spacing w:after="0" w:line="350" w:lineRule="exact"/>
        <w:rPr>
          <w:sz w:val="20"/>
          <w:szCs w:val="20"/>
          <w:color w:val="auto"/>
        </w:rPr>
      </w:pPr>
    </w:p>
    <w:p>
      <w:pPr>
        <w:spacing w:after="0"/>
        <w:rPr>
          <w:sz w:val="20"/>
          <w:szCs w:val="20"/>
          <w:color w:val="auto"/>
        </w:rPr>
      </w:pPr>
      <w:r>
        <w:rPr>
          <w:rFonts w:ascii="Calibri" w:cs="Calibri" w:eastAsia="Calibri" w:hAnsi="Calibri"/>
          <w:sz w:val="22"/>
          <w:szCs w:val="22"/>
          <w:color w:val="auto"/>
        </w:rPr>
        <w:t>For easy reference, case definitions are included below.</w:t>
      </w:r>
    </w:p>
    <w:p>
      <w:pPr>
        <w:spacing w:after="0" w:line="351"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Suspect case</w:t>
      </w:r>
    </w:p>
    <w:p>
      <w:pPr>
        <w:spacing w:after="0" w:line="88" w:lineRule="exact"/>
        <w:rPr>
          <w:sz w:val="20"/>
          <w:szCs w:val="20"/>
          <w:color w:val="auto"/>
        </w:rPr>
      </w:pPr>
    </w:p>
    <w:p>
      <w:pPr>
        <w:ind w:left="720" w:right="280" w:hanging="360"/>
        <w:spacing w:after="0" w:line="261" w:lineRule="auto"/>
        <w:tabs>
          <w:tab w:leader="none" w:pos="72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A patient with acute respiratory illness (fever and at least one sign/symptom of respiratory disease (e.g., cough, shortness of breath), AND with no other etiology that fully explains the clinical presentation AND a history of travel to or residence in a country/area or territory reporting local transmission (See </w:t>
      </w:r>
      <w:hyperlink r:id="rId39">
        <w:r>
          <w:rPr>
            <w:rFonts w:ascii="Calibri" w:cs="Calibri" w:eastAsia="Calibri" w:hAnsi="Calibri"/>
            <w:sz w:val="22"/>
            <w:szCs w:val="22"/>
            <w:u w:val="single" w:color="auto"/>
            <w:color w:val="0000FF"/>
          </w:rPr>
          <w:t>situation</w:t>
        </w:r>
      </w:hyperlink>
      <w:r>
        <w:rPr>
          <w:rFonts w:ascii="Calibri" w:cs="Calibri" w:eastAsia="Calibri" w:hAnsi="Calibri"/>
          <w:sz w:val="22"/>
          <w:szCs w:val="22"/>
          <w:color w:val="auto"/>
        </w:rPr>
        <w:t xml:space="preserve"> </w:t>
      </w:r>
      <w:hyperlink r:id="rId39">
        <w:r>
          <w:rPr>
            <w:rFonts w:ascii="Calibri" w:cs="Calibri" w:eastAsia="Calibri" w:hAnsi="Calibri"/>
            <w:sz w:val="22"/>
            <w:szCs w:val="22"/>
            <w:u w:val="single" w:color="auto"/>
            <w:color w:val="0000FF"/>
          </w:rPr>
          <w:t>report</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of </w:t>
      </w:r>
      <w:r>
        <w:rPr>
          <w:rFonts w:ascii="Calibri" w:cs="Calibri" w:eastAsia="Calibri" w:hAnsi="Calibri"/>
          <w:sz w:val="22"/>
          <w:szCs w:val="22"/>
          <w:color w:val="000000"/>
        </w:rPr>
        <w:t>COVID-19 disease during the 14 days prior to symptom onset.</w:t>
      </w:r>
    </w:p>
    <w:p>
      <w:pPr>
        <w:spacing w:after="0" w:line="19" w:lineRule="exact"/>
        <w:rPr>
          <w:rFonts w:ascii="Calibri" w:cs="Calibri" w:eastAsia="Calibri" w:hAnsi="Calibri"/>
          <w:sz w:val="22"/>
          <w:szCs w:val="22"/>
          <w:color w:val="auto"/>
        </w:rPr>
      </w:pPr>
    </w:p>
    <w:p>
      <w:pPr>
        <w:spacing w:after="0"/>
        <w:rPr>
          <w:sz w:val="20"/>
          <w:szCs w:val="20"/>
          <w:color w:val="auto"/>
        </w:rPr>
      </w:pPr>
      <w:r>
        <w:rPr>
          <w:rFonts w:ascii="Calibri" w:cs="Calibri" w:eastAsia="Calibri" w:hAnsi="Calibri"/>
          <w:sz w:val="22"/>
          <w:szCs w:val="22"/>
          <w:color w:val="auto"/>
        </w:rPr>
        <w:t>OR</w:t>
      </w:r>
    </w:p>
    <w:p>
      <w:pPr>
        <w:spacing w:after="0" w:line="90" w:lineRule="exact"/>
        <w:rPr>
          <w:rFonts w:ascii="Calibri" w:cs="Calibri" w:eastAsia="Calibri" w:hAnsi="Calibri"/>
          <w:sz w:val="22"/>
          <w:szCs w:val="22"/>
          <w:color w:val="auto"/>
        </w:rPr>
      </w:pPr>
    </w:p>
    <w:p>
      <w:pPr>
        <w:ind w:left="720" w:right="20" w:hanging="360"/>
        <w:spacing w:after="0" w:line="235" w:lineRule="auto"/>
        <w:tabs>
          <w:tab w:leader="none" w:pos="72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A patient with any acute respiratory illness AND having been in contact with a confirmed or probable COVID-19 case (see definition of contact) in the last 14 days prior to onset of symptoms;</w:t>
      </w:r>
    </w:p>
    <w:p>
      <w:pPr>
        <w:spacing w:after="0" w:line="42" w:lineRule="exact"/>
        <w:rPr>
          <w:rFonts w:ascii="Calibri" w:cs="Calibri" w:eastAsia="Calibri" w:hAnsi="Calibri"/>
          <w:sz w:val="22"/>
          <w:szCs w:val="22"/>
          <w:color w:val="auto"/>
        </w:rPr>
      </w:pPr>
    </w:p>
    <w:p>
      <w:pPr>
        <w:spacing w:after="0"/>
        <w:rPr>
          <w:sz w:val="20"/>
          <w:szCs w:val="20"/>
          <w:color w:val="auto"/>
        </w:rPr>
      </w:pPr>
      <w:r>
        <w:rPr>
          <w:rFonts w:ascii="Calibri" w:cs="Calibri" w:eastAsia="Calibri" w:hAnsi="Calibri"/>
          <w:sz w:val="22"/>
          <w:szCs w:val="22"/>
          <w:color w:val="auto"/>
        </w:rPr>
        <w:t>OR</w:t>
      </w:r>
    </w:p>
    <w:p>
      <w:pPr>
        <w:spacing w:after="0" w:line="90" w:lineRule="exact"/>
        <w:rPr>
          <w:rFonts w:ascii="Calibri" w:cs="Calibri" w:eastAsia="Calibri" w:hAnsi="Calibri"/>
          <w:sz w:val="22"/>
          <w:szCs w:val="22"/>
          <w:color w:val="auto"/>
        </w:rPr>
      </w:pPr>
    </w:p>
    <w:p>
      <w:pPr>
        <w:ind w:left="720" w:right="40" w:hanging="360"/>
        <w:spacing w:after="0" w:line="253" w:lineRule="auto"/>
        <w:tabs>
          <w:tab w:leader="none" w:pos="72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A patient with severe acute respiratory infection (fever and at least one sign/symptom of respiratory disease (e.g., cough, shortness breath) AND requiring hospitalization AND with no other etiology that fully explains the clinical presentation.</w:t>
      </w:r>
    </w:p>
    <w:p>
      <w:pPr>
        <w:spacing w:after="0" w:line="335" w:lineRule="exact"/>
        <w:rPr>
          <w:rFonts w:ascii="Calibri" w:cs="Calibri" w:eastAsia="Calibri" w:hAnsi="Calibri"/>
          <w:sz w:val="22"/>
          <w:szCs w:val="22"/>
          <w:color w:val="auto"/>
        </w:rPr>
      </w:pPr>
    </w:p>
    <w:p>
      <w:pPr>
        <w:spacing w:after="0"/>
        <w:rPr>
          <w:sz w:val="20"/>
          <w:szCs w:val="20"/>
          <w:color w:val="auto"/>
        </w:rPr>
      </w:pPr>
      <w:r>
        <w:rPr>
          <w:rFonts w:ascii="Calibri" w:cs="Calibri" w:eastAsia="Calibri" w:hAnsi="Calibri"/>
          <w:sz w:val="22"/>
          <w:szCs w:val="22"/>
          <w:b w:val="1"/>
          <w:bCs w:val="1"/>
          <w:u w:val="single" w:color="auto"/>
          <w:color w:val="auto"/>
        </w:rPr>
        <w:t>Probable case</w:t>
      </w:r>
    </w:p>
    <w:p>
      <w:pPr>
        <w:spacing w:after="0" w:line="41" w:lineRule="exact"/>
        <w:rPr>
          <w:rFonts w:ascii="Calibri" w:cs="Calibri" w:eastAsia="Calibri" w:hAnsi="Calibri"/>
          <w:sz w:val="22"/>
          <w:szCs w:val="22"/>
          <w:color w:val="auto"/>
        </w:rPr>
      </w:pPr>
    </w:p>
    <w:p>
      <w:pPr>
        <w:spacing w:after="0"/>
        <w:rPr>
          <w:sz w:val="20"/>
          <w:szCs w:val="20"/>
          <w:color w:val="auto"/>
        </w:rPr>
      </w:pPr>
      <w:r>
        <w:rPr>
          <w:rFonts w:ascii="Calibri" w:cs="Calibri" w:eastAsia="Calibri" w:hAnsi="Calibri"/>
          <w:sz w:val="22"/>
          <w:szCs w:val="22"/>
          <w:color w:val="auto"/>
        </w:rPr>
        <w:t>A suspect case for whom testing for COVID-19 is inconclusive.</w:t>
      </w:r>
    </w:p>
    <w:p>
      <w:pPr>
        <w:spacing w:after="0" w:line="41" w:lineRule="exact"/>
        <w:rPr>
          <w:rFonts w:ascii="Calibri" w:cs="Calibri" w:eastAsia="Calibri" w:hAnsi="Calibri"/>
          <w:sz w:val="22"/>
          <w:szCs w:val="22"/>
          <w:color w:val="auto"/>
        </w:rPr>
      </w:pPr>
    </w:p>
    <w:p>
      <w:pPr>
        <w:ind w:left="1080" w:hanging="360"/>
        <w:spacing w:after="0"/>
        <w:tabs>
          <w:tab w:leader="none" w:pos="1080" w:val="left"/>
        </w:tabs>
        <w:numPr>
          <w:ilvl w:val="0"/>
          <w:numId w:val="9"/>
        </w:numPr>
        <w:rPr>
          <w:rFonts w:ascii="Arial" w:cs="Arial" w:eastAsia="Arial" w:hAnsi="Arial"/>
          <w:sz w:val="12"/>
          <w:szCs w:val="12"/>
          <w:color w:val="auto"/>
        </w:rPr>
      </w:pPr>
      <w:r>
        <w:rPr>
          <w:rFonts w:ascii="Calibri" w:cs="Calibri" w:eastAsia="Calibri" w:hAnsi="Calibri"/>
          <w:sz w:val="22"/>
          <w:szCs w:val="22"/>
          <w:color w:val="auto"/>
        </w:rPr>
        <w:t>Inconclusive being the result of the test reported by the laboratory</w:t>
      </w:r>
    </w:p>
    <w:p>
      <w:pPr>
        <w:spacing w:after="0" w:line="349" w:lineRule="exact"/>
        <w:rPr>
          <w:rFonts w:ascii="Calibri" w:cs="Calibri" w:eastAsia="Calibri" w:hAnsi="Calibri"/>
          <w:sz w:val="22"/>
          <w:szCs w:val="22"/>
          <w:color w:val="auto"/>
        </w:rPr>
      </w:pPr>
    </w:p>
    <w:p>
      <w:pPr>
        <w:spacing w:after="0"/>
        <w:rPr>
          <w:sz w:val="20"/>
          <w:szCs w:val="20"/>
          <w:color w:val="auto"/>
        </w:rPr>
      </w:pPr>
      <w:r>
        <w:rPr>
          <w:rFonts w:ascii="Calibri" w:cs="Calibri" w:eastAsia="Calibri" w:hAnsi="Calibri"/>
          <w:sz w:val="22"/>
          <w:szCs w:val="22"/>
          <w:b w:val="1"/>
          <w:bCs w:val="1"/>
          <w:u w:val="single" w:color="auto"/>
          <w:color w:val="auto"/>
        </w:rPr>
        <w:t>Confirmed case</w:t>
      </w:r>
    </w:p>
    <w:p>
      <w:pPr>
        <w:spacing w:after="0" w:line="41" w:lineRule="exact"/>
        <w:rPr>
          <w:rFonts w:ascii="Calibri" w:cs="Calibri" w:eastAsia="Calibri" w:hAnsi="Calibri"/>
          <w:sz w:val="22"/>
          <w:szCs w:val="22"/>
          <w:color w:val="auto"/>
        </w:rPr>
      </w:pPr>
    </w:p>
    <w:p>
      <w:pPr>
        <w:spacing w:after="0"/>
        <w:rPr>
          <w:sz w:val="20"/>
          <w:szCs w:val="20"/>
          <w:color w:val="auto"/>
        </w:rPr>
      </w:pPr>
      <w:r>
        <w:rPr>
          <w:rFonts w:ascii="Calibri" w:cs="Calibri" w:eastAsia="Calibri" w:hAnsi="Calibri"/>
          <w:sz w:val="22"/>
          <w:szCs w:val="22"/>
          <w:color w:val="auto"/>
        </w:rPr>
        <w:t>A person with laboratory confirmation of COVID-19 infection, irrespective of clinical signs and symptoms.</w:t>
      </w:r>
    </w:p>
    <w:p>
      <w:pPr>
        <w:spacing w:after="0" w:line="397" w:lineRule="exact"/>
        <w:rPr>
          <w:rFonts w:ascii="Calibri" w:cs="Calibri" w:eastAsia="Calibri" w:hAnsi="Calibri"/>
          <w:sz w:val="22"/>
          <w:szCs w:val="22"/>
          <w:color w:val="auto"/>
        </w:rPr>
      </w:pPr>
    </w:p>
    <w:p>
      <w:pPr>
        <w:ind w:right="3160"/>
        <w:spacing w:after="0" w:line="236"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Link for lab page: </w:t>
      </w:r>
      <w:hyperlink r:id="rId40">
        <w:r>
          <w:rPr>
            <w:rFonts w:ascii="Calibri" w:cs="Calibri" w:eastAsia="Calibri" w:hAnsi="Calibri"/>
            <w:sz w:val="22"/>
            <w:szCs w:val="22"/>
            <w:u w:val="single" w:color="auto"/>
            <w:color w:val="0000FF"/>
          </w:rPr>
          <w:t>https://www.who.int/emergencies/diseases/novel-coronavirus-</w:t>
        </w:r>
      </w:hyperlink>
      <w:hyperlink r:id="rId40">
        <w:r>
          <w:rPr>
            <w:rFonts w:ascii="Calibri" w:cs="Calibri" w:eastAsia="Calibri" w:hAnsi="Calibri"/>
            <w:sz w:val="22"/>
            <w:szCs w:val="22"/>
            <w:u w:val="single" w:color="auto"/>
            <w:color w:val="0000FF"/>
          </w:rPr>
          <w:t>2019/technicalguidance/laboratory-guidance</w:t>
        </w:r>
      </w:hyperlink>
    </w:p>
    <w:sectPr>
      <w:pgSz w:w="11920" w:h="16841" w:orient="portrait"/>
      <w:cols w:equalWidth="0" w:num="1">
        <w:col w:w="10460"/>
      </w:cols>
      <w:pgMar w:left="720" w:top="1252"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
      <w:numFmt w:val="bullet"/>
      <w:start w:val="1"/>
    </w:lvl>
  </w:abstractNum>
  <w:abstractNum w:abstractNumId="3">
    <w:nsid w:val="2EB141F2"/>
    <w:multiLevelType w:val="hybridMultilevel"/>
    <w:lvl w:ilvl="0">
      <w:lvlJc w:val="left"/>
      <w:lvlText w:val="•"/>
      <w:numFmt w:val="bullet"/>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1."/>
      <w:numFmt w:val="upperLetter"/>
      <w:start w:val="1"/>
    </w:lvl>
  </w:abstractNum>
  <w:abstractNum w:abstractNumId="6">
    <w:nsid w:val="7545E146"/>
    <w:multiLevelType w:val="hybridMultilevel"/>
    <w:lvl w:ilvl="0">
      <w:lvlJc w:val="left"/>
      <w:lvlText w:val="%1."/>
      <w:numFmt w:val="upperLetter"/>
      <w:start w:val="2"/>
    </w:lvl>
  </w:abstractNum>
  <w:abstractNum w:abstractNumId="7">
    <w:nsid w:val="515F007C"/>
    <w:multiLevelType w:val="hybridMultilevel"/>
    <w:lvl w:ilvl="0">
      <w:lvlJc w:val="left"/>
      <w:lvlText w:val="%1."/>
      <w:numFmt w:val="upperLetter"/>
      <w:start w:val="3"/>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2" Type="http://schemas.openxmlformats.org/officeDocument/2006/relationships/image" Target="media/image2.jpeg"/><Relationship Id="rId14" Type="http://schemas.openxmlformats.org/officeDocument/2006/relationships/image" Target="media/image3.png"/><Relationship Id="rId9" Type="http://schemas.openxmlformats.org/officeDocument/2006/relationships/hyperlink" Target="http://www.emro.who.int/media/news/statement-by-the-regional-director-dr-ahmed-al-mandhari-on-covid-19-in-the-eastern-mediterranean.html" TargetMode="External"/><Relationship Id="rId10" Type="http://schemas.openxmlformats.org/officeDocument/2006/relationships/hyperlink" Target="https://www.paho.org/en/stories/paho-prepares-barbados-covid-19-testing" TargetMode="External"/><Relationship Id="rId11" Type="http://schemas.openxmlformats.org/officeDocument/2006/relationships/hyperlink" Target="https://openwho.org/channels/covid-19" TargetMode="External"/><Relationship Id="rId13" Type="http://schemas.openxmlformats.org/officeDocument/2006/relationships/hyperlink" Target="https://www.who.int/publications-detail/global-surveillance-for-human-infection-with-novel-coronavirus-(2019-ncov)" TargetMode="External"/><Relationship Id="rId15" Type="http://schemas.openxmlformats.org/officeDocument/2006/relationships/hyperlink" Target="https://www.who.int/emergencies/diseases/novel-coronavirus-2019/technical-guidance" TargetMode="External"/><Relationship Id="rId16" Type="http://schemas.openxmlformats.org/officeDocument/2006/relationships/hyperlink" Target="https://www.iata.org/en/programs/safety/health/diseases/#tab-2" TargetMode="External"/><Relationship Id="rId17" Type="http://schemas.openxmlformats.org/officeDocument/2006/relationships/hyperlink" Target="https://www.who.int/emergencies/diseases/novel-coronavirus-2019/technical-guidance/laboratory-guidance" TargetMode="External"/><Relationship Id="rId18" Type="http://schemas.openxmlformats.org/officeDocument/2006/relationships/hyperlink" Target="https://www.who.int/publications-detail/advice-on-the-use-of-masks-in-the-community-during-home-care-and-in-healthcare-settings-in-the-context-of-the-novel-coronavirus-(2019-ncov)-outbreak" TargetMode="External"/><Relationship Id="rId19" Type="http://schemas.openxmlformats.org/officeDocument/2006/relationships/hyperlink" Target="https://www.who.int/publications-detail/clinical-management-of-severe-acute-respiratory-infection-when-novel-coronavirus-(ncov)-infection-is-suspected" TargetMode="External"/><Relationship Id="rId20" Type="http://schemas.openxmlformats.org/officeDocument/2006/relationships/hyperlink" Target="https://www.who.int/emergencies/diseases/novel-coronavirus-2019/technical-guidance/infection-prevention-and-control" TargetMode="External"/><Relationship Id="rId21" Type="http://schemas.openxmlformats.org/officeDocument/2006/relationships/hyperlink" Target="https://www.who.int/publications-detail/home-care-for-patients-with-suspected-novel-coronavirus-(ncov)-infection-presenting-with-mild-symptoms-and-management-of-contacts" TargetMode="External"/><Relationship Id="rId22" Type="http://schemas.openxmlformats.org/officeDocument/2006/relationships/hyperlink" Target="https://www.who.int/publications-detail/risk-communication-and-community-engagement-readiness-and-initial-response-for-novel-coronaviruses-(-ncov)" TargetMode="External"/><Relationship Id="rId23" Type="http://schemas.openxmlformats.org/officeDocument/2006/relationships/hyperlink" Target="https://www.who.int/publications-detail/disease-commodity-package---novel-coronavirus-(ncov)" TargetMode="External"/><Relationship Id="rId24" Type="http://schemas.openxmlformats.org/officeDocument/2006/relationships/hyperlink" Target="https://www.who.int/health-topics/coronavirus/who-recommendations-to-reduce-risk-of-transmission-of-emerging-pathogens-from-animals-to-humans-in-live-animal-markets" TargetMode="External"/><Relationship Id="rId25" Type="http://schemas.openxmlformats.org/officeDocument/2006/relationships/hyperlink" Target="https://www.who.int/ith/2019-nCoV_advice_for_international_traffic-rev/en/" TargetMode="External"/><Relationship Id="rId26" Type="http://schemas.openxmlformats.org/officeDocument/2006/relationships/hyperlink" Target="https://openwho.org/courses/introduction-to-ncov" TargetMode="External"/><Relationship Id="rId27" Type="http://schemas.openxmlformats.org/officeDocument/2006/relationships/hyperlink" Target="https://openwho.org/courses/introduction-au-ncov" TargetMode="External"/><Relationship Id="rId28" Type="http://schemas.openxmlformats.org/officeDocument/2006/relationships/hyperlink" Target="https://openwho.org/courses/introduction-to-ncov-ZH" TargetMode="External"/><Relationship Id="rId29" Type="http://schemas.openxmlformats.org/officeDocument/2006/relationships/hyperlink" Target="https://openwho.org/courses/introduccion-al-ncov" TargetMode="External"/><Relationship Id="rId30" Type="http://schemas.openxmlformats.org/officeDocument/2006/relationships/hyperlink" Target="https://openwho.org/courses/introducao-ao-ncov" TargetMode="External"/><Relationship Id="rId31" Type="http://schemas.openxmlformats.org/officeDocument/2006/relationships/hyperlink" Target="https://openwho.org/courses/severe-acuterespiratory-infection" TargetMode="External"/><Relationship Id="rId32" Type="http://schemas.openxmlformats.org/officeDocument/2006/relationships/hyperlink" Target="https://openwho.org/courses/eprotect-acute-respiratory-infections" TargetMode="External"/><Relationship Id="rId33" Type="http://schemas.openxmlformats.org/officeDocument/2006/relationships/hyperlink" Target="https://openwho.org/courses/eprotect-infections-respiratoires-aigues" TargetMode="External"/><Relationship Id="rId34" Type="http://schemas.openxmlformats.org/officeDocument/2006/relationships/hyperlink" Target="https://openwho.org/courses/COVID-19-IPC-EN" TargetMode="External"/><Relationship Id="rId35" Type="http://schemas.openxmlformats.org/officeDocument/2006/relationships/hyperlink" Target="https://openwho.org/courses/severe-acute-respiratory-infection" TargetMode="External"/><Relationship Id="rId36" Type="http://schemas.openxmlformats.org/officeDocument/2006/relationships/hyperlink" Target="https://www.who.int/emergencies/diseases/novel-coronavirus-2019/technical-guidance/early-investigations" TargetMode="External"/><Relationship Id="rId37" Type="http://schemas.openxmlformats.org/officeDocument/2006/relationships/hyperlink" Target="https://www.who.int/publications-detail/the-first-few-x-(ffx)-cases-and-contact-investigation-protocol-for-2019-novel-coronavirus-(2019-ncov)-infection" TargetMode="External"/><Relationship Id="rId38" Type="http://schemas.openxmlformats.org/officeDocument/2006/relationships/hyperlink" Target="https://www.who.int/news-room/q-a-detail/q-a-coronaviruses" TargetMode="External"/><Relationship Id="rId39" Type="http://schemas.openxmlformats.org/officeDocument/2006/relationships/hyperlink" Target="https://www.who.int/emergencies/diseases/novel-coronavirus-2019/situation-reports/" TargetMode="External"/><Relationship Id="rId40" Type="http://schemas.openxmlformats.org/officeDocument/2006/relationships/hyperlink" Target="https://www.who.int/emergencies/diseases/novel-coronavirus-2019/technicalguidance/laboratory-guidanc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2020-03-10T16:47:33Z</dcterms:created>
  <dcterms:modified xsi:type="dcterms:W3CDTF">2020-03-10T16:47:33Z</dcterms:modified>
</cp:coreProperties>
</file>