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60"/>
        <w:spacing w:after="0" w:line="238" w:lineRule="auto"/>
        <w:rPr>
          <w:sz w:val="20"/>
          <w:szCs w:val="20"/>
          <w:color w:val="auto"/>
        </w:rPr>
      </w:pPr>
      <w:r>
        <w:rPr>
          <w:rFonts w:ascii="Arial" w:cs="Arial" w:eastAsia="Arial" w:hAnsi="Arial"/>
          <w:sz w:val="34"/>
          <w:szCs w:val="34"/>
          <w:b w:val="1"/>
          <w:bCs w:val="1"/>
          <w:color w:val="FFFFFF"/>
        </w:rPr>
        <w:t>Situation Report – 46</w:t>
      </w:r>
    </w:p>
    <w:p>
      <w:pPr>
        <w:spacing w:after="0" w:line="234" w:lineRule="exact"/>
        <w:rPr>
          <w:sz w:val="24"/>
          <w:szCs w:val="24"/>
          <w:color w:val="auto"/>
        </w:rPr>
      </w:pPr>
    </w:p>
    <w:p>
      <w:pPr>
        <w:ind w:left="120"/>
        <w:spacing w:after="0"/>
        <w:rPr>
          <w:sz w:val="20"/>
          <w:szCs w:val="20"/>
          <w:color w:val="auto"/>
        </w:rPr>
      </w:pPr>
      <w:r>
        <w:rPr>
          <w:rFonts w:ascii="Arial" w:cs="Arial" w:eastAsia="Arial" w:hAnsi="Arial"/>
          <w:sz w:val="16"/>
          <w:szCs w:val="16"/>
          <w:b w:val="1"/>
          <w:bCs w:val="1"/>
          <w:color w:val="FFFFFF"/>
        </w:rPr>
        <w:t>Data as reported by national authorities by 10AM CET 06 March 2020</w:t>
      </w:r>
    </w:p>
    <w:p>
      <w:pPr>
        <w:spacing w:after="0" w:line="35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98" w:lineRule="exact"/>
        <w:rPr>
          <w:sz w:val="24"/>
          <w:szCs w:val="24"/>
          <w:color w:val="auto"/>
        </w:rPr>
      </w:pPr>
    </w:p>
    <w:p>
      <w:pPr>
        <w:ind w:left="540" w:right="20" w:hanging="356"/>
        <w:spacing w:after="0" w:line="236"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4 new countries/territories/areas (Bhutan, Cameroon, Serbia, and South Africa) have reported cases of COVID-19 in the past 24 hours.</w:t>
      </w:r>
    </w:p>
    <w:p>
      <w:pPr>
        <w:spacing w:after="0" w:line="200" w:lineRule="exact"/>
        <w:rPr>
          <w:rFonts w:ascii="Arial" w:cs="Arial" w:eastAsia="Arial" w:hAnsi="Arial"/>
          <w:sz w:val="22"/>
          <w:szCs w:val="22"/>
          <w:color w:val="auto"/>
        </w:rPr>
      </w:pPr>
    </w:p>
    <w:p>
      <w:pPr>
        <w:spacing w:after="0" w:line="241" w:lineRule="exact"/>
        <w:rPr>
          <w:rFonts w:ascii="Arial" w:cs="Arial" w:eastAsia="Arial" w:hAnsi="Arial"/>
          <w:sz w:val="22"/>
          <w:szCs w:val="22"/>
          <w:color w:val="auto"/>
        </w:rPr>
      </w:pPr>
    </w:p>
    <w:p>
      <w:pPr>
        <w:jc w:val="both"/>
        <w:ind w:left="540" w:hanging="356"/>
        <w:spacing w:after="0" w:line="261"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As the COVID-19 outbreak continues to evolve, comparisons have been drawn to influenza. WHO has provided a Q&amp;A regarding the similarities and differences between the two diseases. Please see the Situation in Focus below for more information.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1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98 192 confirmed (2873 new)</w:t>
      </w:r>
    </w:p>
    <w:p>
      <w:pPr>
        <w:spacing w:after="0" w:line="29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80 711 confirmed (146 new)</w:t>
      </w:r>
    </w:p>
    <w:p>
      <w:pPr>
        <w:ind w:left="220"/>
        <w:spacing w:after="0"/>
        <w:rPr>
          <w:sz w:val="20"/>
          <w:szCs w:val="20"/>
          <w:color w:val="auto"/>
        </w:rPr>
      </w:pPr>
      <w:r>
        <w:rPr>
          <w:rFonts w:ascii="Calibri" w:cs="Calibri" w:eastAsia="Calibri" w:hAnsi="Calibri"/>
          <w:sz w:val="24"/>
          <w:szCs w:val="24"/>
          <w:color w:val="FF6600"/>
        </w:rPr>
        <w:t>3045 deaths (30 new)</w:t>
      </w:r>
    </w:p>
    <w:p>
      <w:pPr>
        <w:spacing w:after="0" w:line="292"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17 481 confirmed (2727 new)</w:t>
      </w:r>
    </w:p>
    <w:p>
      <w:pPr>
        <w:ind w:left="220"/>
        <w:spacing w:after="0"/>
        <w:rPr>
          <w:sz w:val="20"/>
          <w:szCs w:val="20"/>
          <w:color w:val="auto"/>
        </w:rPr>
      </w:pPr>
      <w:r>
        <w:rPr>
          <w:rFonts w:ascii="Calibri" w:cs="Calibri" w:eastAsia="Calibri" w:hAnsi="Calibri"/>
          <w:sz w:val="24"/>
          <w:szCs w:val="24"/>
          <w:color w:val="FF6600"/>
        </w:rPr>
        <w:t>335 deaths (69 new)</w:t>
      </w:r>
    </w:p>
    <w:p>
      <w:pPr>
        <w:spacing w:after="0" w:line="52" w:lineRule="exact"/>
        <w:rPr>
          <w:sz w:val="24"/>
          <w:szCs w:val="24"/>
          <w:color w:val="auto"/>
        </w:rPr>
      </w:pPr>
    </w:p>
    <w:p>
      <w:pPr>
        <w:ind w:left="320" w:right="260" w:firstLine="4"/>
        <w:spacing w:after="0" w:line="227" w:lineRule="auto"/>
        <w:tabs>
          <w:tab w:leader="none" w:pos="617" w:val="left"/>
        </w:tabs>
        <w:numPr>
          <w:ilvl w:val="0"/>
          <w:numId w:val="2"/>
        </w:numPr>
        <w:rPr>
          <w:rFonts w:ascii="Calibri" w:cs="Calibri" w:eastAsia="Calibri" w:hAnsi="Calibri"/>
          <w:sz w:val="23"/>
          <w:szCs w:val="23"/>
          <w:color w:val="FF6600"/>
        </w:rPr>
      </w:pPr>
      <w:r>
        <w:rPr>
          <w:rFonts w:ascii="Calibri" w:cs="Calibri" w:eastAsia="Calibri" w:hAnsi="Calibri"/>
          <w:sz w:val="23"/>
          <w:szCs w:val="23"/>
          <w:color w:val="FF6600"/>
        </w:rPr>
        <w:t>Countries/territories/ areas (4 new)</w:t>
      </w:r>
    </w:p>
    <w:p>
      <w:pPr>
        <w:spacing w:after="0" w:line="294"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spacing w:after="0" w:line="2"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200" w:lineRule="exact"/>
        <w:rPr>
          <w:sz w:val="24"/>
          <w:szCs w:val="24"/>
          <w:color w:val="auto"/>
        </w:rPr>
      </w:pPr>
    </w:p>
    <w:p>
      <w:pPr>
        <w:sectPr>
          <w:pgSz w:w="11920" w:h="16841" w:orient="portrait"/>
          <w:cols w:equalWidth="0" w:num="2">
            <w:col w:w="7480" w:space="420"/>
            <w:col w:w="2980"/>
          </w:cols>
          <w:pgMar w:left="500" w:top="596" w:right="531"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ind w:left="3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06 March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224790</wp:posOffset>
            </wp:positionH>
            <wp:positionV relativeFrom="paragraph">
              <wp:posOffset>28575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0880"/>
          </w:cols>
          <w:pgMar w:left="500" w:top="596" w:right="53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Q&amp;A: Similarities and differences – COVID-19 and influenza</w:t>
      </w:r>
    </w:p>
    <w:p>
      <w:pPr>
        <w:spacing w:after="0" w:line="320" w:lineRule="exact"/>
        <w:rPr>
          <w:sz w:val="20"/>
          <w:szCs w:val="20"/>
          <w:color w:val="auto"/>
        </w:rPr>
      </w:pPr>
    </w:p>
    <w:p>
      <w:pPr>
        <w:ind w:right="240"/>
        <w:spacing w:after="0" w:line="225" w:lineRule="auto"/>
        <w:rPr>
          <w:sz w:val="20"/>
          <w:szCs w:val="20"/>
          <w:color w:val="auto"/>
        </w:rPr>
      </w:pPr>
      <w:r>
        <w:rPr>
          <w:rFonts w:ascii="Calibri" w:cs="Calibri" w:eastAsia="Calibri" w:hAnsi="Calibri"/>
          <w:sz w:val="22"/>
          <w:szCs w:val="22"/>
          <w:color w:val="auto"/>
        </w:rPr>
        <w:t>As the COVID-19 outbreak continues to evolve, comparisons have been drawn to influenza. Both cause respiratory disease, yet there are important differences between the two viruses and how they spread. This has important implications for the public health measures that can be implemented to respond to each virus.</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Q. How are COVID-19 and influenza viruses similar?</w:t>
      </w:r>
    </w:p>
    <w:p>
      <w:pPr>
        <w:spacing w:after="0" w:line="49" w:lineRule="exact"/>
        <w:rPr>
          <w:sz w:val="20"/>
          <w:szCs w:val="20"/>
          <w:color w:val="auto"/>
        </w:rPr>
      </w:pPr>
    </w:p>
    <w:p>
      <w:pPr>
        <w:ind w:right="200"/>
        <w:spacing w:after="0" w:line="218" w:lineRule="auto"/>
        <w:rPr>
          <w:sz w:val="20"/>
          <w:szCs w:val="20"/>
          <w:color w:val="auto"/>
        </w:rPr>
      </w:pPr>
      <w:r>
        <w:rPr>
          <w:rFonts w:ascii="Calibri" w:cs="Calibri" w:eastAsia="Calibri" w:hAnsi="Calibri"/>
          <w:sz w:val="22"/>
          <w:szCs w:val="22"/>
          <w:color w:val="auto"/>
        </w:rPr>
        <w:t>Firstly, COVID-19 and influenza viruses have a similar disease presentation. That is, they both cause respiratory disease, which presents as a wide range of illness from asymptomatic or mild through to severe disease and death.</w:t>
      </w:r>
    </w:p>
    <w:p>
      <w:pPr>
        <w:spacing w:after="0" w:line="319" w:lineRule="exact"/>
        <w:rPr>
          <w:sz w:val="20"/>
          <w:szCs w:val="20"/>
          <w:color w:val="auto"/>
        </w:rPr>
      </w:pPr>
    </w:p>
    <w:p>
      <w:pPr>
        <w:ind w:right="620"/>
        <w:spacing w:after="0" w:line="225" w:lineRule="auto"/>
        <w:rPr>
          <w:sz w:val="20"/>
          <w:szCs w:val="20"/>
          <w:color w:val="auto"/>
        </w:rPr>
      </w:pPr>
      <w:r>
        <w:rPr>
          <w:rFonts w:ascii="Calibri" w:cs="Calibri" w:eastAsia="Calibri" w:hAnsi="Calibri"/>
          <w:sz w:val="22"/>
          <w:szCs w:val="22"/>
          <w:color w:val="auto"/>
        </w:rPr>
        <w:t>Secondly, both viruses are transmitted by contact, droplets and fomites. As a result, the same public health measures, such as hand hygiene and good respiratory etiquette (coughing into your elbow or into a tissue and immediately disposing of the tissue), are important actions all can take to prevent infection.</w:t>
      </w:r>
    </w:p>
    <w:p>
      <w:pPr>
        <w:spacing w:after="0" w:line="272"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Q. How are COVID-19 and influenza viruses different?</w:t>
      </w:r>
    </w:p>
    <w:p>
      <w:pPr>
        <w:spacing w:after="0" w:line="49" w:lineRule="exact"/>
        <w:rPr>
          <w:sz w:val="20"/>
          <w:szCs w:val="20"/>
          <w:color w:val="auto"/>
        </w:rPr>
      </w:pPr>
    </w:p>
    <w:p>
      <w:pPr>
        <w:ind w:right="200"/>
        <w:spacing w:after="0" w:line="230" w:lineRule="auto"/>
        <w:rPr>
          <w:sz w:val="20"/>
          <w:szCs w:val="20"/>
          <w:color w:val="auto"/>
        </w:rPr>
      </w:pPr>
      <w:r>
        <w:rPr>
          <w:rFonts w:ascii="Calibri" w:cs="Calibri" w:eastAsia="Calibri" w:hAnsi="Calibri"/>
          <w:sz w:val="22"/>
          <w:szCs w:val="22"/>
          <w:color w:val="auto"/>
        </w:rPr>
        <w:t>The speed of transmission is an important point of difference between the two viruses. Influenza has a shorter median incubation period (the time from infection to appearance of symptoms) and a shorter serial interval (the time between successive cases) than COVID-19 virus. The serial interval for COVID-19 virus is estimated to be 5-6 days, while for influenza virus, the serial interval is 3 days. This means that influenza can spread faster than COVID-19.</w:t>
      </w:r>
    </w:p>
    <w:p>
      <w:pPr>
        <w:spacing w:after="0" w:line="324" w:lineRule="exact"/>
        <w:rPr>
          <w:sz w:val="20"/>
          <w:szCs w:val="20"/>
          <w:color w:val="auto"/>
        </w:rPr>
      </w:pPr>
    </w:p>
    <w:p>
      <w:pPr>
        <w:spacing w:after="0" w:line="229" w:lineRule="auto"/>
        <w:rPr>
          <w:sz w:val="20"/>
          <w:szCs w:val="20"/>
          <w:color w:val="auto"/>
        </w:rPr>
      </w:pPr>
      <w:r>
        <w:rPr>
          <w:rFonts w:ascii="Calibri" w:cs="Calibri" w:eastAsia="Calibri" w:hAnsi="Calibri"/>
          <w:sz w:val="22"/>
          <w:szCs w:val="22"/>
          <w:color w:val="auto"/>
        </w:rPr>
        <w:t>Further, transmission in the first 3-5 days of illness, or potentially pre-symptomatic transmission –transmission of the virus before the appearance of symptoms – is a major driver of transmission for influenza. In contrast, while we are learning that there are people who can shed COVID-19 virus 24-48 hours prior to symptom onset, at present, this does not appear to be a major driver of transmission.</w:t>
      </w:r>
    </w:p>
    <w:p>
      <w:pPr>
        <w:spacing w:after="0" w:line="317" w:lineRule="exact"/>
        <w:rPr>
          <w:sz w:val="20"/>
          <w:szCs w:val="20"/>
          <w:color w:val="auto"/>
        </w:rPr>
      </w:pPr>
    </w:p>
    <w:p>
      <w:pPr>
        <w:ind w:right="500"/>
        <w:spacing w:after="0" w:line="225" w:lineRule="auto"/>
        <w:rPr>
          <w:sz w:val="20"/>
          <w:szCs w:val="20"/>
          <w:color w:val="auto"/>
        </w:rPr>
      </w:pPr>
      <w:r>
        <w:rPr>
          <w:rFonts w:ascii="Calibri" w:cs="Calibri" w:eastAsia="Calibri" w:hAnsi="Calibri"/>
          <w:sz w:val="22"/>
          <w:szCs w:val="22"/>
          <w:color w:val="auto"/>
        </w:rPr>
        <w:t>The reproductive number – the number of secondary infections generated from one infected individual – is understood to be between 2 and 2.5 for COVID-19 virus, higher than for influenza. However, estimates for both COVID-19 and influenza viruses are very context and time-specific, making direct comparisons more difficult.</w:t>
      </w:r>
    </w:p>
    <w:p>
      <w:pPr>
        <w:spacing w:after="0" w:line="320" w:lineRule="exact"/>
        <w:rPr>
          <w:sz w:val="20"/>
          <w:szCs w:val="20"/>
          <w:color w:val="auto"/>
        </w:rPr>
      </w:pPr>
    </w:p>
    <w:p>
      <w:pPr>
        <w:jc w:val="both"/>
        <w:ind w:right="500"/>
        <w:spacing w:after="0" w:line="229" w:lineRule="auto"/>
        <w:rPr>
          <w:sz w:val="20"/>
          <w:szCs w:val="20"/>
          <w:color w:val="auto"/>
        </w:rPr>
      </w:pPr>
      <w:r>
        <w:rPr>
          <w:rFonts w:ascii="Calibri" w:cs="Calibri" w:eastAsia="Calibri" w:hAnsi="Calibri"/>
          <w:sz w:val="22"/>
          <w:szCs w:val="22"/>
          <w:color w:val="auto"/>
        </w:rPr>
        <w:t>Children are important drivers of influenza virus transmission in the community. For COVID-19 virus, initial data indicates that children are less affected than adults and that clinical attack rates in the 0-19 age group are low. Further preliminary data from household transmission studies in China suggest that children are infected from adults, rather than vice versa.</w:t>
      </w:r>
    </w:p>
    <w:p>
      <w:pPr>
        <w:spacing w:after="0" w:line="319" w:lineRule="exact"/>
        <w:rPr>
          <w:sz w:val="20"/>
          <w:szCs w:val="20"/>
          <w:color w:val="auto"/>
        </w:rPr>
      </w:pPr>
    </w:p>
    <w:p>
      <w:pPr>
        <w:ind w:right="140"/>
        <w:spacing w:after="0" w:line="228" w:lineRule="auto"/>
        <w:rPr>
          <w:sz w:val="20"/>
          <w:szCs w:val="20"/>
          <w:color w:val="auto"/>
        </w:rPr>
      </w:pPr>
      <w:r>
        <w:rPr>
          <w:rFonts w:ascii="Calibri" w:cs="Calibri" w:eastAsia="Calibri" w:hAnsi="Calibri"/>
          <w:sz w:val="22"/>
          <w:szCs w:val="22"/>
          <w:color w:val="auto"/>
        </w:rPr>
        <w:t>While the range of symptoms for the two viruses is similar, the fraction with severe disease appears to be different. For COVID-19, data to date suggest that 80% of infections are mild or asymptomatic, 15% are severe infection, requiring oxygen and 5% are critical infections, requiring ventilation. These fractions of severe and critical infection would be higher than what is observed for influenza infection.</w:t>
      </w:r>
    </w:p>
    <w:p>
      <w:pPr>
        <w:spacing w:after="0" w:line="322" w:lineRule="exact"/>
        <w:rPr>
          <w:sz w:val="20"/>
          <w:szCs w:val="20"/>
          <w:color w:val="auto"/>
        </w:rPr>
      </w:pPr>
    </w:p>
    <w:p>
      <w:pPr>
        <w:ind w:right="140"/>
        <w:spacing w:after="0" w:line="225" w:lineRule="auto"/>
        <w:rPr>
          <w:sz w:val="20"/>
          <w:szCs w:val="20"/>
          <w:color w:val="auto"/>
        </w:rPr>
      </w:pPr>
      <w:r>
        <w:rPr>
          <w:rFonts w:ascii="Calibri" w:cs="Calibri" w:eastAsia="Calibri" w:hAnsi="Calibri"/>
          <w:sz w:val="22"/>
          <w:szCs w:val="22"/>
          <w:color w:val="auto"/>
        </w:rPr>
        <w:t>Those most at risk for severe influenza infection are children, pregnant women, elderly, those with underlying chronic medical conditions and those who are immunosuppressed. For COVID-19, our current understanding is that older age and underlying conditions increase the risk for severe infection.</w:t>
      </w:r>
    </w:p>
    <w:p>
      <w:pPr>
        <w:spacing w:after="0" w:line="320" w:lineRule="exact"/>
        <w:rPr>
          <w:sz w:val="20"/>
          <w:szCs w:val="20"/>
          <w:color w:val="auto"/>
        </w:rPr>
      </w:pPr>
    </w:p>
    <w:p>
      <w:pPr>
        <w:spacing w:after="0" w:line="231" w:lineRule="auto"/>
        <w:rPr>
          <w:sz w:val="20"/>
          <w:szCs w:val="20"/>
          <w:color w:val="auto"/>
        </w:rPr>
      </w:pPr>
      <w:r>
        <w:rPr>
          <w:rFonts w:ascii="Calibri" w:cs="Calibri" w:eastAsia="Calibri" w:hAnsi="Calibri"/>
          <w:sz w:val="22"/>
          <w:szCs w:val="22"/>
          <w:color w:val="auto"/>
        </w:rPr>
        <w:t>Mortality for COVID-19 appears higher than for influenza, especially seasonal influenza. While the true mortality of COVID-19 will take some time to fully understand, the data we have so far indicate that the crude mortality ratio (the number of reported deaths divided by the reported cases) is between 3-4%, the infection mortality rate (the number of reported deaths divided by the number of infections) will be lower. For seasonal influenza, mortality is usually well below 0.1%. However, mortality is to a large extent determined by access to and quality of health care.</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Q. What medical interventions are available for COVID-19 and influenza viruses?</w:t>
      </w:r>
    </w:p>
    <w:p>
      <w:pPr>
        <w:spacing w:after="0" w:line="49" w:lineRule="exact"/>
        <w:rPr>
          <w:sz w:val="20"/>
          <w:szCs w:val="20"/>
          <w:color w:val="auto"/>
        </w:rPr>
      </w:pPr>
    </w:p>
    <w:p>
      <w:pPr>
        <w:spacing w:after="0" w:line="229" w:lineRule="auto"/>
        <w:rPr>
          <w:sz w:val="20"/>
          <w:szCs w:val="20"/>
          <w:color w:val="auto"/>
        </w:rPr>
      </w:pPr>
      <w:r>
        <w:rPr>
          <w:rFonts w:ascii="Calibri" w:cs="Calibri" w:eastAsia="Calibri" w:hAnsi="Calibri"/>
          <w:sz w:val="22"/>
          <w:szCs w:val="22"/>
          <w:color w:val="auto"/>
        </w:rPr>
        <w:t>While there are a number of therapeutics currently in clinical trials in China and more than 20 vaccines in development for COVID-19, there are currently no licensed vaccines or therapeutics for COVID-19. In contrast, antivirals and vaccines available for influenza. While the influenza vaccine is not effective against COVID-19 virus, it is highly recommended to get vaccinated each year to prevent influenza infection.</w:t>
      </w:r>
    </w:p>
    <w:p>
      <w:pPr>
        <w:sectPr>
          <w:pgSz w:w="11920" w:h="16841" w:orient="portrait"/>
          <w:cols w:equalWidth="0" w:num="1">
            <w:col w:w="10460"/>
          </w:cols>
          <w:pgMar w:left="720" w:top="899" w:right="731" w:bottom="595"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06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89"/>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00" w:type="dxa"/>
            <w:vAlign w:val="bottom"/>
            <w:tcBorders>
              <w:left w:val="single" w:sz="8" w:color="auto"/>
              <w:bottom w:val="single" w:sz="8" w:color="5B9BD5"/>
            </w:tcBorders>
            <w:shd w:val="clear" w:color="auto" w:fill="5B9BD5"/>
          </w:tcPr>
          <w:p>
            <w:pPr>
              <w:spacing w:after="0"/>
              <w:rPr>
                <w:sz w:val="11"/>
                <w:szCs w:val="11"/>
                <w:color w:val="auto"/>
              </w:rPr>
            </w:pPr>
          </w:p>
        </w:tc>
        <w:tc>
          <w:tcPr>
            <w:tcW w:w="1760" w:type="dxa"/>
            <w:vAlign w:val="bottom"/>
            <w:tcBorders>
              <w:bottom w:val="single" w:sz="8" w:color="5B9BD5"/>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5B9BD5"/>
            </w:tcBorders>
            <w:shd w:val="clear" w:color="auto" w:fill="5B9BD5"/>
          </w:tcPr>
          <w:p>
            <w:pPr>
              <w:spacing w:after="0"/>
              <w:rPr>
                <w:sz w:val="11"/>
                <w:szCs w:val="11"/>
                <w:color w:val="auto"/>
              </w:rPr>
            </w:pPr>
          </w:p>
        </w:tc>
        <w:tc>
          <w:tcPr>
            <w:tcW w:w="1020" w:type="dxa"/>
            <w:vAlign w:val="bottom"/>
            <w:tcBorders>
              <w:bottom w:val="single" w:sz="8" w:color="5B9BD5"/>
            </w:tcBorders>
            <w:vMerge w:val="continue"/>
            <w:shd w:val="clear" w:color="auto" w:fill="5B9BD5"/>
          </w:tcPr>
          <w:p>
            <w:pPr>
              <w:spacing w:after="0"/>
              <w:rPr>
                <w:sz w:val="11"/>
                <w:szCs w:val="11"/>
                <w:color w:val="auto"/>
              </w:rPr>
            </w:pP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2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0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4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2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54"/>
        </w:trPr>
        <w:tc>
          <w:tcPr>
            <w:tcW w:w="100" w:type="dxa"/>
            <w:vAlign w:val="bottom"/>
            <w:tcBorders>
              <w:left w:val="single" w:sz="8" w:color="auto"/>
            </w:tcBorders>
            <w:shd w:val="clear" w:color="auto" w:fill="5B9BD5"/>
          </w:tcPr>
          <w:p>
            <w:pPr>
              <w:spacing w:after="0"/>
              <w:rPr>
                <w:sz w:val="13"/>
                <w:szCs w:val="13"/>
                <w:color w:val="auto"/>
              </w:rPr>
            </w:pPr>
          </w:p>
        </w:tc>
        <w:tc>
          <w:tcPr>
            <w:tcW w:w="1760" w:type="dxa"/>
            <w:vAlign w:val="bottom"/>
            <w:vMerge w:val="continue"/>
            <w:shd w:val="clear" w:color="auto" w:fill="5B9BD5"/>
          </w:tcPr>
          <w:p>
            <w:pPr>
              <w:spacing w:after="0"/>
              <w:rPr>
                <w:sz w:val="13"/>
                <w:szCs w:val="13"/>
                <w:color w:val="auto"/>
              </w:rPr>
            </w:pP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4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132"/>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69"/>
        </w:trPr>
        <w:tc>
          <w:tcPr>
            <w:tcW w:w="100" w:type="dxa"/>
            <w:vAlign w:val="bottom"/>
            <w:tcBorders>
              <w:left w:val="single" w:sz="8" w:color="auto"/>
              <w:bottom w:val="single" w:sz="8" w:color="5B9BD5"/>
            </w:tcBorders>
            <w:shd w:val="clear" w:color="auto" w:fill="5B9BD5"/>
          </w:tcPr>
          <w:p>
            <w:pPr>
              <w:spacing w:after="0"/>
              <w:rPr>
                <w:sz w:val="14"/>
                <w:szCs w:val="14"/>
                <w:color w:val="auto"/>
              </w:rPr>
            </w:pPr>
          </w:p>
        </w:tc>
        <w:tc>
          <w:tcPr>
            <w:tcW w:w="176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02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2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0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4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2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0" w:type="dxa"/>
            <w:vAlign w:val="bottom"/>
          </w:tcPr>
          <w:p>
            <w:pPr>
              <w:spacing w:after="0"/>
              <w:rPr>
                <w:sz w:val="1"/>
                <w:szCs w:val="1"/>
                <w:color w:val="auto"/>
              </w:rPr>
            </w:pPr>
          </w:p>
        </w:tc>
      </w:tr>
      <w:tr>
        <w:trPr>
          <w:trHeight w:val="295"/>
        </w:trPr>
        <w:tc>
          <w:tcPr>
            <w:tcW w:w="100" w:type="dxa"/>
            <w:vAlign w:val="bottom"/>
            <w:tcBorders>
              <w:top w:val="single" w:sz="8" w:color="auto"/>
              <w:left w:val="single" w:sz="8" w:color="auto"/>
              <w:bottom w:val="single" w:sz="8" w:color="DDEBF7"/>
            </w:tcBorders>
            <w:shd w:val="clear" w:color="auto" w:fill="DDEBF7"/>
          </w:tcPr>
          <w:p>
            <w:pPr>
              <w:spacing w:after="0"/>
              <w:rPr>
                <w:sz w:val="24"/>
                <w:szCs w:val="24"/>
                <w:color w:val="auto"/>
              </w:rPr>
            </w:pPr>
          </w:p>
        </w:tc>
        <w:tc>
          <w:tcPr>
            <w:tcW w:w="1760" w:type="dxa"/>
            <w:vAlign w:val="bottom"/>
            <w:tcBorders>
              <w:top w:val="single" w:sz="8" w:color="auto"/>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Hubei</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0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5917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126</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43</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0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29</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4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67592</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2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2931</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1351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1215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990</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758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Chongqing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3102</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576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539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481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422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22</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339</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296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245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168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Tianjin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1560</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136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13</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125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104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Gansu</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2637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11</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102</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Xinjiang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2487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Ningxia</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688</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146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102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30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80711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3045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right="300"/>
        <w:spacing w:after="0" w:line="19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06 March 2020</w:t>
      </w:r>
      <w:r>
        <w:rPr>
          <w:rFonts w:ascii="Calibri" w:cs="Calibri" w:eastAsia="Calibri" w:hAnsi="Calibri"/>
          <w:sz w:val="27"/>
          <w:szCs w:val="27"/>
          <w:b w:val="1"/>
          <w:bCs w:val="1"/>
          <w:color w:val="007AB0"/>
          <w:vertAlign w:val="superscript"/>
        </w:rPr>
        <w:t>*</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20" w:type="dxa"/>
            <w:vAlign w:val="bottom"/>
            <w:tcBorders>
              <w:top w:val="single" w:sz="8" w:color="auto"/>
              <w:left w:val="single" w:sz="8" w:color="auto"/>
            </w:tcBorders>
            <w:shd w:val="clear" w:color="auto" w:fill="4F81BD"/>
          </w:tcPr>
          <w:p>
            <w:pPr>
              <w:spacing w:after="0"/>
              <w:rPr>
                <w:sz w:val="21"/>
                <w:szCs w:val="21"/>
                <w:color w:val="auto"/>
              </w:rPr>
            </w:pPr>
          </w:p>
        </w:tc>
        <w:tc>
          <w:tcPr>
            <w:tcW w:w="184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Reporting Country/</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1"/>
                <w:szCs w:val="21"/>
                <w:color w:val="auto"/>
              </w:rPr>
            </w:pPr>
          </w:p>
        </w:tc>
        <w:tc>
          <w:tcPr>
            <w:tcW w:w="6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1"/>
                <w:szCs w:val="21"/>
                <w:color w:val="auto"/>
              </w:rPr>
            </w:pPr>
          </w:p>
        </w:tc>
        <w:tc>
          <w:tcPr>
            <w:tcW w:w="80" w:type="dxa"/>
            <w:vAlign w:val="bottom"/>
            <w:tcBorders>
              <w:top w:val="single" w:sz="8" w:color="auto"/>
            </w:tcBorders>
            <w:shd w:val="clear" w:color="auto" w:fill="4F81BD"/>
          </w:tcPr>
          <w:p>
            <w:pPr>
              <w:spacing w:after="0"/>
              <w:rPr>
                <w:sz w:val="21"/>
                <w:szCs w:val="21"/>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22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7"/>
                <w:shd w:val="clear" w:color="auto" w:fill="4F81BD"/>
              </w:rPr>
              <w:t>confirmed</w:t>
            </w:r>
            <w:r>
              <w:rPr>
                <w:rFonts w:ascii="Calibri" w:cs="Calibri" w:eastAsia="Calibri" w:hAnsi="Calibri"/>
                <w:sz w:val="27"/>
                <w:szCs w:val="27"/>
                <w:b w:val="1"/>
                <w:bCs w:val="1"/>
                <w:color w:val="FFFFFF"/>
                <w:w w:val="97"/>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vMerge w:val="restart"/>
            <w:shd w:val="clear" w:color="auto" w:fill="4F81BD"/>
          </w:tcPr>
          <w:p>
            <w:pPr>
              <w:spacing w:after="0" w:line="275" w:lineRule="exact"/>
              <w:rPr>
                <w:sz w:val="20"/>
                <w:szCs w:val="20"/>
                <w:color w:val="auto"/>
              </w:rPr>
            </w:pPr>
            <w:r>
              <w:rPr>
                <w:rFonts w:ascii="Calibri" w:cs="Calibri" w:eastAsia="Calibri" w:hAnsi="Calibri"/>
                <w:sz w:val="22"/>
                <w:szCs w:val="22"/>
                <w:b w:val="1"/>
                <w:bCs w:val="1"/>
                <w:color w:val="FFFFFF"/>
              </w:rPr>
              <w:t>Territory/Area</w:t>
            </w:r>
            <w:r>
              <w:rPr>
                <w:rFonts w:ascii="Calibri" w:cs="Calibri" w:eastAsia="Calibri" w:hAnsi="Calibri"/>
                <w:sz w:val="27"/>
                <w:szCs w:val="27"/>
                <w:b w:val="1"/>
                <w:bCs w:val="1"/>
                <w:color w:val="FFFFFF"/>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case</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3"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6284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518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349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117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3858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769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148</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534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272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5"/>
              </w:rPr>
              <w:t>420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138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257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3</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118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86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86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82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Portugal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Slovenia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Bosnia and</w:t>
            </w: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Herzegovina</w:t>
            </w: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860" w:type="dxa"/>
            <w:vAlign w:val="bottom"/>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32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8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Hungary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Andorra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Armenia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Latvia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Liechtenstein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Lithuania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Luxembourg</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50" w:gutter="0" w:footer="0" w:header="0"/>
        </w:sectPr>
      </w:pPr>
    </w:p>
    <w:bookmarkStart w:id="4" w:name="page5"/>
    <w:bookmarkEnd w:id="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Monaco</w:t>
            </w:r>
          </w:p>
        </w:tc>
        <w:tc>
          <w:tcPr>
            <w:tcW w:w="280" w:type="dxa"/>
            <w:vAlign w:val="bottom"/>
            <w:tcBorders>
              <w:top w:val="single" w:sz="8" w:color="auto"/>
              <w:bottom w:val="single" w:sz="8" w:color="auto"/>
            </w:tcBorders>
          </w:tcPr>
          <w:p>
            <w:pPr>
              <w:spacing w:after="0"/>
              <w:rPr>
                <w:sz w:val="23"/>
                <w:szCs w:val="23"/>
                <w:color w:val="auto"/>
              </w:rPr>
            </w:pPr>
          </w:p>
        </w:tc>
        <w:tc>
          <w:tcPr>
            <w:tcW w:w="980" w:type="dxa"/>
            <w:vAlign w:val="bottom"/>
            <w:tcBorders>
              <w:top w:val="single" w:sz="8" w:color="auto"/>
              <w:bottom w:val="single" w:sz="8" w:color="auto"/>
              <w:right w:val="single" w:sz="8" w:color="auto"/>
            </w:tcBorders>
          </w:tcPr>
          <w:p>
            <w:pPr>
              <w:jc w:val="center"/>
              <w:ind w:right="190"/>
              <w:spacing w:after="0"/>
              <w:rPr>
                <w:sz w:val="20"/>
                <w:szCs w:val="20"/>
                <w:color w:val="auto"/>
              </w:rPr>
            </w:pPr>
            <w:r>
              <w:rPr>
                <w:rFonts w:ascii="Calibri" w:cs="Calibri" w:eastAsia="Calibri" w:hAnsi="Calibri"/>
                <w:sz w:val="22"/>
                <w:szCs w:val="22"/>
                <w:color w:val="auto"/>
              </w:rPr>
              <w:t>1</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Under investigation</w:t>
            </w:r>
          </w:p>
        </w:tc>
        <w:tc>
          <w:tcPr>
            <w:tcW w:w="1300" w:type="dxa"/>
            <w:vAlign w:val="bottom"/>
            <w:tcBorders>
              <w:top w:val="single" w:sz="8" w:color="auto"/>
              <w:bottom w:val="single" w:sz="8" w:color="auto"/>
            </w:tcBorders>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North Macedonia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Poland</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Serbia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Ukraine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2" w:lineRule="exact"/>
              <w:rPr>
                <w:sz w:val="20"/>
                <w:szCs w:val="20"/>
                <w:color w:val="auto"/>
              </w:rPr>
            </w:pPr>
            <w:r>
              <w:rPr>
                <w:rFonts w:ascii="Calibri" w:cs="Calibri" w:eastAsia="Calibri" w:hAnsi="Calibri"/>
                <w:sz w:val="22"/>
                <w:szCs w:val="22"/>
                <w:color w:val="auto"/>
              </w:rPr>
              <w:t>Gibraltar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2"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8" w:lineRule="exact"/>
              <w:rPr>
                <w:sz w:val="20"/>
                <w:szCs w:val="20"/>
                <w:color w:val="auto"/>
              </w:rPr>
            </w:pPr>
            <w:r>
              <w:rPr>
                <w:rFonts w:ascii="Calibri" w:cs="Calibri" w:eastAsia="Calibri" w:hAnsi="Calibri"/>
                <w:sz w:val="22"/>
                <w:szCs w:val="22"/>
                <w:b w:val="1"/>
                <w:bCs w:val="1"/>
                <w:color w:val="FFFFFF"/>
              </w:rPr>
              <w:t>South-East Asia Region</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Thailand</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47</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30</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Indonesia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Bhutan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Nepal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Sri Lanka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Iran (Islamic</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90"/>
              <w:spacing w:after="0"/>
              <w:rPr>
                <w:sz w:val="20"/>
                <w:szCs w:val="20"/>
                <w:color w:val="auto"/>
              </w:rPr>
            </w:pPr>
            <w:r>
              <w:rPr>
                <w:rFonts w:ascii="Calibri" w:cs="Calibri" w:eastAsia="Calibri" w:hAnsi="Calibri"/>
                <w:sz w:val="22"/>
                <w:szCs w:val="22"/>
                <w:color w:val="auto"/>
                <w:w w:val="98"/>
              </w:rPr>
              <w:t>3513</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591</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107</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15</w:t>
            </w:r>
          </w:p>
        </w:tc>
        <w:tc>
          <w:tcPr>
            <w:tcW w:w="2080" w:type="dxa"/>
            <w:vAlign w:val="bottom"/>
            <w:tcBorders>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Republic of)</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Kuwait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58</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Bahrain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49</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Iraq</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36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United Arab</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70"/>
              <w:spacing w:after="0"/>
              <w:rPr>
                <w:sz w:val="20"/>
                <w:szCs w:val="20"/>
                <w:color w:val="auto"/>
              </w:rPr>
            </w:pPr>
            <w:r>
              <w:rPr>
                <w:rFonts w:ascii="Calibri" w:cs="Calibri" w:eastAsia="Calibri" w:hAnsi="Calibri"/>
                <w:sz w:val="22"/>
                <w:szCs w:val="22"/>
                <w:color w:val="auto"/>
                <w:w w:val="98"/>
              </w:rPr>
              <w:t>27</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Emirates</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Lebanon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Oman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Qatar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8</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Saudi Arabia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8</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Pakistan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Egypt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3</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Morocco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8"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Afghanistan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Jordan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Tunisia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20" w:type="dxa"/>
            <w:vAlign w:val="bottom"/>
            <w:tcBorders>
              <w:left w:val="single" w:sz="8" w:color="auto"/>
            </w:tcBorders>
          </w:tcPr>
          <w:p>
            <w:pPr>
              <w:spacing w:after="0"/>
              <w:rPr>
                <w:sz w:val="21"/>
                <w:szCs w:val="21"/>
                <w:color w:val="auto"/>
              </w:rPr>
            </w:pPr>
          </w:p>
        </w:tc>
        <w:tc>
          <w:tcPr>
            <w:tcW w:w="1960" w:type="dxa"/>
            <w:vAlign w:val="bottom"/>
            <w:tcBorders>
              <w:right w:val="single" w:sz="8" w:color="auto"/>
            </w:tcBorders>
          </w:tcPr>
          <w:p>
            <w:pPr>
              <w:spacing w:after="0" w:line="252" w:lineRule="exact"/>
              <w:rPr>
                <w:sz w:val="20"/>
                <w:szCs w:val="20"/>
                <w:color w:val="auto"/>
              </w:rPr>
            </w:pPr>
            <w:r>
              <w:rPr>
                <w:rFonts w:ascii="Calibri" w:cs="Calibri" w:eastAsia="Calibri" w:hAnsi="Calibri"/>
                <w:sz w:val="22"/>
                <w:szCs w:val="22"/>
                <w:color w:val="auto"/>
              </w:rPr>
              <w:t>Occupied</w:t>
            </w:r>
          </w:p>
        </w:tc>
        <w:tc>
          <w:tcPr>
            <w:tcW w:w="280" w:type="dxa"/>
            <w:vAlign w:val="bottom"/>
          </w:tcPr>
          <w:p>
            <w:pPr>
              <w:spacing w:after="0"/>
              <w:rPr>
                <w:sz w:val="21"/>
                <w:szCs w:val="21"/>
                <w:color w:val="auto"/>
              </w:rPr>
            </w:pPr>
          </w:p>
        </w:tc>
        <w:tc>
          <w:tcPr>
            <w:tcW w:w="980" w:type="dxa"/>
            <w:vAlign w:val="bottom"/>
            <w:tcBorders>
              <w:right w:val="single" w:sz="8" w:color="auto"/>
            </w:tcBorders>
            <w:vMerge w:val="restart"/>
          </w:tcPr>
          <w:p>
            <w:pPr>
              <w:jc w:val="center"/>
              <w:ind w:right="190"/>
              <w:spacing w:after="0"/>
              <w:rPr>
                <w:sz w:val="20"/>
                <w:szCs w:val="20"/>
                <w:color w:val="auto"/>
              </w:rPr>
            </w:pPr>
            <w:r>
              <w:rPr>
                <w:rFonts w:ascii="Calibri" w:cs="Calibri" w:eastAsia="Calibri" w:hAnsi="Calibri"/>
                <w:sz w:val="22"/>
                <w:szCs w:val="22"/>
                <w:color w:val="auto"/>
              </w:rPr>
              <w:t>7</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Imported cases only</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Palestinian Territory</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United States of</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90"/>
              <w:spacing w:after="0"/>
              <w:rPr>
                <w:sz w:val="20"/>
                <w:szCs w:val="20"/>
                <w:color w:val="auto"/>
              </w:rPr>
            </w:pPr>
            <w:r>
              <w:rPr>
                <w:rFonts w:ascii="Calibri" w:cs="Calibri" w:eastAsia="Calibri" w:hAnsi="Calibri"/>
                <w:sz w:val="22"/>
                <w:szCs w:val="22"/>
                <w:color w:val="auto"/>
                <w:w w:val="95"/>
              </w:rPr>
              <w:t>148</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19</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w:t>
            </w:r>
          </w:p>
        </w:tc>
        <w:tc>
          <w:tcPr>
            <w:tcW w:w="2080" w:type="dxa"/>
            <w:vAlign w:val="bottom"/>
            <w:tcBorders>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America</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Canada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45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15</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Ecuador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13</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Brazil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7</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Mexico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Argentina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Chile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Dominican Republic</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2"/>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2" w:lineRule="exact"/>
              <w:rPr>
                <w:sz w:val="20"/>
                <w:szCs w:val="20"/>
                <w:color w:val="auto"/>
              </w:rPr>
            </w:pPr>
            <w:r>
              <w:rPr>
                <w:rFonts w:ascii="Calibri" w:cs="Calibri" w:eastAsia="Calibri" w:hAnsi="Calibri"/>
                <w:sz w:val="22"/>
                <w:szCs w:val="22"/>
                <w:color w:val="auto"/>
              </w:rPr>
              <w:t>Saint Martin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2"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2"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Saint Barthélemy</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African Region</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7" w:lineRule="exact"/>
              <w:rPr>
                <w:sz w:val="20"/>
                <w:szCs w:val="20"/>
                <w:color w:val="auto"/>
              </w:rPr>
            </w:pPr>
            <w:r>
              <w:rPr>
                <w:rFonts w:ascii="Calibri" w:cs="Calibri" w:eastAsia="Calibri" w:hAnsi="Calibri"/>
                <w:sz w:val="22"/>
                <w:szCs w:val="22"/>
                <w:color w:val="auto"/>
              </w:rPr>
              <w:t>Algeria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7" w:lineRule="exact"/>
              <w:rPr>
                <w:sz w:val="20"/>
                <w:szCs w:val="20"/>
                <w:color w:val="auto"/>
              </w:rPr>
            </w:pPr>
            <w:r>
              <w:rPr>
                <w:rFonts w:ascii="Calibri" w:cs="Calibri" w:eastAsia="Calibri" w:hAnsi="Calibri"/>
                <w:sz w:val="22"/>
                <w:szCs w:val="22"/>
                <w:color w:val="auto"/>
                <w:w w:val="98"/>
              </w:rPr>
              <w:t>12</w:t>
            </w:r>
          </w:p>
        </w:tc>
        <w:tc>
          <w:tcPr>
            <w:tcW w:w="1260" w:type="dxa"/>
            <w:vAlign w:val="bottom"/>
            <w:tcBorders>
              <w:bottom w:val="single" w:sz="8" w:color="auto"/>
              <w:right w:val="single" w:sz="8" w:color="auto"/>
            </w:tcBorders>
          </w:tcPr>
          <w:p>
            <w:pPr>
              <w:jc w:val="center"/>
              <w:spacing w:after="0" w:line="257"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7"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7"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7"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7"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Senegal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Cameroon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Nigeria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880" w:right="911" w:bottom="640" w:gutter="0" w:footer="0" w:header="0"/>
        </w:sectPr>
      </w:pPr>
    </w:p>
    <w:bookmarkStart w:id="5" w:name="page6"/>
    <w:bookmarkEnd w:id="5"/>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South Africa</w:t>
            </w: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960" w:type="dxa"/>
            <w:vAlign w:val="bottom"/>
            <w:tcBorders>
              <w:top w:val="single" w:sz="8" w:color="auto"/>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9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20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Imported cases only</w:t>
            </w:r>
          </w:p>
        </w:tc>
        <w:tc>
          <w:tcPr>
            <w:tcW w:w="1440" w:type="dxa"/>
            <w:vAlign w:val="bottom"/>
            <w:tcBorders>
              <w:top w:val="single" w:sz="8" w:color="auto"/>
              <w:bottom w:val="single" w:sz="8" w:color="auto"/>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shd w:val="clear" w:color="auto" w:fill="4F81BD"/>
          </w:tcPr>
          <w:p>
            <w:pPr>
              <w:spacing w:after="0"/>
              <w:rPr>
                <w:sz w:val="22"/>
                <w:szCs w:val="22"/>
                <w:color w:val="auto"/>
              </w:rPr>
            </w:pPr>
          </w:p>
        </w:tc>
        <w:tc>
          <w:tcPr>
            <w:tcW w:w="184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16785</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2727</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329</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69</w:t>
            </w:r>
          </w:p>
        </w:tc>
        <w:tc>
          <w:tcPr>
            <w:tcW w:w="140" w:type="dxa"/>
            <w:vAlign w:val="bottom"/>
            <w:tcBorders>
              <w:right w:val="single" w:sz="8" w:color="auto"/>
            </w:tcBorders>
            <w:shd w:val="clear" w:color="auto" w:fill="4F81BD"/>
          </w:tcPr>
          <w:p>
            <w:pPr>
              <w:spacing w:after="0"/>
              <w:rPr>
                <w:sz w:val="22"/>
                <w:szCs w:val="22"/>
                <w:color w:val="auto"/>
              </w:rPr>
            </w:pPr>
          </w:p>
        </w:tc>
        <w:tc>
          <w:tcPr>
            <w:tcW w:w="2060" w:type="dxa"/>
            <w:vAlign w:val="bottom"/>
            <w:tcBorders>
              <w:right w:val="single" w:sz="8" w:color="auto"/>
            </w:tcBorders>
            <w:shd w:val="clear" w:color="auto" w:fill="4F81BD"/>
          </w:tcPr>
          <w:p>
            <w:pPr>
              <w:spacing w:after="0"/>
              <w:rPr>
                <w:sz w:val="22"/>
                <w:szCs w:val="22"/>
                <w:color w:val="auto"/>
              </w:rPr>
            </w:pPr>
          </w:p>
        </w:tc>
        <w:tc>
          <w:tcPr>
            <w:tcW w:w="144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5"/>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2060" w:type="dxa"/>
            <w:vAlign w:val="bottom"/>
            <w:tcBorders>
              <w:right w:val="single" w:sz="8" w:color="auto"/>
            </w:tcBorders>
            <w:shd w:val="clear" w:color="auto" w:fill="4F81BD"/>
          </w:tcPr>
          <w:p>
            <w:pPr>
              <w:spacing w:after="0"/>
              <w:rPr>
                <w:sz w:val="11"/>
                <w:szCs w:val="11"/>
                <w:color w:val="auto"/>
              </w:rPr>
            </w:pPr>
          </w:p>
        </w:tc>
        <w:tc>
          <w:tcPr>
            <w:tcW w:w="144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2060" w:type="dxa"/>
            <w:vAlign w:val="bottom"/>
            <w:tcBorders>
              <w:bottom w:val="single" w:sz="8" w:color="auto"/>
              <w:right w:val="single" w:sz="8" w:color="auto"/>
            </w:tcBorders>
            <w:shd w:val="clear" w:color="auto" w:fill="4F81BD"/>
          </w:tcPr>
          <w:p>
            <w:pPr>
              <w:spacing w:after="0"/>
              <w:rPr>
                <w:sz w:val="11"/>
                <w:szCs w:val="11"/>
                <w:color w:val="auto"/>
              </w:rPr>
            </w:pPr>
          </w:p>
        </w:tc>
        <w:tc>
          <w:tcPr>
            <w:tcW w:w="144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International</w:t>
            </w: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206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120" w:type="dxa"/>
            <w:vAlign w:val="bottom"/>
            <w:tcBorders>
              <w:left w:val="single" w:sz="8" w:color="auto"/>
            </w:tcBorders>
          </w:tcPr>
          <w:p>
            <w:pPr>
              <w:spacing w:after="0"/>
              <w:rPr>
                <w:sz w:val="23"/>
                <w:szCs w:val="23"/>
                <w:color w:val="auto"/>
              </w:rPr>
            </w:pPr>
          </w:p>
        </w:tc>
        <w:tc>
          <w:tcPr>
            <w:tcW w:w="196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conveyance</w:t>
            </w: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w w:val="95"/>
              </w:rPr>
              <w:t>696</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60" w:type="dxa"/>
            <w:vAlign w:val="bottom"/>
            <w:gridSpan w:val="2"/>
          </w:tcPr>
          <w:p>
            <w:pPr>
              <w:jc w:val="center"/>
              <w:ind w:left="10"/>
              <w:spacing w:after="0"/>
              <w:rPr>
                <w:sz w:val="20"/>
                <w:szCs w:val="20"/>
                <w:color w:val="auto"/>
              </w:rPr>
            </w:pPr>
            <w:r>
              <w:rPr>
                <w:rFonts w:ascii="Calibri" w:cs="Calibri" w:eastAsia="Calibri" w:hAnsi="Calibri"/>
                <w:sz w:val="22"/>
                <w:szCs w:val="22"/>
                <w:color w:val="auto"/>
              </w:rPr>
              <w:t>6</w:t>
            </w:r>
          </w:p>
        </w:tc>
        <w:tc>
          <w:tcPr>
            <w:tcW w:w="140" w:type="dxa"/>
            <w:vAlign w:val="bottom"/>
            <w:tcBorders>
              <w:right w:val="single" w:sz="8" w:color="auto"/>
            </w:tcBorders>
          </w:tcPr>
          <w:p>
            <w:pPr>
              <w:spacing w:after="0"/>
              <w:rPr>
                <w:sz w:val="23"/>
                <w:szCs w:val="23"/>
                <w:color w:val="auto"/>
              </w:rPr>
            </w:pPr>
          </w:p>
        </w:tc>
        <w:tc>
          <w:tcPr>
            <w:tcW w:w="9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Local transmission</w:t>
            </w:r>
          </w:p>
        </w:tc>
        <w:tc>
          <w:tcPr>
            <w:tcW w:w="1440" w:type="dxa"/>
            <w:vAlign w:val="bottom"/>
            <w:tcBorders>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72"/>
        </w:trPr>
        <w:tc>
          <w:tcPr>
            <w:tcW w:w="120" w:type="dxa"/>
            <w:vAlign w:val="bottom"/>
            <w:tcBorders>
              <w:left w:val="single" w:sz="8" w:color="auto"/>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(Diamond Princess)</w:t>
            </w: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c>
          <w:tcPr>
            <w:tcW w:w="144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1840" w:type="dxa"/>
            <w:vAlign w:val="bottom"/>
            <w:tcBorders>
              <w:bottom w:val="single" w:sz="8" w:color="auto"/>
            </w:tcBorders>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17481</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2727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335</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69</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2060" w:type="dxa"/>
            <w:vAlign w:val="bottom"/>
            <w:tcBorders>
              <w:bottom w:val="single" w:sz="8" w:color="auto"/>
              <w:right w:val="single" w:sz="8" w:color="auto"/>
            </w:tcBorders>
            <w:shd w:val="clear" w:color="auto" w:fill="4F81BD"/>
          </w:tcPr>
          <w:p>
            <w:pPr>
              <w:spacing w:after="0"/>
              <w:rPr>
                <w:sz w:val="22"/>
                <w:szCs w:val="22"/>
                <w:color w:val="auto"/>
              </w:rPr>
            </w:pPr>
          </w:p>
        </w:tc>
        <w:tc>
          <w:tcPr>
            <w:tcW w:w="144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spacing w:after="0" w:line="208" w:lineRule="auto"/>
        <w:rPr>
          <w:sz w:val="20"/>
          <w:szCs w:val="20"/>
          <w:color w:val="auto"/>
        </w:rPr>
      </w:pPr>
      <w:r>
        <w:rPr>
          <w:rFonts w:ascii="Arial" w:cs="Arial" w:eastAsia="Arial" w:hAnsi="Arial"/>
          <w:sz w:val="27"/>
          <w:szCs w:val="27"/>
          <w:color w:val="auto"/>
          <w:vertAlign w:val="superscript"/>
        </w:rPr>
        <w:t>*</w:t>
      </w:r>
      <w:r>
        <w:rPr>
          <w:rFonts w:ascii="Calibri" w:cs="Calibri" w:eastAsia="Calibri" w:hAnsi="Calibri"/>
          <w:sz w:val="18"/>
          <w:szCs w:val="18"/>
          <w:color w:val="auto"/>
        </w:rPr>
        <w:t>Numbers include both domestic and repatriated cases</w:t>
      </w:r>
    </w:p>
    <w:p>
      <w:pPr>
        <w:spacing w:after="0" w:line="1" w:lineRule="exact"/>
        <w:rPr>
          <w:sz w:val="20"/>
          <w:szCs w:val="20"/>
          <w:color w:val="auto"/>
        </w:rPr>
      </w:pPr>
    </w:p>
    <w:p>
      <w:pPr>
        <w:ind w:right="60"/>
        <w:spacing w:after="0" w:line="204"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The designations employed and the presentation of the material in this publication do not imply the expression of any opinion whatsoever on the part of WHO concerning the legal status of any country, territory, city or area or of its authorities, or concerning the delimitation of its frontiers or boundaries. Dotted and dashed lines on maps represent approximate border lines for which there may not yet be full agreement.</w:t>
      </w:r>
    </w:p>
    <w:p>
      <w:pPr>
        <w:spacing w:after="0" w:line="209" w:lineRule="auto"/>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0">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7" w:lineRule="exact"/>
        <w:rPr>
          <w:sz w:val="20"/>
          <w:szCs w:val="20"/>
          <w:color w:val="auto"/>
        </w:rPr>
      </w:pPr>
    </w:p>
    <w:p>
      <w:pPr>
        <w:ind w:left="720" w:right="32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sentinel samples (routine systematic testing of respiratory samples from established laboratories).</w:t>
      </w:r>
    </w:p>
    <w:p>
      <w:pPr>
        <w:spacing w:after="0" w:line="1" w:lineRule="exact"/>
        <w:rPr>
          <w:rFonts w:ascii="Arial" w:cs="Arial" w:eastAsia="Arial" w:hAnsi="Arial"/>
          <w:sz w:val="16"/>
          <w:szCs w:val="16"/>
          <w:color w:val="auto"/>
        </w:rPr>
      </w:pP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1440" w:gutter="0" w:footer="0" w:header="0"/>
        </w:sectPr>
      </w:pPr>
    </w:p>
    <w:p>
      <w:pPr>
        <w:spacing w:after="0" w:line="2"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6"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12" w:lineRule="exact"/>
        <w:rPr>
          <w:sz w:val="20"/>
          <w:szCs w:val="20"/>
          <w:color w:val="auto"/>
        </w:rPr>
      </w:pPr>
    </w:p>
    <w:p>
      <w:pPr>
        <w:sectPr>
          <w:pgSz w:w="11920" w:h="16841" w:orient="portrait"/>
          <w:cols w:equalWidth="0" w:num="2">
            <w:col w:w="440" w:space="280"/>
            <w:col w:w="9760"/>
          </w:cols>
          <w:pgMar w:left="720" w:top="880" w:right="711" w:bottom="1440" w:gutter="0" w:footer="0" w:header="0"/>
          <w:type w:val="continuous"/>
        </w:sectPr>
      </w:pPr>
    </w:p>
    <w:p>
      <w:pPr>
        <w:spacing w:after="0"/>
        <w:rPr>
          <w:sz w:val="20"/>
          <w:szCs w:val="20"/>
          <w:color w:val="auto"/>
        </w:rPr>
      </w:pPr>
      <w:r>
        <w:rPr>
          <w:rFonts w:ascii="Calibri" w:cs="Calibri" w:eastAsia="Calibri" w:hAnsi="Calibri"/>
          <w:sz w:val="17"/>
          <w:szCs w:val="17"/>
          <w:color w:val="auto"/>
        </w:rPr>
        <w:t>** “Territories” include territories, areas, overseas dependencies and other jurisdictions of similar status</w:t>
      </w:r>
    </w:p>
    <w:p>
      <w:pPr>
        <w:sectPr>
          <w:pgSz w:w="11920" w:h="16841" w:orient="portrait"/>
          <w:cols w:equalWidth="0" w:num="1">
            <w:col w:w="10480"/>
          </w:cols>
          <w:pgMar w:left="720" w:top="880" w:right="711" w:bottom="1440" w:gutter="0" w:footer="0" w:header="0"/>
          <w:type w:val="continuous"/>
        </w:sectPr>
      </w:pPr>
    </w:p>
    <w:bookmarkStart w:id="6" w:name="page7"/>
    <w:bookmarkEnd w:id="6"/>
    <w:p>
      <w:pPr>
        <w:ind w:right="220"/>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by date of report and WHO region through 06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4445</wp:posOffset>
            </wp:positionV>
            <wp:extent cx="6659880" cy="7937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659880" cy="7937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20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ectPr>
          <w:pgSz w:w="11920" w:h="16841" w:orient="portrait"/>
          <w:cols w:equalWidth="0" w:num="1">
            <w:col w:w="10120"/>
          </w:cols>
          <w:pgMar w:left="720" w:top="943" w:right="1071" w:bottom="1440" w:gutter="0" w:footer="0" w:header="0"/>
        </w:sectPr>
      </w:pPr>
    </w:p>
    <w:bookmarkStart w:id="7" w:name="page8"/>
    <w:bookmarkEnd w:id="7"/>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2"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2">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20" w:hanging="360"/>
        <w:spacing w:after="0" w:line="254"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3">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3" w:lineRule="exact"/>
        <w:rPr>
          <w:rFonts w:ascii="Calibri" w:cs="Calibri" w:eastAsia="Calibri" w:hAnsi="Calibri"/>
          <w:sz w:val="22"/>
          <w:szCs w:val="22"/>
          <w:color w:val="auto"/>
        </w:rPr>
      </w:pPr>
    </w:p>
    <w:p>
      <w:pPr>
        <w:ind w:left="360" w:right="14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hanging="360"/>
        <w:spacing w:after="0" w:line="264"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developed interim guidance for laboratory diagnosis, advice on the use of masks during home care and in health care settings in the context of the novel coronavirus (2019-nCoV) outbreak, clinical management, infection prevention and control in health care settings, home care for patients with suspected novel coronavirus</w:t>
      </w:r>
      <w:r>
        <w:rPr>
          <w:rFonts w:ascii="Calibri" w:cs="Calibri" w:eastAsia="Calibri" w:hAnsi="Calibri"/>
          <w:sz w:val="22"/>
          <w:szCs w:val="22"/>
          <w:u w:val="single" w:color="auto"/>
          <w:color w:val="0000FF"/>
        </w:rPr>
        <w:t>,</w:t>
      </w:r>
      <w:r>
        <w:rPr>
          <w:rFonts w:ascii="Calibri" w:cs="Calibri" w:eastAsia="Calibri" w:hAnsi="Calibri"/>
          <w:sz w:val="22"/>
          <w:szCs w:val="22"/>
          <w:color w:val="auto"/>
        </w:rPr>
        <w:t xml:space="preserve"> risk communication and community engagement and Global Surveillance for human infection with novel coronavirus (2019-nCoV).</w:t>
      </w:r>
    </w:p>
    <w:p>
      <w:pPr>
        <w:spacing w:after="0" w:line="66" w:lineRule="exact"/>
        <w:rPr>
          <w:rFonts w:ascii="Arial" w:cs="Arial" w:eastAsia="Arial" w:hAnsi="Arial"/>
          <w:sz w:val="22"/>
          <w:szCs w:val="22"/>
          <w:color w:val="auto"/>
        </w:rPr>
      </w:pPr>
    </w:p>
    <w:p>
      <w:pPr>
        <w:ind w:left="360" w:right="28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68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14">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15">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98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6">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89" w:lineRule="exact"/>
        <w:rPr>
          <w:rFonts w:ascii="Arial" w:cs="Arial" w:eastAsia="Arial" w:hAnsi="Arial"/>
          <w:sz w:val="22"/>
          <w:szCs w:val="22"/>
          <w:color w:val="auto"/>
        </w:rPr>
      </w:pPr>
    </w:p>
    <w:p>
      <w:pPr>
        <w:ind w:left="360" w:right="120" w:hanging="360"/>
        <w:spacing w:after="0" w:line="282" w:lineRule="auto"/>
        <w:tabs>
          <w:tab w:leader="none" w:pos="360" w:val="left"/>
        </w:tabs>
        <w:numPr>
          <w:ilvl w:val="0"/>
          <w:numId w:val="5"/>
        </w:numPr>
        <w:rPr>
          <w:rFonts w:ascii="Calibri" w:cs="Calibri" w:eastAsia="Calibri" w:hAnsi="Calibri"/>
          <w:sz w:val="21"/>
          <w:szCs w:val="21"/>
          <w:color w:val="0000FF"/>
        </w:rPr>
      </w:pPr>
      <w:r>
        <w:rPr>
          <w:rFonts w:ascii="Calibri" w:cs="Calibri" w:eastAsia="Calibri" w:hAnsi="Calibri"/>
          <w:sz w:val="21"/>
          <w:szCs w:val="21"/>
          <w:color w:val="auto"/>
        </w:rPr>
        <w:t xml:space="preserve">WHO has developed online courses on the following topics: </w:t>
      </w:r>
      <w:hyperlink r:id="rId17">
        <w:r>
          <w:rPr>
            <w:rFonts w:ascii="Calibri" w:cs="Calibri" w:eastAsia="Calibri" w:hAnsi="Calibri"/>
            <w:sz w:val="21"/>
            <w:szCs w:val="21"/>
            <w:u w:val="single" w:color="auto"/>
            <w:color w:val="0000FF"/>
          </w:rPr>
          <w:t>A general introduction to emerging respiratory</w:t>
        </w:r>
      </w:hyperlink>
      <w:r>
        <w:rPr>
          <w:rFonts w:ascii="Calibri" w:cs="Calibri" w:eastAsia="Calibri" w:hAnsi="Calibri"/>
          <w:sz w:val="21"/>
          <w:szCs w:val="21"/>
          <w:color w:val="auto"/>
        </w:rPr>
        <w:t xml:space="preserve"> </w:t>
      </w:r>
      <w:hyperlink r:id="rId17">
        <w:r>
          <w:rPr>
            <w:rFonts w:ascii="Calibri" w:cs="Calibri" w:eastAsia="Calibri" w:hAnsi="Calibri"/>
            <w:sz w:val="21"/>
            <w:szCs w:val="21"/>
            <w:u w:val="single" w:color="auto"/>
            <w:color w:val="0000FF"/>
          </w:rPr>
          <w:t>viruses,</w:t>
        </w:r>
        <w:r>
          <w:rPr>
            <w:rFonts w:ascii="Calibri" w:cs="Calibri" w:eastAsia="Calibri" w:hAnsi="Calibri"/>
            <w:sz w:val="21"/>
            <w:szCs w:val="21"/>
            <w:color w:val="0000FF"/>
          </w:rPr>
          <w:t xml:space="preserve"> </w:t>
        </w:r>
      </w:hyperlink>
      <w:r>
        <w:rPr>
          <w:rFonts w:ascii="Calibri" w:cs="Calibri" w:eastAsia="Calibri" w:hAnsi="Calibri"/>
          <w:sz w:val="21"/>
          <w:szCs w:val="21"/>
          <w:color w:val="000000"/>
        </w:rPr>
        <w:t>including</w:t>
      </w:r>
      <w:r>
        <w:rPr>
          <w:rFonts w:ascii="Calibri" w:cs="Calibri" w:eastAsia="Calibri" w:hAnsi="Calibri"/>
          <w:sz w:val="21"/>
          <w:szCs w:val="21"/>
          <w:color w:val="0000FF"/>
        </w:rPr>
        <w:t xml:space="preserve"> </w:t>
      </w:r>
      <w:r>
        <w:rPr>
          <w:rFonts w:ascii="Calibri" w:cs="Calibri" w:eastAsia="Calibri" w:hAnsi="Calibri"/>
          <w:sz w:val="21"/>
          <w:szCs w:val="21"/>
          <w:color w:val="000000"/>
        </w:rPr>
        <w:t>novel coronaviruses (available in</w:t>
      </w:r>
      <w:r>
        <w:rPr>
          <w:rFonts w:ascii="Calibri" w:cs="Calibri" w:eastAsia="Calibri" w:hAnsi="Calibri"/>
          <w:sz w:val="21"/>
          <w:szCs w:val="21"/>
          <w:color w:val="0000FF"/>
        </w:rPr>
        <w:t xml:space="preserve"> </w:t>
      </w:r>
      <w:hyperlink r:id="rId18">
        <w:r>
          <w:rPr>
            <w:rFonts w:ascii="Calibri" w:cs="Calibri" w:eastAsia="Calibri" w:hAnsi="Calibri"/>
            <w:sz w:val="21"/>
            <w:szCs w:val="21"/>
            <w:u w:val="single" w:color="auto"/>
            <w:color w:val="0000FF"/>
          </w:rPr>
          <w:t>Arabic</w:t>
        </w:r>
        <w:r>
          <w:rPr>
            <w:rFonts w:ascii="Calibri" w:cs="Calibri" w:eastAsia="Calibri" w:hAnsi="Calibri"/>
            <w:sz w:val="21"/>
            <w:szCs w:val="21"/>
            <w:u w:val="single" w:color="auto"/>
            <w:color w:val="000000"/>
          </w:rPr>
          <w:t>,</w:t>
        </w:r>
        <w:r>
          <w:rPr>
            <w:rFonts w:ascii="Calibri" w:cs="Calibri" w:eastAsia="Calibri" w:hAnsi="Calibri"/>
            <w:sz w:val="21"/>
            <w:szCs w:val="21"/>
            <w:u w:val="single" w:color="auto"/>
            <w:color w:val="0000FF"/>
          </w:rPr>
          <w:t xml:space="preserve"> </w:t>
        </w:r>
      </w:hyperlink>
      <w:hyperlink r:id="rId17">
        <w:r>
          <w:rPr>
            <w:rFonts w:ascii="Calibri" w:cs="Calibri" w:eastAsia="Calibri" w:hAnsi="Calibri"/>
            <w:sz w:val="21"/>
            <w:szCs w:val="21"/>
            <w:u w:val="single" w:color="auto"/>
            <w:color w:val="0000FF"/>
          </w:rPr>
          <w:t>English</w:t>
        </w:r>
        <w:r>
          <w:rPr>
            <w:rFonts w:ascii="Calibri" w:cs="Calibri" w:eastAsia="Calibri" w:hAnsi="Calibri"/>
            <w:sz w:val="21"/>
            <w:szCs w:val="21"/>
            <w:u w:val="single" w:color="auto"/>
            <w:color w:val="000000"/>
          </w:rPr>
          <w:t>,</w:t>
        </w:r>
        <w:r>
          <w:rPr>
            <w:rFonts w:ascii="Calibri" w:cs="Calibri" w:eastAsia="Calibri" w:hAnsi="Calibri"/>
            <w:sz w:val="21"/>
            <w:szCs w:val="21"/>
            <w:u w:val="single" w:color="auto"/>
            <w:color w:val="0000FF"/>
          </w:rPr>
          <w:t xml:space="preserve"> </w:t>
        </w:r>
      </w:hyperlink>
      <w:hyperlink r:id="rId19">
        <w:r>
          <w:rPr>
            <w:rFonts w:ascii="Calibri" w:cs="Calibri" w:eastAsia="Calibri" w:hAnsi="Calibri"/>
            <w:sz w:val="21"/>
            <w:szCs w:val="21"/>
            <w:u w:val="single" w:color="auto"/>
            <w:color w:val="0000FF"/>
          </w:rPr>
          <w:t>French</w:t>
        </w:r>
        <w:r>
          <w:rPr>
            <w:rFonts w:ascii="Calibri" w:cs="Calibri" w:eastAsia="Calibri" w:hAnsi="Calibri"/>
            <w:sz w:val="21"/>
            <w:szCs w:val="21"/>
            <w:u w:val="single" w:color="auto"/>
            <w:color w:val="000000"/>
          </w:rPr>
          <w:t>,</w:t>
        </w:r>
        <w:r>
          <w:rPr>
            <w:rFonts w:ascii="Calibri" w:cs="Calibri" w:eastAsia="Calibri" w:hAnsi="Calibri"/>
            <w:sz w:val="21"/>
            <w:szCs w:val="21"/>
            <w:u w:val="single" w:color="auto"/>
            <w:color w:val="0000FF"/>
          </w:rPr>
          <w:t xml:space="preserve"> </w:t>
        </w:r>
      </w:hyperlink>
      <w:hyperlink r:id="rId20">
        <w:r>
          <w:rPr>
            <w:rFonts w:ascii="Calibri" w:cs="Calibri" w:eastAsia="Calibri" w:hAnsi="Calibri"/>
            <w:sz w:val="21"/>
            <w:szCs w:val="21"/>
            <w:u w:val="single" w:color="auto"/>
            <w:color w:val="0000FF"/>
          </w:rPr>
          <w:t>Chinese</w:t>
        </w:r>
        <w:r>
          <w:rPr>
            <w:rFonts w:ascii="Calibri" w:cs="Calibri" w:eastAsia="Calibri" w:hAnsi="Calibri"/>
            <w:sz w:val="21"/>
            <w:szCs w:val="21"/>
            <w:u w:val="single" w:color="auto"/>
            <w:color w:val="000000"/>
          </w:rPr>
          <w:t>,</w:t>
        </w:r>
        <w:r>
          <w:rPr>
            <w:rFonts w:ascii="Calibri" w:cs="Calibri" w:eastAsia="Calibri" w:hAnsi="Calibri"/>
            <w:sz w:val="21"/>
            <w:szCs w:val="21"/>
            <w:u w:val="single" w:color="auto"/>
            <w:color w:val="0000FF"/>
          </w:rPr>
          <w:t xml:space="preserve"> </w:t>
        </w:r>
      </w:hyperlink>
      <w:hyperlink r:id="rId21">
        <w:r>
          <w:rPr>
            <w:rFonts w:ascii="Calibri" w:cs="Calibri" w:eastAsia="Calibri" w:hAnsi="Calibri"/>
            <w:sz w:val="21"/>
            <w:szCs w:val="21"/>
            <w:u w:val="single" w:color="auto"/>
            <w:color w:val="0000FF"/>
          </w:rPr>
          <w:t>Spanish</w:t>
        </w:r>
        <w:r>
          <w:rPr>
            <w:rFonts w:ascii="Calibri" w:cs="Calibri" w:eastAsia="Calibri" w:hAnsi="Calibri"/>
            <w:sz w:val="21"/>
            <w:szCs w:val="21"/>
            <w:u w:val="single" w:color="auto"/>
            <w:color w:val="000000"/>
          </w:rPr>
          <w:t>,</w:t>
        </w:r>
        <w:r>
          <w:rPr>
            <w:rFonts w:ascii="Calibri" w:cs="Calibri" w:eastAsia="Calibri" w:hAnsi="Calibri"/>
            <w:sz w:val="21"/>
            <w:szCs w:val="21"/>
            <w:u w:val="single" w:color="auto"/>
            <w:color w:val="0000FF"/>
          </w:rPr>
          <w:t xml:space="preserve"> </w:t>
        </w:r>
      </w:hyperlink>
      <w:hyperlink r:id="rId22">
        <w:r>
          <w:rPr>
            <w:rFonts w:ascii="Calibri" w:cs="Calibri" w:eastAsia="Calibri" w:hAnsi="Calibri"/>
            <w:sz w:val="21"/>
            <w:szCs w:val="21"/>
            <w:u w:val="single" w:color="auto"/>
            <w:color w:val="0000FF"/>
          </w:rPr>
          <w:t xml:space="preserve">Portuguese, </w:t>
        </w:r>
      </w:hyperlink>
      <w:r>
        <w:rPr>
          <w:rFonts w:ascii="Calibri" w:cs="Calibri" w:eastAsia="Calibri" w:hAnsi="Calibri"/>
          <w:sz w:val="21"/>
          <w:szCs w:val="21"/>
          <w:color w:val="000000"/>
        </w:rPr>
        <w:t>and</w:t>
      </w:r>
      <w:r>
        <w:rPr>
          <w:rFonts w:ascii="Calibri" w:cs="Calibri" w:eastAsia="Calibri" w:hAnsi="Calibri"/>
          <w:sz w:val="21"/>
          <w:szCs w:val="21"/>
          <w:color w:val="0000FF"/>
        </w:rPr>
        <w:t xml:space="preserve"> </w:t>
      </w:r>
      <w:hyperlink r:id="rId23">
        <w:r>
          <w:rPr>
            <w:rFonts w:ascii="Calibri" w:cs="Calibri" w:eastAsia="Calibri" w:hAnsi="Calibri"/>
            <w:sz w:val="21"/>
            <w:szCs w:val="21"/>
            <w:u w:val="single" w:color="auto"/>
            <w:color w:val="0000FF"/>
          </w:rPr>
          <w:t>Russian</w:t>
        </w:r>
      </w:hyperlink>
      <w:r>
        <w:rPr>
          <w:rFonts w:ascii="Calibri" w:cs="Calibri" w:eastAsia="Calibri" w:hAnsi="Calibri"/>
          <w:sz w:val="21"/>
          <w:szCs w:val="21"/>
          <w:color w:val="000000"/>
        </w:rPr>
        <w:t>);</w:t>
      </w:r>
      <w:r>
        <w:rPr>
          <w:rFonts w:ascii="Calibri" w:cs="Calibri" w:eastAsia="Calibri" w:hAnsi="Calibri"/>
          <w:sz w:val="21"/>
          <w:szCs w:val="21"/>
          <w:color w:val="0000FF"/>
        </w:rPr>
        <w:t xml:space="preserve"> </w:t>
      </w:r>
      <w:hyperlink r:id="rId24">
        <w:r>
          <w:rPr>
            <w:rFonts w:ascii="Calibri" w:cs="Calibri" w:eastAsia="Calibri" w:hAnsi="Calibri"/>
            <w:sz w:val="21"/>
            <w:szCs w:val="21"/>
            <w:u w:val="single" w:color="auto"/>
            <w:color w:val="0000FF"/>
          </w:rPr>
          <w:t xml:space="preserve">Critical Care of Severe Acute Respiratory Infections; </w:t>
        </w:r>
      </w:hyperlink>
      <w:r>
        <w:rPr>
          <w:rFonts w:ascii="Calibri" w:cs="Calibri" w:eastAsia="Calibri" w:hAnsi="Calibri"/>
          <w:sz w:val="21"/>
          <w:szCs w:val="21"/>
          <w:color w:val="0000FF"/>
        </w:rPr>
        <w:t xml:space="preserve">and </w:t>
      </w:r>
      <w:hyperlink r:id="rId25">
        <w:r>
          <w:rPr>
            <w:rFonts w:ascii="Calibri" w:cs="Calibri" w:eastAsia="Calibri" w:hAnsi="Calibri"/>
            <w:sz w:val="21"/>
            <w:szCs w:val="21"/>
            <w:u w:val="single" w:color="auto"/>
            <w:color w:val="0000FF"/>
          </w:rPr>
          <w:t>Health and safety briefing for respiratory</w:t>
        </w:r>
      </w:hyperlink>
      <w:r>
        <w:rPr>
          <w:rFonts w:ascii="Calibri" w:cs="Calibri" w:eastAsia="Calibri" w:hAnsi="Calibri"/>
          <w:sz w:val="21"/>
          <w:szCs w:val="21"/>
          <w:color w:val="0000FF"/>
        </w:rPr>
        <w:t xml:space="preserve"> </w:t>
      </w:r>
      <w:hyperlink r:id="rId25">
        <w:r>
          <w:rPr>
            <w:rFonts w:ascii="Calibri" w:cs="Calibri" w:eastAsia="Calibri" w:hAnsi="Calibri"/>
            <w:sz w:val="21"/>
            <w:szCs w:val="21"/>
            <w:u w:val="single" w:color="auto"/>
            <w:color w:val="0000FF"/>
          </w:rPr>
          <w:t>diseases - ePROTECT</w:t>
        </w:r>
        <w:r>
          <w:rPr>
            <w:rFonts w:ascii="Calibri" w:cs="Calibri" w:eastAsia="Calibri" w:hAnsi="Calibri"/>
            <w:sz w:val="21"/>
            <w:szCs w:val="21"/>
            <w:color w:val="0000FF"/>
          </w:rPr>
          <w:t xml:space="preserve"> </w:t>
        </w:r>
      </w:hyperlink>
      <w:r>
        <w:rPr>
          <w:rFonts w:ascii="Calibri" w:cs="Calibri" w:eastAsia="Calibri" w:hAnsi="Calibri"/>
          <w:sz w:val="21"/>
          <w:szCs w:val="21"/>
          <w:color w:val="000000"/>
        </w:rPr>
        <w:t>(available</w:t>
      </w:r>
      <w:r>
        <w:rPr>
          <w:rFonts w:ascii="Calibri" w:cs="Calibri" w:eastAsia="Calibri" w:hAnsi="Calibri"/>
          <w:sz w:val="21"/>
          <w:szCs w:val="21"/>
          <w:color w:val="0000FF"/>
        </w:rPr>
        <w:t xml:space="preserve"> </w:t>
      </w:r>
      <w:r>
        <w:rPr>
          <w:rFonts w:ascii="Calibri" w:cs="Calibri" w:eastAsia="Calibri" w:hAnsi="Calibri"/>
          <w:sz w:val="21"/>
          <w:szCs w:val="21"/>
          <w:color w:val="000000"/>
        </w:rPr>
        <w:t>in</w:t>
      </w:r>
      <w:r>
        <w:rPr>
          <w:rFonts w:ascii="Calibri" w:cs="Calibri" w:eastAsia="Calibri" w:hAnsi="Calibri"/>
          <w:sz w:val="21"/>
          <w:szCs w:val="21"/>
          <w:color w:val="0000FF"/>
        </w:rPr>
        <w:t xml:space="preserve"> </w:t>
      </w:r>
      <w:hyperlink r:id="rId26">
        <w:r>
          <w:rPr>
            <w:rFonts w:ascii="Calibri" w:cs="Calibri" w:eastAsia="Calibri" w:hAnsi="Calibri"/>
            <w:sz w:val="21"/>
            <w:szCs w:val="21"/>
            <w:u w:val="single" w:color="auto"/>
            <w:color w:val="0000FF"/>
          </w:rPr>
          <w:t xml:space="preserve">English </w:t>
        </w:r>
      </w:hyperlink>
      <w:r>
        <w:rPr>
          <w:rFonts w:ascii="Calibri" w:cs="Calibri" w:eastAsia="Calibri" w:hAnsi="Calibri"/>
          <w:sz w:val="21"/>
          <w:szCs w:val="21"/>
          <w:color w:val="000000"/>
        </w:rPr>
        <w:t>and</w:t>
      </w:r>
      <w:r>
        <w:rPr>
          <w:rFonts w:ascii="Calibri" w:cs="Calibri" w:eastAsia="Calibri" w:hAnsi="Calibri"/>
          <w:sz w:val="21"/>
          <w:szCs w:val="21"/>
          <w:color w:val="0000FF"/>
        </w:rPr>
        <w:t xml:space="preserve"> </w:t>
      </w:r>
      <w:hyperlink r:id="rId27">
        <w:r>
          <w:rPr>
            <w:rFonts w:ascii="Calibri" w:cs="Calibri" w:eastAsia="Calibri" w:hAnsi="Calibri"/>
            <w:sz w:val="21"/>
            <w:szCs w:val="21"/>
            <w:u w:val="single" w:color="auto"/>
            <w:color w:val="0000FF"/>
          </w:rPr>
          <w:t>French</w:t>
        </w:r>
      </w:hyperlink>
      <w:r>
        <w:rPr>
          <w:rFonts w:ascii="Calibri" w:cs="Calibri" w:eastAsia="Calibri" w:hAnsi="Calibri"/>
          <w:sz w:val="21"/>
          <w:szCs w:val="21"/>
          <w:color w:val="000000"/>
        </w:rPr>
        <w:t>);</w:t>
      </w:r>
      <w:r>
        <w:rPr>
          <w:rFonts w:ascii="Calibri" w:cs="Calibri" w:eastAsia="Calibri" w:hAnsi="Calibri"/>
          <w:sz w:val="21"/>
          <w:szCs w:val="21"/>
          <w:color w:val="0000FF"/>
        </w:rPr>
        <w:t xml:space="preserve"> </w:t>
      </w:r>
      <w:hyperlink r:id="rId26">
        <w:r>
          <w:rPr>
            <w:rFonts w:ascii="Calibri" w:cs="Calibri" w:eastAsia="Calibri" w:hAnsi="Calibri"/>
            <w:sz w:val="21"/>
            <w:szCs w:val="21"/>
            <w:u w:val="single" w:color="auto"/>
            <w:color w:val="0000FF"/>
          </w:rPr>
          <w:t>Infection Prevention and Control for Novel Coronavirus</w:t>
        </w:r>
      </w:hyperlink>
      <w:r>
        <w:rPr>
          <w:rFonts w:ascii="Calibri" w:cs="Calibri" w:eastAsia="Calibri" w:hAnsi="Calibri"/>
          <w:sz w:val="21"/>
          <w:szCs w:val="21"/>
          <w:color w:val="0000FF"/>
        </w:rPr>
        <w:t xml:space="preserve"> </w:t>
      </w:r>
      <w:hyperlink r:id="rId26">
        <w:r>
          <w:rPr>
            <w:rFonts w:ascii="Calibri" w:cs="Calibri" w:eastAsia="Calibri" w:hAnsi="Calibri"/>
            <w:sz w:val="21"/>
            <w:szCs w:val="21"/>
            <w:u w:val="single" w:color="auto"/>
            <w:color w:val="0000FF"/>
          </w:rPr>
          <w:t>(COVID-19)</w:t>
        </w:r>
        <w:r>
          <w:rPr>
            <w:rFonts w:ascii="Calibri" w:cs="Calibri" w:eastAsia="Calibri" w:hAnsi="Calibri"/>
            <w:sz w:val="21"/>
            <w:szCs w:val="21"/>
            <w:color w:val="0000FF"/>
          </w:rPr>
          <w:t xml:space="preserve"> </w:t>
        </w:r>
      </w:hyperlink>
      <w:r>
        <w:rPr>
          <w:rFonts w:ascii="Calibri" w:cs="Calibri" w:eastAsia="Calibri" w:hAnsi="Calibri"/>
          <w:sz w:val="21"/>
          <w:szCs w:val="21"/>
          <w:color w:val="000000"/>
        </w:rPr>
        <w:t>(available</w:t>
      </w:r>
      <w:r>
        <w:rPr>
          <w:rFonts w:ascii="Calibri" w:cs="Calibri" w:eastAsia="Calibri" w:hAnsi="Calibri"/>
          <w:sz w:val="21"/>
          <w:szCs w:val="21"/>
          <w:color w:val="0000FF"/>
        </w:rPr>
        <w:t xml:space="preserve"> </w:t>
      </w:r>
      <w:r>
        <w:rPr>
          <w:rFonts w:ascii="Calibri" w:cs="Calibri" w:eastAsia="Calibri" w:hAnsi="Calibri"/>
          <w:sz w:val="21"/>
          <w:szCs w:val="21"/>
          <w:color w:val="000000"/>
        </w:rPr>
        <w:t>in</w:t>
      </w:r>
      <w:r>
        <w:rPr>
          <w:rFonts w:ascii="Calibri" w:cs="Calibri" w:eastAsia="Calibri" w:hAnsi="Calibri"/>
          <w:sz w:val="21"/>
          <w:szCs w:val="21"/>
          <w:color w:val="0000FF"/>
        </w:rPr>
        <w:t xml:space="preserve"> </w:t>
      </w:r>
      <w:hyperlink r:id="rId26">
        <w:r>
          <w:rPr>
            <w:rFonts w:ascii="Calibri" w:cs="Calibri" w:eastAsia="Calibri" w:hAnsi="Calibri"/>
            <w:sz w:val="21"/>
            <w:szCs w:val="21"/>
            <w:u w:val="single" w:color="auto"/>
            <w:color w:val="0000FF"/>
          </w:rPr>
          <w:t xml:space="preserve">English </w:t>
        </w:r>
      </w:hyperlink>
      <w:r>
        <w:rPr>
          <w:rFonts w:ascii="Calibri" w:cs="Calibri" w:eastAsia="Calibri" w:hAnsi="Calibri"/>
          <w:sz w:val="21"/>
          <w:szCs w:val="21"/>
          <w:color w:val="000000"/>
        </w:rPr>
        <w:t>and</w:t>
      </w:r>
      <w:r>
        <w:rPr>
          <w:rFonts w:ascii="Calibri" w:cs="Calibri" w:eastAsia="Calibri" w:hAnsi="Calibri"/>
          <w:sz w:val="21"/>
          <w:szCs w:val="21"/>
          <w:color w:val="0000FF"/>
        </w:rPr>
        <w:t xml:space="preserve"> </w:t>
      </w:r>
      <w:hyperlink r:id="rId28">
        <w:r>
          <w:rPr>
            <w:rFonts w:ascii="Calibri" w:cs="Calibri" w:eastAsia="Calibri" w:hAnsi="Calibri"/>
            <w:sz w:val="21"/>
            <w:szCs w:val="21"/>
            <w:u w:val="single" w:color="auto"/>
            <w:color w:val="0000FF"/>
          </w:rPr>
          <w:t>Russian</w:t>
        </w:r>
      </w:hyperlink>
      <w:r>
        <w:rPr>
          <w:rFonts w:ascii="Calibri" w:cs="Calibri" w:eastAsia="Calibri" w:hAnsi="Calibri"/>
          <w:sz w:val="21"/>
          <w:szCs w:val="21"/>
          <w:color w:val="000000"/>
        </w:rPr>
        <w:t>);</w:t>
      </w:r>
      <w:r>
        <w:rPr>
          <w:rFonts w:ascii="Calibri" w:cs="Calibri" w:eastAsia="Calibri" w:hAnsi="Calibri"/>
          <w:sz w:val="21"/>
          <w:szCs w:val="21"/>
          <w:color w:val="0000FF"/>
        </w:rPr>
        <w:t xml:space="preserve"> </w:t>
      </w:r>
      <w:hyperlink r:id="rId29">
        <w:r>
          <w:rPr>
            <w:rFonts w:ascii="Calibri" w:cs="Calibri" w:eastAsia="Calibri" w:hAnsi="Calibri"/>
            <w:sz w:val="21"/>
            <w:szCs w:val="21"/>
            <w:u w:val="single" w:color="auto"/>
            <w:color w:val="0000FF"/>
          </w:rPr>
          <w:t xml:space="preserve">Critical Care Severe Acute Respiratory Infection </w:t>
        </w:r>
      </w:hyperlink>
      <w:r>
        <w:rPr>
          <w:rFonts w:ascii="Calibri" w:cs="Calibri" w:eastAsia="Calibri" w:hAnsi="Calibri"/>
          <w:sz w:val="21"/>
          <w:szCs w:val="21"/>
          <w:color w:val="000000"/>
        </w:rPr>
        <w:t>(available</w:t>
      </w:r>
      <w:r>
        <w:rPr>
          <w:rFonts w:ascii="Calibri" w:cs="Calibri" w:eastAsia="Calibri" w:hAnsi="Calibri"/>
          <w:sz w:val="21"/>
          <w:szCs w:val="21"/>
          <w:color w:val="0000FF"/>
        </w:rPr>
        <w:t xml:space="preserve"> </w:t>
      </w:r>
      <w:r>
        <w:rPr>
          <w:rFonts w:ascii="Calibri" w:cs="Calibri" w:eastAsia="Calibri" w:hAnsi="Calibri"/>
          <w:sz w:val="21"/>
          <w:szCs w:val="21"/>
          <w:color w:val="000000"/>
        </w:rPr>
        <w:t>in</w:t>
      </w:r>
      <w:r>
        <w:rPr>
          <w:rFonts w:ascii="Calibri" w:cs="Calibri" w:eastAsia="Calibri" w:hAnsi="Calibri"/>
          <w:sz w:val="21"/>
          <w:szCs w:val="21"/>
          <w:color w:val="0000FF"/>
        </w:rPr>
        <w:t xml:space="preserve"> </w:t>
      </w:r>
      <w:hyperlink r:id="rId29">
        <w:r>
          <w:rPr>
            <w:rFonts w:ascii="Calibri" w:cs="Calibri" w:eastAsia="Calibri" w:hAnsi="Calibri"/>
            <w:sz w:val="21"/>
            <w:szCs w:val="21"/>
            <w:u w:val="single" w:color="auto"/>
            <w:color w:val="0000FF"/>
          </w:rPr>
          <w:t>English</w:t>
        </w:r>
        <w:r>
          <w:rPr>
            <w:rFonts w:ascii="Calibri" w:cs="Calibri" w:eastAsia="Calibri" w:hAnsi="Calibri"/>
            <w:sz w:val="21"/>
            <w:szCs w:val="21"/>
            <w:color w:val="0000FF"/>
          </w:rPr>
          <w:t xml:space="preserve"> </w:t>
        </w:r>
      </w:hyperlink>
      <w:r>
        <w:rPr>
          <w:rFonts w:ascii="Calibri" w:cs="Calibri" w:eastAsia="Calibri" w:hAnsi="Calibri"/>
          <w:sz w:val="21"/>
          <w:szCs w:val="21"/>
          <w:color w:val="000000"/>
        </w:rPr>
        <w:t>and</w:t>
      </w:r>
      <w:r>
        <w:rPr>
          <w:rFonts w:ascii="Calibri" w:cs="Calibri" w:eastAsia="Calibri" w:hAnsi="Calibri"/>
          <w:sz w:val="21"/>
          <w:szCs w:val="21"/>
          <w:color w:val="0000FF"/>
        </w:rPr>
        <w:t xml:space="preserve"> </w:t>
      </w:r>
      <w:hyperlink r:id="rId30">
        <w:r>
          <w:rPr>
            <w:rFonts w:ascii="Calibri" w:cs="Calibri" w:eastAsia="Calibri" w:hAnsi="Calibri"/>
            <w:sz w:val="21"/>
            <w:szCs w:val="21"/>
            <w:u w:val="single" w:color="auto"/>
            <w:color w:val="0000FF"/>
          </w:rPr>
          <w:t>French</w:t>
        </w:r>
      </w:hyperlink>
      <w:r>
        <w:rPr>
          <w:rFonts w:ascii="Calibri" w:cs="Calibri" w:eastAsia="Calibri" w:hAnsi="Calibri"/>
          <w:sz w:val="21"/>
          <w:szCs w:val="21"/>
          <w:color w:val="000000"/>
        </w:rPr>
        <w:t>);</w:t>
      </w:r>
      <w:r>
        <w:rPr>
          <w:rFonts w:ascii="Calibri" w:cs="Calibri" w:eastAsia="Calibri" w:hAnsi="Calibri"/>
          <w:sz w:val="21"/>
          <w:szCs w:val="21"/>
          <w:color w:val="0000FF"/>
        </w:rPr>
        <w:t xml:space="preserve"> </w:t>
      </w:r>
      <w:r>
        <w:rPr>
          <w:rFonts w:ascii="Calibri" w:cs="Calibri" w:eastAsia="Calibri" w:hAnsi="Calibri"/>
          <w:sz w:val="21"/>
          <w:szCs w:val="21"/>
          <w:color w:val="000000"/>
        </w:rPr>
        <w:t>and</w:t>
      </w:r>
      <w:r>
        <w:rPr>
          <w:rFonts w:ascii="Calibri" w:cs="Calibri" w:eastAsia="Calibri" w:hAnsi="Calibri"/>
          <w:sz w:val="21"/>
          <w:szCs w:val="21"/>
          <w:color w:val="0000FF"/>
        </w:rPr>
        <w:t xml:space="preserve"> </w:t>
      </w:r>
      <w:hyperlink r:id="rId31">
        <w:r>
          <w:rPr>
            <w:rFonts w:ascii="Calibri" w:cs="Calibri" w:eastAsia="Calibri" w:hAnsi="Calibri"/>
            <w:sz w:val="21"/>
            <w:szCs w:val="21"/>
            <w:u w:val="single" w:color="auto"/>
            <w:color w:val="0000FF"/>
          </w:rPr>
          <w:t>COVID-19 Operational Planning Guidelines and COVID-19 Partners Platform to support</w:t>
        </w:r>
      </w:hyperlink>
    </w:p>
    <w:p>
      <w:pPr>
        <w:ind w:left="360"/>
        <w:spacing w:after="0"/>
        <w:rPr>
          <w:rFonts w:ascii="Calibri" w:cs="Calibri" w:eastAsia="Calibri" w:hAnsi="Calibri"/>
          <w:sz w:val="22"/>
          <w:szCs w:val="22"/>
          <w:color w:val="0000FF"/>
        </w:rPr>
      </w:pPr>
      <w:hyperlink r:id="rId31">
        <w:r>
          <w:rPr>
            <w:rFonts w:ascii="Calibri" w:cs="Calibri" w:eastAsia="Calibri" w:hAnsi="Calibri"/>
            <w:sz w:val="22"/>
            <w:szCs w:val="22"/>
            <w:u w:val="single" w:color="auto"/>
            <w:color w:val="0000FF"/>
          </w:rPr>
          <w:t>country preparedness and response</w:t>
        </w:r>
        <w:r>
          <w:rPr>
            <w:rFonts w:ascii="Calibri" w:cs="Calibri" w:eastAsia="Calibri" w:hAnsi="Calibri"/>
            <w:sz w:val="22"/>
            <w:szCs w:val="22"/>
            <w:color w:val="000000"/>
          </w:rPr>
          <w:t>.</w:t>
        </w:r>
      </w:hyperlink>
    </w:p>
    <w:p>
      <w:pPr>
        <w:spacing w:after="0" w:line="57" w:lineRule="exact"/>
        <w:rPr>
          <w:rFonts w:ascii="Calibri" w:cs="Calibri" w:eastAsia="Calibri" w:hAnsi="Calibri"/>
          <w:sz w:val="22"/>
          <w:szCs w:val="22"/>
          <w:color w:val="0000FF"/>
        </w:rPr>
      </w:pPr>
    </w:p>
    <w:p>
      <w:pPr>
        <w:ind w:left="360" w:right="40"/>
        <w:spacing w:after="0" w:line="274" w:lineRule="auto"/>
        <w:rPr>
          <w:rFonts w:ascii="Calibri" w:cs="Calibri" w:eastAsia="Calibri" w:hAnsi="Calibri"/>
          <w:sz w:val="22"/>
          <w:szCs w:val="22"/>
          <w:color w:val="0000FF"/>
        </w:rPr>
      </w:pPr>
      <w:r>
        <w:rPr>
          <w:rFonts w:ascii="Arial" w:cs="Arial" w:eastAsia="Arial" w:hAnsi="Arial"/>
          <w:sz w:val="22"/>
          <w:szCs w:val="22"/>
          <w:color w:val="auto"/>
        </w:rPr>
        <w:t xml:space="preserve">• </w:t>
      </w:r>
      <w:r>
        <w:rPr>
          <w:rFonts w:ascii="Calibri" w:cs="Calibri" w:eastAsia="Calibri" w:hAnsi="Calibri"/>
          <w:sz w:val="22"/>
          <w:szCs w:val="22"/>
          <w:color w:val="auto"/>
        </w:rPr>
        <w:t>WHO is providing guidance on early investigations, which are critical in an outbreak of a new virus. The data</w:t>
      </w:r>
      <w:r>
        <w:rPr>
          <w:rFonts w:ascii="Arial" w:cs="Arial" w:eastAsia="Arial" w:hAnsi="Arial"/>
          <w:sz w:val="22"/>
          <w:szCs w:val="22"/>
          <w:color w:val="auto"/>
        </w:rPr>
        <w:t xml:space="preserve"> </w:t>
      </w:r>
      <w:r>
        <w:rPr>
          <w:rFonts w:ascii="Calibri" w:cs="Calibri" w:eastAsia="Calibri" w:hAnsi="Calibri"/>
          <w:sz w:val="22"/>
          <w:szCs w:val="22"/>
          <w:color w:val="auto"/>
        </w:rPr>
        <w:t xml:space="preserve">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w:t>
      </w:r>
      <w:hyperlink r:id="rId32">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One such protocol is for the investigation of early COVID-19 cases and contacts (the “</w:t>
      </w:r>
      <w:hyperlink r:id="rId33">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auto"/>
        </w:rPr>
        <w:t xml:space="preserve"> </w:t>
      </w:r>
      <w:hyperlink r:id="rId33">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-6122035</wp:posOffset>
                </wp:positionV>
                <wp:extent cx="3175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 o:spid="_x0000_s1030" style="position:absolute;margin-left:202.95pt;margin-top:-482.0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rFonts w:ascii="Calibri" w:cs="Calibri" w:eastAsia="Calibri" w:hAnsi="Calibri"/>
          <w:sz w:val="22"/>
          <w:szCs w:val="22"/>
          <w:color w:val="auto"/>
        </w:rPr>
      </w:pPr>
    </w:p>
    <w:p>
      <w:pPr>
        <w:spacing w:after="0" w:line="297"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39" w:lineRule="exact"/>
        <w:rPr>
          <w:rFonts w:ascii="Calibri" w:cs="Calibri" w:eastAsia="Calibri" w:hAnsi="Calibri"/>
          <w:sz w:val="22"/>
          <w:szCs w:val="22"/>
          <w:color w:val="auto"/>
        </w:rPr>
      </w:pPr>
    </w:p>
    <w:p>
      <w:pPr>
        <w:ind w:right="40"/>
        <w:spacing w:after="0" w:line="264"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34">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Seek guidance from WHO, your healthcare provider, your national public health authority or your employer for accurate information on COVID-19</w:t>
      </w:r>
    </w:p>
    <w:p>
      <w:pPr>
        <w:sectPr>
          <w:pgSz w:w="11920" w:h="16841" w:orient="portrait"/>
          <w:cols w:equalWidth="0" w:num="1">
            <w:col w:w="10440"/>
          </w:cols>
          <w:pgMar w:left="720" w:top="899" w:right="751" w:bottom="517" w:gutter="0" w:footer="0" w:header="0"/>
        </w:sectPr>
      </w:pPr>
    </w:p>
    <w:bookmarkStart w:id="8" w:name="page9"/>
    <w:bookmarkEnd w:id="8"/>
    <w:p>
      <w:pPr>
        <w:ind w:right="86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and whether COVID-19 is circulating where you live. It is important to be informed of the situation and take appropriate measures to protect yourself and your family (see </w:t>
      </w:r>
      <w:hyperlink r:id="rId35">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w:t>
      </w:r>
    </w:p>
    <w:p>
      <w:pPr>
        <w:spacing w:after="0" w:line="399" w:lineRule="exact"/>
        <w:rPr>
          <w:sz w:val="20"/>
          <w:szCs w:val="20"/>
          <w:color w:val="auto"/>
        </w:rPr>
      </w:pPr>
    </w:p>
    <w:p>
      <w:pPr>
        <w:spacing w:after="0" w:line="267"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hyperlink r:id="rId35">
        <w:r>
          <w:rPr>
            <w:rFonts w:ascii="Calibri" w:cs="Calibri" w:eastAsia="Calibri" w:hAnsi="Calibri"/>
            <w:sz w:val="22"/>
            <w:szCs w:val="22"/>
            <w:u w:val="single" w:color="auto"/>
            <w:color w:val="0000FF"/>
          </w:rPr>
          <w:t>Protection measures for persons who are in or have recently visited (past</w:t>
        </w:r>
      </w:hyperlink>
      <w:r>
        <w:rPr>
          <w:rFonts w:ascii="Calibri" w:cs="Calibri" w:eastAsia="Calibri" w:hAnsi="Calibri"/>
          <w:sz w:val="22"/>
          <w:szCs w:val="22"/>
          <w:color w:val="auto"/>
        </w:rPr>
        <w:t xml:space="preserve"> </w:t>
      </w:r>
      <w:hyperlink r:id="rId35">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hyperlink>
      <w:r>
        <w:rPr>
          <w:rFonts w:ascii="Calibri" w:cs="Calibri" w:eastAsia="Calibri" w:hAnsi="Calibri"/>
          <w:sz w:val="22"/>
          <w:szCs w:val="22"/>
          <w:color w:val="0000FF"/>
        </w:rPr>
        <w: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CASE DEFINITIONS</w:t>
      </w:r>
    </w:p>
    <w:p>
      <w:pPr>
        <w:spacing w:after="0" w:line="392" w:lineRule="exact"/>
        <w:rPr>
          <w:sz w:val="20"/>
          <w:szCs w:val="20"/>
          <w:color w:val="auto"/>
        </w:rPr>
      </w:pPr>
    </w:p>
    <w:p>
      <w:pPr>
        <w:ind w:right="84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periodically updates the </w:t>
      </w:r>
      <w:hyperlink r:id="rId10">
        <w:r>
          <w:rPr>
            <w:rFonts w:ascii="Calibri" w:cs="Calibri" w:eastAsia="Calibri" w:hAnsi="Calibri"/>
            <w:sz w:val="22"/>
            <w:szCs w:val="22"/>
            <w:u w:val="single" w:color="auto"/>
            <w:color w:val="0000FF"/>
          </w:rPr>
          <w:t>Global Surveillance for human infection with coronavirus disease (COVID-19)</w:t>
        </w:r>
      </w:hyperlink>
      <w:r>
        <w:rPr>
          <w:rFonts w:ascii="Calibri" w:cs="Calibri" w:eastAsia="Calibri" w:hAnsi="Calibri"/>
          <w:sz w:val="22"/>
          <w:szCs w:val="22"/>
          <w:color w:val="auto"/>
        </w:rPr>
        <w:t xml:space="preserve"> document which includes case definitions.</w:t>
      </w:r>
    </w:p>
    <w:p>
      <w:pPr>
        <w:spacing w:after="0" w:line="352" w:lineRule="exact"/>
        <w:rPr>
          <w:sz w:val="20"/>
          <w:szCs w:val="20"/>
          <w:color w:val="auto"/>
        </w:rPr>
      </w:pPr>
    </w:p>
    <w:p>
      <w:pPr>
        <w:spacing w:after="0"/>
        <w:rPr>
          <w:sz w:val="20"/>
          <w:szCs w:val="20"/>
          <w:color w:val="auto"/>
        </w:rPr>
      </w:pPr>
      <w:r>
        <w:rPr>
          <w:rFonts w:ascii="Calibri" w:cs="Calibri" w:eastAsia="Calibri" w:hAnsi="Calibri"/>
          <w:sz w:val="22"/>
          <w:szCs w:val="22"/>
          <w:color w:val="auto"/>
        </w:rPr>
        <w:t>For easy reference, case definitions are included below.</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Suspect case</w:t>
      </w:r>
    </w:p>
    <w:p>
      <w:pPr>
        <w:spacing w:after="0" w:line="90" w:lineRule="exact"/>
        <w:rPr>
          <w:sz w:val="20"/>
          <w:szCs w:val="20"/>
          <w:color w:val="auto"/>
        </w:rPr>
      </w:pPr>
    </w:p>
    <w:p>
      <w:pPr>
        <w:ind w:left="720" w:right="280" w:hanging="360"/>
        <w:spacing w:after="0" w:line="253" w:lineRule="auto"/>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A patient with acute respiratory illness (fever and at least one sign/symptom of respiratory disease (e.g., cough, shortness of breath), AND with no other etiology that fully explains the clinical presentation AND a history of travel to or residence in a country/area or territory reporting local transmission (See </w:t>
      </w:r>
      <w:hyperlink r:id="rId36">
        <w:r>
          <w:rPr>
            <w:rFonts w:ascii="Calibri" w:cs="Calibri" w:eastAsia="Calibri" w:hAnsi="Calibri"/>
            <w:sz w:val="22"/>
            <w:szCs w:val="22"/>
            <w:u w:val="single" w:color="auto"/>
            <w:color w:val="0000FF"/>
          </w:rPr>
          <w:t>situation</w:t>
        </w:r>
      </w:hyperlink>
    </w:p>
    <w:p>
      <w:pPr>
        <w:spacing w:after="0" w:line="29" w:lineRule="exact"/>
        <w:rPr>
          <w:sz w:val="20"/>
          <w:szCs w:val="20"/>
          <w:color w:val="auto"/>
        </w:rPr>
      </w:pPr>
    </w:p>
    <w:p>
      <w:pPr>
        <w:ind w:left="720"/>
        <w:spacing w:after="0"/>
        <w:rPr>
          <w:rFonts w:ascii="Calibri" w:cs="Calibri" w:eastAsia="Calibri" w:hAnsi="Calibri"/>
          <w:sz w:val="22"/>
          <w:szCs w:val="22"/>
          <w:color w:val="0000FF"/>
        </w:rPr>
      </w:pPr>
      <w:hyperlink r:id="rId36">
        <w:r>
          <w:rPr>
            <w:rFonts w:ascii="Calibri" w:cs="Calibri" w:eastAsia="Calibri" w:hAnsi="Calibri"/>
            <w:sz w:val="22"/>
            <w:szCs w:val="22"/>
            <w:u w:val="single" w:color="auto"/>
            <w:color w:val="0000FF"/>
          </w:rPr>
          <w:t>report</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of </w:t>
      </w:r>
      <w:r>
        <w:rPr>
          <w:rFonts w:ascii="Calibri" w:cs="Calibri" w:eastAsia="Calibri" w:hAnsi="Calibri"/>
          <w:sz w:val="22"/>
          <w:szCs w:val="22"/>
          <w:color w:val="000000"/>
        </w:rPr>
        <w:t>COVID-19 disease during the 14 days prior to symptom onset.</w:t>
      </w:r>
    </w:p>
    <w:p>
      <w:pPr>
        <w:spacing w:after="0" w:line="39"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20" w:hanging="359"/>
        <w:spacing w:after="0" w:line="236" w:lineRule="auto"/>
        <w:tabs>
          <w:tab w:leader="none" w:pos="700" w:val="left"/>
        </w:tabs>
        <w:rPr>
          <w:sz w:val="20"/>
          <w:szCs w:val="20"/>
          <w:color w:val="auto"/>
        </w:rPr>
      </w:pPr>
      <w:r>
        <w:rPr>
          <w:rFonts w:ascii="Calibri" w:cs="Calibri" w:eastAsia="Calibri" w:hAnsi="Calibri"/>
          <w:sz w:val="22"/>
          <w:szCs w:val="22"/>
          <w:color w:val="auto"/>
        </w:rPr>
        <w:t>B.</w:t>
        <w:tab/>
        <w:t>A patient with any acute respiratory illness AND having been in contact with a confirmed or probable COVID-19 case (see definition of contact) in the last 14 days prior to onset of symptoms;</w:t>
      </w:r>
    </w:p>
    <w:p>
      <w:pPr>
        <w:spacing w:after="0" w:line="40"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40" w:hanging="360"/>
        <w:spacing w:after="0" w:line="253" w:lineRule="auto"/>
        <w:tabs>
          <w:tab w:leader="none" w:pos="72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 patient with severe acute respiratory infection (fever and at least one sign/symptom of respiratory disease (e.g., cough, shortness breath) AND requiring hospitalization AND with no other etiology that fully explains the clinical presentation.</w:t>
      </w:r>
    </w:p>
    <w:p>
      <w:pPr>
        <w:spacing w:after="0" w:line="33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Probable case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color w:val="auto"/>
        </w:rPr>
        <w:t>A suspect case for whom testing for COVID-19 is inconclusive.</w:t>
      </w:r>
    </w:p>
    <w:p>
      <w:pPr>
        <w:spacing w:after="0" w:line="41" w:lineRule="exact"/>
        <w:rPr>
          <w:sz w:val="20"/>
          <w:szCs w:val="20"/>
          <w:color w:val="auto"/>
        </w:rPr>
      </w:pPr>
    </w:p>
    <w:p>
      <w:pPr>
        <w:ind w:left="1080" w:hanging="360"/>
        <w:spacing w:after="0"/>
        <w:tabs>
          <w:tab w:leader="none" w:pos="1080" w:val="left"/>
        </w:tabs>
        <w:numPr>
          <w:ilvl w:val="0"/>
          <w:numId w:val="8"/>
        </w:numPr>
        <w:rPr>
          <w:rFonts w:ascii="Arial" w:cs="Arial" w:eastAsia="Arial" w:hAnsi="Arial"/>
          <w:sz w:val="12"/>
          <w:szCs w:val="12"/>
          <w:color w:val="auto"/>
        </w:rPr>
      </w:pPr>
      <w:r>
        <w:rPr>
          <w:rFonts w:ascii="Calibri" w:cs="Calibri" w:eastAsia="Calibri" w:hAnsi="Calibri"/>
          <w:sz w:val="22"/>
          <w:szCs w:val="22"/>
          <w:color w:val="auto"/>
        </w:rPr>
        <w:t>Inconclusive being the result of the test reported by the laboratory</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Confirmed case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color w:val="auto"/>
        </w:rPr>
        <w:t>A person with laboratory confirmation of COVID-19 infection, irrespective of clinical signs and symptoms.</w:t>
      </w:r>
    </w:p>
    <w:p>
      <w:pPr>
        <w:spacing w:after="0" w:line="41" w:lineRule="exact"/>
        <w:rPr>
          <w:sz w:val="20"/>
          <w:szCs w:val="20"/>
          <w:color w:val="auto"/>
        </w:rPr>
      </w:pPr>
    </w:p>
    <w:p>
      <w:pPr>
        <w:ind w:left="1080" w:hanging="360"/>
        <w:spacing w:after="0"/>
        <w:tabs>
          <w:tab w:leader="none" w:pos="1080" w:val="left"/>
        </w:tabs>
        <w:numPr>
          <w:ilvl w:val="0"/>
          <w:numId w:val="9"/>
        </w:numPr>
        <w:rPr>
          <w:rFonts w:ascii="Calibri" w:cs="Calibri" w:eastAsia="Calibri" w:hAnsi="Calibri"/>
          <w:sz w:val="22"/>
          <w:szCs w:val="22"/>
          <w:color w:val="auto"/>
        </w:rPr>
      </w:pPr>
      <w:r>
        <w:rPr>
          <w:rFonts w:ascii="Calibri" w:cs="Calibri" w:eastAsia="Calibri" w:hAnsi="Calibri"/>
          <w:sz w:val="22"/>
          <w:szCs w:val="22"/>
          <w:color w:val="auto"/>
        </w:rPr>
        <w:t xml:space="preserve">Information regarding laboratory guidance can be found </w:t>
      </w:r>
      <w:hyperlink r:id="rId37">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sectPr>
      <w:pgSz w:w="11920" w:h="16841" w:orient="portrait"/>
      <w:cols w:equalWidth="0" w:num="1">
        <w:col w:w="10460"/>
      </w:cols>
      <w:pgMar w:left="720" w:top="943"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1"/>
      <w:numFmt w:val="decimal"/>
      <w:start w:val="88"/>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1."/>
      <w:numFmt w:val="upperLetter"/>
      <w:start w:val="1"/>
    </w:lvl>
  </w:abstractNum>
  <w:abstractNum w:abstractNumId="6">
    <w:nsid w:val="7545E146"/>
    <w:multiLevelType w:val="hybridMultilevel"/>
    <w:lvl w:ilvl="0">
      <w:lvlJc w:val="left"/>
      <w:lvlText w:val="%1."/>
      <w:numFmt w:val="upperLetter"/>
      <w:start w:val="3"/>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1" Type="http://schemas.openxmlformats.org/officeDocument/2006/relationships/image" Target="media/image3.png"/><Relationship Id="rId10" Type="http://schemas.openxmlformats.org/officeDocument/2006/relationships/hyperlink" Target="https://www.who.int/publications-detail/global-surveillance-for-human-infection-with-novel-coronavirus-(2019-ncov)" TargetMode="External"/><Relationship Id="rId12" Type="http://schemas.openxmlformats.org/officeDocument/2006/relationships/hyperlink" Target="https://www.who.int/emergencies/diseases/novel-coronavirus-2019/technical-guidance" TargetMode="External"/><Relationship Id="rId13" Type="http://schemas.openxmlformats.org/officeDocument/2006/relationships/hyperlink" Target="https://www.iata.org/en/programs/safety/health/diseases/#tab-2" TargetMode="External"/><Relationship Id="rId14" Type="http://schemas.openxmlformats.org/officeDocument/2006/relationships/hyperlink" Target="https://www.who.int/publications-detail/disease-commodity-package---novel-coronavirus-(ncov)" TargetMode="External"/><Relationship Id="rId15" Type="http://schemas.openxmlformats.org/officeDocument/2006/relationships/hyperlink" Target="https://www.who.int/health-topics/coronavirus/who-recommendations-to-reduce-risk-of-transmission-of-emerging-pathogens-from-animals-to-humans-in-live-animal-markets" TargetMode="External"/><Relationship Id="rId16" Type="http://schemas.openxmlformats.org/officeDocument/2006/relationships/hyperlink" Target="https://www.who.int/ith/2019-nCoV_advice_for_international_traffic-rev/en/" TargetMode="External"/><Relationship Id="rId17" Type="http://schemas.openxmlformats.org/officeDocument/2006/relationships/hyperlink" Target="https://openwho.org/courses/introduction-to-ncov" TargetMode="External"/><Relationship Id="rId18" Type="http://schemas.openxmlformats.org/officeDocument/2006/relationships/hyperlink" Target="https://openwho.org/courses/introduction-to-COVID-19-AR" TargetMode="External"/><Relationship Id="rId19" Type="http://schemas.openxmlformats.org/officeDocument/2006/relationships/hyperlink" Target="https://openwho.org/courses/introduction-au-ncov" TargetMode="External"/><Relationship Id="rId20" Type="http://schemas.openxmlformats.org/officeDocument/2006/relationships/hyperlink" Target="https://openwho.org/courses/introduction-to-ncov-ZH" TargetMode="External"/><Relationship Id="rId21" Type="http://schemas.openxmlformats.org/officeDocument/2006/relationships/hyperlink" Target="https://openwho.org/courses/introduccion-al-ncov" TargetMode="External"/><Relationship Id="rId22" Type="http://schemas.openxmlformats.org/officeDocument/2006/relationships/hyperlink" Target="https://openwho.org/courses/introducao-ao-ncov" TargetMode="External"/><Relationship Id="rId23" Type="http://schemas.openxmlformats.org/officeDocument/2006/relationships/hyperlink" Target="https://openwho.org/courses/introduction-to-COVID-19-RU" TargetMode="External"/><Relationship Id="rId24" Type="http://schemas.openxmlformats.org/officeDocument/2006/relationships/hyperlink" Target="https://openwho.org/courses/severe-acuterespiratory-infection" TargetMode="External"/><Relationship Id="rId25" Type="http://schemas.openxmlformats.org/officeDocument/2006/relationships/hyperlink" Target="https://openwho.org/courses/eprotect-acute-respiratory-infections" TargetMode="External"/><Relationship Id="rId26" Type="http://schemas.openxmlformats.org/officeDocument/2006/relationships/hyperlink" Target="https://openwho.org/courses/COVID-19-IPC-EN" TargetMode="External"/><Relationship Id="rId27" Type="http://schemas.openxmlformats.org/officeDocument/2006/relationships/hyperlink" Target="https://openwho.org/courses/eprotect-infections-respiratoires-aigues" TargetMode="External"/><Relationship Id="rId28" Type="http://schemas.openxmlformats.org/officeDocument/2006/relationships/hyperlink" Target="https://openwho.org/courses/COVID-19-IPC-RU" TargetMode="External"/><Relationship Id="rId29" Type="http://schemas.openxmlformats.org/officeDocument/2006/relationships/hyperlink" Target="https://openwho.org/courses/severe-acute-respiratory-infection" TargetMode="External"/><Relationship Id="rId30" Type="http://schemas.openxmlformats.org/officeDocument/2006/relationships/hyperlink" Target="https://openwho.org/courses/syndrome-respiratoire-aigu-severe" TargetMode="External"/><Relationship Id="rId31" Type="http://schemas.openxmlformats.org/officeDocument/2006/relationships/hyperlink" Target="https://openwho.org/courses/UNCT-COVID19-preparedness-and-response-EN" TargetMode="External"/><Relationship Id="rId32" Type="http://schemas.openxmlformats.org/officeDocument/2006/relationships/hyperlink" Target="https://www.who.int/emergencies/diseases/novel-coronavirus-2019/technical-guidance/early-investigations" TargetMode="External"/><Relationship Id="rId33" Type="http://schemas.openxmlformats.org/officeDocument/2006/relationships/hyperlink" Target="https://www.who.int/publications-detail/the-first-few-x-(ffx)-cases-and-contact-investigation-protocol-for-2019-novel-coronavirus-(2019-ncov)-infection" TargetMode="External"/><Relationship Id="rId34" Type="http://schemas.openxmlformats.org/officeDocument/2006/relationships/hyperlink" Target="https://www.who.int/news-room/q-a-detail/q-a-coronaviruses" TargetMode="External"/><Relationship Id="rId35" Type="http://schemas.openxmlformats.org/officeDocument/2006/relationships/hyperlink" Target="https://www.who.int/emergencies/diseases/novel-coronavirus-2019/advice-for-public" TargetMode="External"/><Relationship Id="rId36" Type="http://schemas.openxmlformats.org/officeDocument/2006/relationships/hyperlink" Target="https://www.who.int/emergencies/diseases/novel-coronavirus-2019/situation-reports/" TargetMode="External"/><Relationship Id="rId37" Type="http://schemas.openxmlformats.org/officeDocument/2006/relationships/hyperlink" Target="https://www.who.int/emergencies/diseases/novel-coronavirus-2019/technical-guidance/laboratory-guidan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2020-03-10T17:00:43Z</dcterms:created>
  <dcterms:modified xsi:type="dcterms:W3CDTF">2020-03-10T17:00:43Z</dcterms:modified>
</cp:coreProperties>
</file>