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60"/>
        <w:spacing w:after="0" w:line="238" w:lineRule="auto"/>
        <w:rPr>
          <w:sz w:val="20"/>
          <w:szCs w:val="20"/>
          <w:color w:val="auto"/>
        </w:rPr>
      </w:pPr>
      <w:r>
        <w:rPr>
          <w:rFonts w:ascii="Arial" w:cs="Arial" w:eastAsia="Arial" w:hAnsi="Arial"/>
          <w:sz w:val="34"/>
          <w:szCs w:val="34"/>
          <w:b w:val="1"/>
          <w:bCs w:val="1"/>
          <w:color w:val="FFFFFF"/>
        </w:rPr>
        <w:t>Situation Report – 47</w:t>
      </w:r>
    </w:p>
    <w:p>
      <w:pPr>
        <w:spacing w:after="0" w:line="234" w:lineRule="exact"/>
        <w:rPr>
          <w:sz w:val="24"/>
          <w:szCs w:val="24"/>
          <w:color w:val="auto"/>
        </w:rPr>
      </w:pPr>
    </w:p>
    <w:p>
      <w:pPr>
        <w:ind w:left="120"/>
        <w:spacing w:after="0"/>
        <w:rPr>
          <w:sz w:val="20"/>
          <w:szCs w:val="20"/>
          <w:color w:val="auto"/>
        </w:rPr>
      </w:pPr>
      <w:r>
        <w:rPr>
          <w:rFonts w:ascii="Arial" w:cs="Arial" w:eastAsia="Arial" w:hAnsi="Arial"/>
          <w:sz w:val="16"/>
          <w:szCs w:val="16"/>
          <w:b w:val="1"/>
          <w:bCs w:val="1"/>
          <w:color w:val="FFFFFF"/>
        </w:rPr>
        <w:t>Data as reported by national authorities by 10AM CET 07 March 2020</w:t>
      </w:r>
    </w:p>
    <w:p>
      <w:pPr>
        <w:spacing w:after="0" w:line="35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98" w:lineRule="exact"/>
        <w:rPr>
          <w:sz w:val="24"/>
          <w:szCs w:val="24"/>
          <w:color w:val="auto"/>
        </w:rPr>
      </w:pPr>
    </w:p>
    <w:p>
      <w:pPr>
        <w:ind w:left="540" w:right="20" w:hanging="356"/>
        <w:spacing w:after="0" w:line="236"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5 new countries/territories/areas (Colombia, Holy See, Peru, Serbia, and Togo) have reported cases of COVID-19 in the past 24 hours.</w:t>
      </w:r>
    </w:p>
    <w:p>
      <w:pPr>
        <w:spacing w:after="0" w:line="361" w:lineRule="exact"/>
        <w:rPr>
          <w:rFonts w:ascii="Arial" w:cs="Arial" w:eastAsia="Arial" w:hAnsi="Arial"/>
          <w:sz w:val="22"/>
          <w:szCs w:val="22"/>
          <w:color w:val="auto"/>
        </w:rPr>
      </w:pPr>
    </w:p>
    <w:p>
      <w:pPr>
        <w:ind w:left="540" w:hanging="356"/>
        <w:spacing w:after="0"/>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global number of reported cases of COVID-19 has surpassed 100,000.</w:t>
      </w:r>
    </w:p>
    <w:p>
      <w:pPr>
        <w:spacing w:after="0" w:line="200" w:lineRule="exact"/>
        <w:rPr>
          <w:rFonts w:ascii="Arial" w:cs="Arial" w:eastAsia="Arial" w:hAnsi="Arial"/>
          <w:sz w:val="22"/>
          <w:szCs w:val="22"/>
          <w:color w:val="auto"/>
        </w:rPr>
      </w:pPr>
    </w:p>
    <w:p>
      <w:pPr>
        <w:spacing w:after="0" w:line="211" w:lineRule="exact"/>
        <w:rPr>
          <w:rFonts w:ascii="Arial" w:cs="Arial" w:eastAsia="Arial" w:hAnsi="Arial"/>
          <w:sz w:val="22"/>
          <w:szCs w:val="22"/>
          <w:color w:val="auto"/>
        </w:rPr>
      </w:pPr>
    </w:p>
    <w:p>
      <w:pPr>
        <w:jc w:val="both"/>
        <w:ind w:left="540" w:hanging="356"/>
        <w:spacing w:after="0" w:line="261"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OpenWHO has reached 161, 000 learners in COVID-19 courses. The introductory course on COVID-19 has been partially or fully translated into 17 national languages. For more information, and to enroll in these free courses, please visit OpenWHO’s </w:t>
      </w:r>
      <w:hyperlink r:id="rId9">
        <w:r>
          <w:rPr>
            <w:rFonts w:ascii="Calibri" w:cs="Calibri" w:eastAsia="Calibri" w:hAnsi="Calibri"/>
            <w:sz w:val="22"/>
            <w:szCs w:val="22"/>
            <w:u w:val="single" w:color="auto"/>
            <w:color w:val="0000FF"/>
          </w:rPr>
          <w:t>COVID-19 channel</w:t>
        </w:r>
        <w:r>
          <w:rPr>
            <w:rFonts w:ascii="Calibri" w:cs="Calibri" w:eastAsia="Calibri" w:hAnsi="Calibri"/>
            <w:sz w:val="22"/>
            <w:szCs w:val="22"/>
            <w:u w:val="single" w:color="auto"/>
            <w:color w:val="auto"/>
          </w:rPr>
          <w:t>.</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30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sz w:val="24"/>
          <w:szCs w:val="24"/>
          <w:color w:val="auto"/>
        </w:rPr>
      </w:pPr>
    </w:p>
    <w:p>
      <w:pPr>
        <w:ind w:left="100"/>
        <w:spacing w:after="0"/>
        <w:rPr>
          <w:sz w:val="20"/>
          <w:szCs w:val="20"/>
          <w:color w:val="auto"/>
        </w:rPr>
      </w:pPr>
      <w:r>
        <w:rPr>
          <w:rFonts w:ascii="Calibri" w:cs="Calibri" w:eastAsia="Calibri" w:hAnsi="Calibri"/>
          <w:sz w:val="23"/>
          <w:szCs w:val="23"/>
          <w:color w:val="FF6600"/>
        </w:rPr>
        <w:t>101 927 confirmed (3735 new)</w:t>
      </w:r>
    </w:p>
    <w:p>
      <w:pPr>
        <w:spacing w:after="0" w:line="29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80 813 confirmed (102 new)</w:t>
      </w:r>
    </w:p>
    <w:p>
      <w:pPr>
        <w:ind w:left="220"/>
        <w:spacing w:after="0"/>
        <w:rPr>
          <w:sz w:val="20"/>
          <w:szCs w:val="20"/>
          <w:color w:val="auto"/>
        </w:rPr>
      </w:pPr>
      <w:r>
        <w:rPr>
          <w:rFonts w:ascii="Calibri" w:cs="Calibri" w:eastAsia="Calibri" w:hAnsi="Calibri"/>
          <w:sz w:val="24"/>
          <w:szCs w:val="24"/>
          <w:color w:val="FF6600"/>
        </w:rPr>
        <w:t>3073 deaths (28 new)</w:t>
      </w:r>
    </w:p>
    <w:p>
      <w:pPr>
        <w:spacing w:after="0" w:line="292"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21 110 confirmed (3633 new)</w:t>
      </w:r>
    </w:p>
    <w:p>
      <w:pPr>
        <w:ind w:left="220"/>
        <w:spacing w:after="0"/>
        <w:rPr>
          <w:sz w:val="20"/>
          <w:szCs w:val="20"/>
          <w:color w:val="auto"/>
        </w:rPr>
      </w:pPr>
      <w:r>
        <w:rPr>
          <w:rFonts w:ascii="Calibri" w:cs="Calibri" w:eastAsia="Calibri" w:hAnsi="Calibri"/>
          <w:sz w:val="24"/>
          <w:szCs w:val="24"/>
          <w:color w:val="FF6600"/>
        </w:rPr>
        <w:t>413 deaths (78 new)</w:t>
      </w:r>
    </w:p>
    <w:p>
      <w:pPr>
        <w:spacing w:after="0" w:line="52" w:lineRule="exact"/>
        <w:rPr>
          <w:sz w:val="24"/>
          <w:szCs w:val="24"/>
          <w:color w:val="auto"/>
        </w:rPr>
      </w:pPr>
    </w:p>
    <w:p>
      <w:pPr>
        <w:ind w:left="320" w:right="380" w:firstLine="4"/>
        <w:spacing w:after="0" w:line="227" w:lineRule="auto"/>
        <w:tabs>
          <w:tab w:leader="none" w:pos="617" w:val="left"/>
        </w:tabs>
        <w:numPr>
          <w:ilvl w:val="0"/>
          <w:numId w:val="2"/>
        </w:numPr>
        <w:rPr>
          <w:rFonts w:ascii="Calibri" w:cs="Calibri" w:eastAsia="Calibri" w:hAnsi="Calibri"/>
          <w:sz w:val="23"/>
          <w:szCs w:val="23"/>
          <w:color w:val="FF6600"/>
        </w:rPr>
      </w:pPr>
      <w:r>
        <w:rPr>
          <w:rFonts w:ascii="Calibri" w:cs="Calibri" w:eastAsia="Calibri" w:hAnsi="Calibri"/>
          <w:sz w:val="23"/>
          <w:szCs w:val="23"/>
          <w:color w:val="FF6600"/>
        </w:rPr>
        <w:t>Countries/territories/ areas (5 new)</w:t>
      </w:r>
    </w:p>
    <w:p>
      <w:pPr>
        <w:spacing w:after="0" w:line="294"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2"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sz w:val="24"/>
          <w:szCs w:val="24"/>
          <w:color w:val="auto"/>
        </w:rPr>
      </w:pPr>
    </w:p>
    <w:p>
      <w:pPr>
        <w:sectPr>
          <w:pgSz w:w="11920" w:h="16841" w:orient="portrait"/>
          <w:cols w:equalWidth="0" w:num="2">
            <w:col w:w="7480" w:space="420"/>
            <w:col w:w="3100"/>
          </w:cols>
          <w:pgMar w:left="500" w:top="596" w:right="411"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ind w:left="3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07 March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224790</wp:posOffset>
            </wp:positionH>
            <wp:positionV relativeFrom="paragraph">
              <wp:posOffset>28575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1000"/>
          </w:cols>
          <w:pgMar w:left="500" w:top="596" w:right="411" w:bottom="144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07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5B9BD5"/>
            </w:tcBorders>
            <w:shd w:val="clear" w:color="auto" w:fill="5B9BD5"/>
          </w:tcPr>
          <w:p>
            <w:pPr>
              <w:spacing w:after="0"/>
              <w:rPr>
                <w:sz w:val="11"/>
                <w:szCs w:val="11"/>
                <w:color w:val="auto"/>
              </w:rPr>
            </w:pPr>
          </w:p>
        </w:tc>
        <w:tc>
          <w:tcPr>
            <w:tcW w:w="102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4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100" w:type="dxa"/>
            <w:vAlign w:val="bottom"/>
            <w:tcBorders>
              <w:left w:val="single" w:sz="8" w:color="auto"/>
            </w:tcBorders>
            <w:shd w:val="clear" w:color="auto" w:fill="5B9BD5"/>
          </w:tcPr>
          <w:p>
            <w:pPr>
              <w:spacing w:after="0"/>
              <w:rPr>
                <w:sz w:val="13"/>
                <w:szCs w:val="13"/>
                <w:color w:val="auto"/>
              </w:rPr>
            </w:pPr>
          </w:p>
        </w:tc>
        <w:tc>
          <w:tcPr>
            <w:tcW w:w="1760" w:type="dxa"/>
            <w:vAlign w:val="bottom"/>
            <w:vMerge w:val="continue"/>
            <w:shd w:val="clear" w:color="auto" w:fill="5B9BD5"/>
          </w:tcPr>
          <w:p>
            <w:pPr>
              <w:spacing w:after="0"/>
              <w:rPr>
                <w:sz w:val="13"/>
                <w:szCs w:val="13"/>
                <w:color w:val="auto"/>
              </w:rPr>
            </w:pP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4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10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02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4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95"/>
        </w:trPr>
        <w:tc>
          <w:tcPr>
            <w:tcW w:w="100" w:type="dxa"/>
            <w:vAlign w:val="bottom"/>
            <w:tcBorders>
              <w:top w:val="single" w:sz="8" w:color="auto"/>
              <w:left w:val="single" w:sz="8" w:color="auto"/>
              <w:bottom w:val="single" w:sz="8" w:color="DDEBF7"/>
            </w:tcBorders>
            <w:shd w:val="clear" w:color="auto" w:fill="DDEBF7"/>
          </w:tcPr>
          <w:p>
            <w:pPr>
              <w:spacing w:after="0"/>
              <w:rPr>
                <w:sz w:val="24"/>
                <w:szCs w:val="24"/>
                <w:color w:val="auto"/>
              </w:rPr>
            </w:pPr>
          </w:p>
        </w:tc>
        <w:tc>
          <w:tcPr>
            <w:tcW w:w="1760" w:type="dxa"/>
            <w:vAlign w:val="bottom"/>
            <w:tcBorders>
              <w:top w:val="single" w:sz="8" w:color="auto"/>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Hubei</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0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74</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0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28</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4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67666</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2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2959</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1352</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1215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990</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758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Chongqing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3102</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576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481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16</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342</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296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245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168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Tianjin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1560</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136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125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107</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Xinjiang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Ningxia</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688</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102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99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28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80813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3073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07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7"/>
                <w:shd w:val="clear" w:color="auto" w:fill="4F81BD"/>
              </w:rPr>
              <w:t>confirmed</w:t>
            </w:r>
            <w:r>
              <w:rPr>
                <w:rFonts w:ascii="Calibri" w:cs="Calibri" w:eastAsia="Calibri" w:hAnsi="Calibri"/>
                <w:sz w:val="27"/>
                <w:szCs w:val="27"/>
                <w:b w:val="1"/>
                <w:bCs w:val="1"/>
                <w:color w:val="FFFFFF"/>
                <w:w w:val="97"/>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vMerge w:val="restart"/>
            <w:shd w:val="clear" w:color="auto" w:fill="4F81BD"/>
          </w:tcPr>
          <w:p>
            <w:pPr>
              <w:spacing w:after="0" w:line="275" w:lineRule="exact"/>
              <w:rPr>
                <w:sz w:val="20"/>
                <w:szCs w:val="20"/>
                <w:color w:val="auto"/>
              </w:rPr>
            </w:pPr>
            <w:r>
              <w:rPr>
                <w:rFonts w:ascii="Calibri" w:cs="Calibri" w:eastAsia="Calibri" w:hAnsi="Calibri"/>
                <w:sz w:val="22"/>
                <w:szCs w:val="22"/>
                <w:b w:val="1"/>
                <w:bCs w:val="1"/>
                <w:color w:val="FFFFFF"/>
              </w:rPr>
              <w:t>Territory/Area</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6767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483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44</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408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83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4636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778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197</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49</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639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105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613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193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9</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374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117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209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123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167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137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128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109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Hungary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Bosnia and</w:t>
            </w: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Herzegovina</w:t>
            </w: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gridSpan w:val="2"/>
            <w:vMerge w:val="continue"/>
          </w:tcPr>
          <w:p>
            <w:pPr>
              <w:spacing w:after="0"/>
              <w:rPr>
                <w:sz w:val="11"/>
                <w:szCs w:val="11"/>
                <w:color w:val="auto"/>
              </w:rPr>
            </w:pP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Andorra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Holy See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50" w:gutter="0" w:footer="0" w:header="0"/>
        </w:sectPr>
      </w:pPr>
    </w:p>
    <w:bookmarkStart w:id="3" w:name="page4"/>
    <w:bookmarkEnd w:id="3"/>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Latvia</w:t>
            </w:r>
          </w:p>
        </w:tc>
        <w:tc>
          <w:tcPr>
            <w:tcW w:w="280" w:type="dxa"/>
            <w:vAlign w:val="bottom"/>
            <w:tcBorders>
              <w:top w:val="single" w:sz="8" w:color="auto"/>
              <w:bottom w:val="single" w:sz="8" w:color="auto"/>
            </w:tcBorders>
          </w:tcPr>
          <w:p>
            <w:pPr>
              <w:spacing w:after="0"/>
              <w:rPr>
                <w:sz w:val="23"/>
                <w:szCs w:val="23"/>
                <w:color w:val="auto"/>
              </w:rPr>
            </w:pPr>
          </w:p>
        </w:tc>
        <w:tc>
          <w:tcPr>
            <w:tcW w:w="980" w:type="dxa"/>
            <w:vAlign w:val="bottom"/>
            <w:tcBorders>
              <w:top w:val="single" w:sz="8" w:color="auto"/>
              <w:bottom w:val="single" w:sz="8" w:color="auto"/>
              <w:right w:val="single" w:sz="8" w:color="auto"/>
            </w:tcBorders>
          </w:tcPr>
          <w:p>
            <w:pPr>
              <w:jc w:val="center"/>
              <w:ind w:right="190"/>
              <w:spacing w:after="0"/>
              <w:rPr>
                <w:sz w:val="20"/>
                <w:szCs w:val="20"/>
                <w:color w:val="auto"/>
              </w:rPr>
            </w:pPr>
            <w:r>
              <w:rPr>
                <w:rFonts w:ascii="Calibri" w:cs="Calibri" w:eastAsia="Calibri" w:hAnsi="Calibri"/>
                <w:sz w:val="22"/>
                <w:szCs w:val="22"/>
                <w:color w:val="auto"/>
              </w:rPr>
              <w:t>1</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Imported cases only</w:t>
            </w:r>
          </w:p>
        </w:tc>
        <w:tc>
          <w:tcPr>
            <w:tcW w:w="13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Liechtenstein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Lithuania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Monaco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Serbia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Slovakia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Ukraine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4"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Gibraltar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3" w:lineRule="exact"/>
              <w:rPr>
                <w:sz w:val="20"/>
                <w:szCs w:val="20"/>
                <w:color w:val="auto"/>
              </w:rPr>
            </w:pPr>
            <w:r>
              <w:rPr>
                <w:rFonts w:ascii="Calibri" w:cs="Calibri" w:eastAsia="Calibri" w:hAnsi="Calibri"/>
                <w:sz w:val="22"/>
                <w:szCs w:val="22"/>
                <w:color w:val="auto"/>
              </w:rPr>
              <w:t>Thailand</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3" w:lineRule="exact"/>
              <w:rPr>
                <w:sz w:val="20"/>
                <w:szCs w:val="20"/>
                <w:color w:val="auto"/>
              </w:rPr>
            </w:pPr>
            <w:r>
              <w:rPr>
                <w:rFonts w:ascii="Calibri" w:cs="Calibri" w:eastAsia="Calibri" w:hAnsi="Calibri"/>
                <w:sz w:val="22"/>
                <w:szCs w:val="22"/>
                <w:color w:val="auto"/>
                <w:w w:val="98"/>
              </w:rPr>
              <w:t>48</w:t>
            </w:r>
          </w:p>
        </w:tc>
        <w:tc>
          <w:tcPr>
            <w:tcW w:w="1260" w:type="dxa"/>
            <w:vAlign w:val="bottom"/>
            <w:tcBorders>
              <w:bottom w:val="single" w:sz="8" w:color="auto"/>
              <w:right w:val="single" w:sz="8" w:color="auto"/>
            </w:tcBorders>
          </w:tcPr>
          <w:p>
            <w:pPr>
              <w:jc w:val="center"/>
              <w:spacing w:after="0" w:line="253"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3"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3"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3"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31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Indonesia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Bhutan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Nepal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Sri Lanka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Iran (Islamic</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8"/>
              </w:rPr>
              <w:t>4747</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1234</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124</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17</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Kuwait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Bahrain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Arab</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45</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18</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Emirates</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Iraq</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8</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Lebanon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22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Oman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Qatar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Saudi Arabia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Pakistan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8"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Morocco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Afghanistan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Jordan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Tunisia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tcPr>
          <w:p>
            <w:pPr>
              <w:spacing w:after="0"/>
              <w:rPr>
                <w:sz w:val="21"/>
                <w:szCs w:val="21"/>
                <w:color w:val="auto"/>
              </w:rPr>
            </w:pPr>
          </w:p>
        </w:tc>
        <w:tc>
          <w:tcPr>
            <w:tcW w:w="1960" w:type="dxa"/>
            <w:vAlign w:val="bottom"/>
            <w:tcBorders>
              <w:right w:val="single" w:sz="8" w:color="auto"/>
            </w:tcBorders>
          </w:tcPr>
          <w:p>
            <w:pPr>
              <w:spacing w:after="0" w:line="252" w:lineRule="exact"/>
              <w:rPr>
                <w:sz w:val="20"/>
                <w:szCs w:val="20"/>
                <w:color w:val="auto"/>
              </w:rPr>
            </w:pPr>
            <w:r>
              <w:rPr>
                <w:rFonts w:ascii="Calibri" w:cs="Calibri" w:eastAsia="Calibri" w:hAnsi="Calibri"/>
                <w:sz w:val="22"/>
                <w:szCs w:val="22"/>
                <w:color w:val="auto"/>
              </w:rPr>
              <w:t>Occupied</w:t>
            </w:r>
          </w:p>
        </w:tc>
        <w:tc>
          <w:tcPr>
            <w:tcW w:w="280" w:type="dxa"/>
            <w:vAlign w:val="bottom"/>
          </w:tcPr>
          <w:p>
            <w:pPr>
              <w:spacing w:after="0"/>
              <w:rPr>
                <w:sz w:val="21"/>
                <w:szCs w:val="21"/>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16</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9</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Palestinian Territory</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States of</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5"/>
              </w:rPr>
              <w:t>213</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65</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11</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America</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Ecuador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Chile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Mexico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Argentina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Colombia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Dominican Republic</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Peru</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4"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Saint Martin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Saint Barthelemy</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880" w:right="911" w:bottom="640"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Algeria</w:t>
            </w:r>
          </w:p>
        </w:tc>
        <w:tc>
          <w:tcPr>
            <w:tcW w:w="114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17</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96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9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2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440" w:type="dxa"/>
            <w:vAlign w:val="bottom"/>
            <w:tcBorders>
              <w:top w:val="single" w:sz="8" w:color="auto"/>
              <w:bottom w:val="single" w:sz="8" w:color="auto"/>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Senegal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2</w:t>
            </w: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Cameroon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8</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South Africa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Togo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20418</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3633</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407</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78</w:t>
            </w:r>
          </w:p>
        </w:tc>
        <w:tc>
          <w:tcPr>
            <w:tcW w:w="140" w:type="dxa"/>
            <w:vAlign w:val="bottom"/>
            <w:tcBorders>
              <w:right w:val="single" w:sz="8" w:color="auto"/>
            </w:tcBorders>
            <w:shd w:val="clear" w:color="auto" w:fill="4F81BD"/>
          </w:tcPr>
          <w:p>
            <w:pPr>
              <w:spacing w:after="0"/>
              <w:rPr>
                <w:sz w:val="22"/>
                <w:szCs w:val="22"/>
                <w:color w:val="auto"/>
              </w:rPr>
            </w:pPr>
          </w:p>
        </w:tc>
        <w:tc>
          <w:tcPr>
            <w:tcW w:w="2060" w:type="dxa"/>
            <w:vAlign w:val="bottom"/>
            <w:tcBorders>
              <w:right w:val="single" w:sz="8" w:color="auto"/>
            </w:tcBorders>
            <w:shd w:val="clear" w:color="auto" w:fill="4F81BD"/>
          </w:tcPr>
          <w:p>
            <w:pPr>
              <w:spacing w:after="0"/>
              <w:rPr>
                <w:sz w:val="22"/>
                <w:szCs w:val="22"/>
                <w:color w:val="auto"/>
              </w:rPr>
            </w:pPr>
          </w:p>
        </w:tc>
        <w:tc>
          <w:tcPr>
            <w:tcW w:w="144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2060" w:type="dxa"/>
            <w:vAlign w:val="bottom"/>
            <w:tcBorders>
              <w:right w:val="single" w:sz="8" w:color="auto"/>
            </w:tcBorders>
            <w:shd w:val="clear" w:color="auto" w:fill="4F81BD"/>
          </w:tcPr>
          <w:p>
            <w:pPr>
              <w:spacing w:after="0"/>
              <w:rPr>
                <w:sz w:val="11"/>
                <w:szCs w:val="11"/>
                <w:color w:val="auto"/>
              </w:rPr>
            </w:pPr>
          </w:p>
        </w:tc>
        <w:tc>
          <w:tcPr>
            <w:tcW w:w="144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2060" w:type="dxa"/>
            <w:vAlign w:val="bottom"/>
            <w:tcBorders>
              <w:bottom w:val="single" w:sz="8" w:color="auto"/>
              <w:right w:val="single" w:sz="8" w:color="auto"/>
            </w:tcBorders>
            <w:shd w:val="clear" w:color="auto" w:fill="4F81BD"/>
          </w:tcPr>
          <w:p>
            <w:pPr>
              <w:spacing w:after="0"/>
              <w:rPr>
                <w:sz w:val="11"/>
                <w:szCs w:val="11"/>
                <w:color w:val="auto"/>
              </w:rPr>
            </w:pPr>
          </w:p>
        </w:tc>
        <w:tc>
          <w:tcPr>
            <w:tcW w:w="144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206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auto"/>
            </w:tcBorders>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w w:val="95"/>
              </w:rPr>
              <w:t>696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6</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Clusters of cases</w:t>
            </w:r>
          </w:p>
        </w:tc>
        <w:tc>
          <w:tcPr>
            <w:tcW w:w="1440" w:type="dxa"/>
            <w:vAlign w:val="bottom"/>
            <w:tcBorders>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(Diamond Princess)</w:t>
            </w: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144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21114</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3633</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413</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78</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2060" w:type="dxa"/>
            <w:vAlign w:val="bottom"/>
            <w:tcBorders>
              <w:bottom w:val="single" w:sz="8" w:color="auto"/>
              <w:right w:val="single" w:sz="8" w:color="auto"/>
            </w:tcBorders>
            <w:shd w:val="clear" w:color="auto" w:fill="4F81BD"/>
          </w:tcPr>
          <w:p>
            <w:pPr>
              <w:spacing w:after="0"/>
              <w:rPr>
                <w:sz w:val="22"/>
                <w:szCs w:val="22"/>
                <w:color w:val="auto"/>
              </w:rPr>
            </w:pPr>
          </w:p>
        </w:tc>
        <w:tc>
          <w:tcPr>
            <w:tcW w:w="144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09" w:lineRule="auto"/>
        <w:rPr>
          <w:sz w:val="20"/>
          <w:szCs w:val="20"/>
          <w:color w:val="auto"/>
        </w:rPr>
      </w:pPr>
      <w:r>
        <w:rPr>
          <w:rFonts w:ascii="Arial" w:cs="Arial" w:eastAsia="Arial" w:hAnsi="Arial"/>
          <w:sz w:val="27"/>
          <w:szCs w:val="27"/>
          <w:color w:val="auto"/>
          <w:vertAlign w:val="superscript"/>
        </w:rPr>
        <w:t>*</w:t>
      </w:r>
      <w:r>
        <w:rPr>
          <w:rFonts w:ascii="Calibri" w:cs="Calibri" w:eastAsia="Calibri" w:hAnsi="Calibri"/>
          <w:sz w:val="18"/>
          <w:szCs w:val="18"/>
          <w:color w:val="auto"/>
        </w:rPr>
        <w:t>Numbers include both domestic and repatriated cases</w:t>
      </w:r>
    </w:p>
    <w:p>
      <w:pPr>
        <w:ind w:right="60"/>
        <w:spacing w:after="0" w:line="205" w:lineRule="auto"/>
        <w:rPr>
          <w:rFonts w:ascii="Calibri" w:cs="Calibri" w:eastAsia="Calibri" w:hAnsi="Calibri"/>
          <w:sz w:val="18"/>
          <w:szCs w:val="18"/>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 xml:space="preserve">The designations employed and the presentation of the material in this publication do not imply the expression of any opinion whatsoever on the part of WHO concerning the legal status of any country, territory, city or area or of its authorities, or concerning the delimitation of its frontiers or boundaries. Dotted and dashed lines on maps represent approximate border lines for which there may not yet be full agreement. </w:t>
      </w: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4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2"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41"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ind w:right="2840"/>
        <w:spacing w:after="0" w:line="217" w:lineRule="auto"/>
        <w:tabs>
          <w:tab w:leader="none" w:pos="218" w:val="left"/>
        </w:tabs>
        <w:numPr>
          <w:ilvl w:val="0"/>
          <w:numId w:val="4"/>
        </w:numPr>
        <w:rPr>
          <w:rFonts w:ascii="Calibri" w:cs="Calibri" w:eastAsia="Calibri" w:hAnsi="Calibri"/>
          <w:sz w:val="18"/>
          <w:szCs w:val="18"/>
          <w:color w:val="auto"/>
        </w:rPr>
      </w:pPr>
      <w:r>
        <w:rPr>
          <w:rFonts w:ascii="Calibri" w:cs="Calibri" w:eastAsia="Calibri" w:hAnsi="Calibri"/>
          <w:sz w:val="18"/>
          <w:szCs w:val="18"/>
          <w:color w:val="auto"/>
        </w:rPr>
        <w:t>“Territories” include territories, areas, overseas dependencies and other jurisdictions of similar status Erratum: The transmission classification for Brazil has been corrected.</w:t>
      </w:r>
    </w:p>
    <w:p>
      <w:pPr>
        <w:sectPr>
          <w:pgSz w:w="11920" w:h="16841" w:orient="portrait"/>
          <w:cols w:equalWidth="0" w:num="1">
            <w:col w:w="10480"/>
          </w:cols>
          <w:pgMar w:left="720" w:top="880" w:right="711" w:bottom="1440" w:gutter="0" w:footer="0" w:header="0"/>
          <w:type w:val="continuous"/>
        </w:sectPr>
      </w:pPr>
    </w:p>
    <w:bookmarkStart w:id="5" w:name="page6"/>
    <w:bookmarkEnd w:id="5"/>
    <w:p>
      <w:pPr>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(n=21,110), by date of report and WHO region through 07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4445</wp:posOffset>
            </wp:positionV>
            <wp:extent cx="6661150" cy="79248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661150" cy="792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280" w:hanging="351"/>
        <w:spacing w:after="0" w:line="225"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480" w:hanging="351"/>
        <w:spacing w:after="0" w:line="218"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0"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ectPr>
          <w:pgSz w:w="11920" w:h="16841" w:orient="portrait"/>
          <w:cols w:equalWidth="0" w:num="1">
            <w:col w:w="10400"/>
          </w:cols>
          <w:pgMar w:left="720" w:top="943" w:right="791" w:bottom="1440" w:gutter="0" w:footer="0" w:header="0"/>
        </w:sectPr>
      </w:pPr>
    </w:p>
    <w:bookmarkStart w:id="6" w:name="page7"/>
    <w:bookmarkEnd w:id="6"/>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2" w:lineRule="exact"/>
        <w:rPr>
          <w:sz w:val="20"/>
          <w:szCs w:val="20"/>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3">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hanging="360"/>
        <w:spacing w:after="0" w:line="26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developed interim guidance for laboratory diagnosis, advice on the use of masks during home care and in health care settings in the context of the novel coronavirus (2019-nCoV) outbreak, clinical management, infection prevention and control in health care settings, home care for patients with suspected novel coronavirus</w:t>
      </w:r>
      <w:r>
        <w:rPr>
          <w:rFonts w:ascii="Calibri" w:cs="Calibri" w:eastAsia="Calibri" w:hAnsi="Calibri"/>
          <w:sz w:val="22"/>
          <w:szCs w:val="22"/>
          <w:u w:val="single" w:color="auto"/>
          <w:color w:val="0000FF"/>
        </w:rPr>
        <w:t>,</w:t>
      </w:r>
      <w:r>
        <w:rPr>
          <w:rFonts w:ascii="Calibri" w:cs="Calibri" w:eastAsia="Calibri" w:hAnsi="Calibri"/>
          <w:sz w:val="22"/>
          <w:szCs w:val="22"/>
          <w:color w:val="auto"/>
        </w:rPr>
        <w:t xml:space="preserve"> risk communication and community engagement and Global Surveillance for human infection with novel coronavirus (2019-nCoV).</w:t>
      </w:r>
    </w:p>
    <w:p>
      <w:pPr>
        <w:spacing w:after="0" w:line="62" w:lineRule="exact"/>
        <w:rPr>
          <w:rFonts w:ascii="Arial" w:cs="Arial" w:eastAsia="Arial" w:hAnsi="Arial"/>
          <w:sz w:val="22"/>
          <w:szCs w:val="22"/>
          <w:color w:val="auto"/>
        </w:rPr>
      </w:pPr>
    </w:p>
    <w:p>
      <w:pPr>
        <w:jc w:val="both"/>
        <w:ind w:left="360" w:right="820" w:hanging="360"/>
        <w:spacing w:after="0" w:line="253"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28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5"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1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980" w:hanging="360"/>
        <w:spacing w:after="0" w:line="235"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9" w:lineRule="exact"/>
        <w:rPr>
          <w:rFonts w:ascii="Arial" w:cs="Arial" w:eastAsia="Arial" w:hAnsi="Arial"/>
          <w:sz w:val="22"/>
          <w:szCs w:val="22"/>
          <w:color w:val="auto"/>
        </w:rPr>
      </w:pPr>
    </w:p>
    <w:p>
      <w:pPr>
        <w:ind w:left="360" w:right="200" w:hanging="360"/>
        <w:spacing w:after="0" w:line="269"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OpenWHO is an interactive, web-based, knowledge-transfer platform offering online courses to improve the response to health emergencies. </w:t>
      </w:r>
      <w:hyperlink r:id="rId9">
        <w:r>
          <w:rPr>
            <w:rFonts w:ascii="Calibri" w:cs="Calibri" w:eastAsia="Calibri" w:hAnsi="Calibri"/>
            <w:sz w:val="22"/>
            <w:szCs w:val="22"/>
            <w:u w:val="single" w:color="auto"/>
            <w:color w:val="0000FF"/>
          </w:rPr>
          <w:t>COVID-19 courses can be found 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Specifically, WHO has developed online courses on the following topics: A general introduction to emerging respiratory viruses, including novel coronaviruses (available in Arabic, English, French, Chinese, Spanish, Portuguese, and Russian); Critical Care of Severe Acute Respiratory Infections (available in English and French); Health and safety briefing for respiratory diseases - ePROTECT (available in English, French, and Russian); Infection Prevention and Control for Novel Coronavirus (COVID-19) (available in English and Russian); and COVID-19 Operational Planning Guidelines and COVID-19 Partners Platform to support country preparedness and response.</w:t>
      </w:r>
    </w:p>
    <w:p>
      <w:pPr>
        <w:spacing w:after="0" w:line="62" w:lineRule="exact"/>
        <w:rPr>
          <w:rFonts w:ascii="Calibri" w:cs="Calibri" w:eastAsia="Calibri" w:hAnsi="Calibri"/>
          <w:sz w:val="22"/>
          <w:szCs w:val="22"/>
          <w:color w:val="auto"/>
        </w:rPr>
      </w:pPr>
    </w:p>
    <w:p>
      <w:pPr>
        <w:ind w:left="360" w:right="40" w:hanging="360"/>
        <w:spacing w:after="0" w:line="271"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w:t>
      </w:r>
      <w:hyperlink r:id="rId18">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One such protocol is for the investigation of early COVID-19 cases and contacts (the “</w:t>
      </w:r>
      <w:hyperlink r:id="rId19">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-7298690</wp:posOffset>
                </wp:positionV>
                <wp:extent cx="3175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 o:spid="_x0000_s1030" style="position:absolute;margin-left:202.95pt;margin-top:-574.6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1400810</wp:posOffset>
                </wp:positionH>
                <wp:positionV relativeFrom="paragraph">
                  <wp:posOffset>-2395220</wp:posOffset>
                </wp:positionV>
                <wp:extent cx="3048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6" o:spid="_x0000_s1031" style="position:absolute;margin-left:110.3pt;margin-top:-188.5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pacing w:after="0" w:line="200" w:lineRule="exact"/>
        <w:rPr>
          <w:rFonts w:ascii="Calibri" w:cs="Calibri" w:eastAsia="Calibri" w:hAnsi="Calibri"/>
          <w:sz w:val="22"/>
          <w:szCs w:val="22"/>
          <w:color w:val="auto"/>
        </w:rPr>
      </w:pPr>
    </w:p>
    <w:p>
      <w:pPr>
        <w:spacing w:after="0" w:line="300"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36" w:lineRule="exact"/>
        <w:rPr>
          <w:rFonts w:ascii="Calibri" w:cs="Calibri" w:eastAsia="Calibri" w:hAnsi="Calibri"/>
          <w:sz w:val="22"/>
          <w:szCs w:val="22"/>
          <w:color w:val="auto"/>
        </w:rPr>
      </w:pPr>
    </w:p>
    <w:p>
      <w:pPr>
        <w:ind w:right="40"/>
        <w:spacing w:after="0" w:line="261"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20">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Seek guidance from WHO, your</w:t>
      </w:r>
    </w:p>
    <w:p>
      <w:pPr>
        <w:sectPr>
          <w:pgSz w:w="11920" w:h="16841" w:orient="portrait"/>
          <w:cols w:equalWidth="0" w:num="1">
            <w:col w:w="10440"/>
          </w:cols>
          <w:pgMar w:left="720" w:top="899" w:right="751" w:bottom="518" w:gutter="0" w:footer="0" w:header="0"/>
        </w:sectPr>
      </w:pPr>
    </w:p>
    <w:bookmarkStart w:id="7" w:name="page8"/>
    <w:bookmarkEnd w:id="7"/>
    <w:p>
      <w:pPr>
        <w:ind w:right="260"/>
        <w:spacing w:after="0" w:line="253" w:lineRule="auto"/>
        <w:rPr>
          <w:rFonts w:ascii="Calibri" w:cs="Calibri" w:eastAsia="Calibri" w:hAnsi="Calibri"/>
          <w:sz w:val="22"/>
          <w:szCs w:val="22"/>
          <w:color w:val="auto"/>
        </w:rPr>
      </w:pPr>
      <w:r>
        <w:rPr>
          <w:rFonts w:ascii="Calibri" w:cs="Calibri" w:eastAsia="Calibri" w:hAnsi="Calibri"/>
          <w:sz w:val="22"/>
          <w:szCs w:val="22"/>
          <w:color w:val="auto"/>
        </w:rPr>
        <w:t xml:space="preserve">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21">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87"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21">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4"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1">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88" w:lineRule="exact"/>
        <w:rPr>
          <w:sz w:val="20"/>
          <w:szCs w:val="20"/>
          <w:color w:val="auto"/>
        </w:rPr>
      </w:pPr>
    </w:p>
    <w:p>
      <w:pPr>
        <w:ind w:left="720" w:right="280" w:hanging="360"/>
        <w:spacing w:after="0" w:line="236"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 patient with acute respiratory illness (fever and at least one sign/symptom of respiratory disease (e.g., cough, shortness of breath), AND with no other etiology that fully explains the clinical presentation AND a</w:t>
      </w:r>
    </w:p>
    <w:p>
      <w:pPr>
        <w:spacing w:after="0" w:line="91" w:lineRule="exact"/>
        <w:rPr>
          <w:sz w:val="20"/>
          <w:szCs w:val="20"/>
          <w:color w:val="auto"/>
        </w:rPr>
      </w:pPr>
    </w:p>
    <w:p>
      <w:pPr>
        <w:ind w:left="720" w:right="480"/>
        <w:spacing w:after="0" w:line="235" w:lineRule="auto"/>
        <w:rPr>
          <w:rFonts w:ascii="Calibri" w:cs="Calibri" w:eastAsia="Calibri" w:hAnsi="Calibri"/>
          <w:sz w:val="22"/>
          <w:szCs w:val="22"/>
          <w:color w:val="0000FF"/>
        </w:rPr>
      </w:pPr>
      <w:r>
        <w:rPr>
          <w:rFonts w:ascii="Calibri" w:cs="Calibri" w:eastAsia="Calibri" w:hAnsi="Calibri"/>
          <w:sz w:val="22"/>
          <w:szCs w:val="22"/>
          <w:color w:val="auto"/>
        </w:rPr>
        <w:t xml:space="preserve">history of travel to or residence in a country/area or territory reporting local transmission (See </w:t>
      </w:r>
      <w:hyperlink r:id="rId22">
        <w:r>
          <w:rPr>
            <w:rFonts w:ascii="Calibri" w:cs="Calibri" w:eastAsia="Calibri" w:hAnsi="Calibri"/>
            <w:sz w:val="22"/>
            <w:szCs w:val="22"/>
            <w:u w:val="single" w:color="auto"/>
            <w:color w:val="0000FF"/>
          </w:rPr>
          <w:t>situation</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42"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20" w:hanging="360"/>
        <w:spacing w:after="0" w:line="235" w:lineRule="auto"/>
        <w:tabs>
          <w:tab w:leader="none" w:pos="72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A patient with any acute respiratory illness AND having been in contact with a confirmed or probable COVID-19 case (see definition of contact) in the last 14 days prior to onset of symptoms;</w:t>
      </w:r>
    </w:p>
    <w:p>
      <w:pPr>
        <w:spacing w:after="0" w:line="42"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40" w:hanging="360"/>
        <w:spacing w:after="0" w:line="253" w:lineRule="auto"/>
        <w:tabs>
          <w:tab w:leader="none" w:pos="720"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A patient with severe acute respiratory infection (fever and at least one sign/symptom of respiratory disease (e.g., cough, shortness breath) AND requiring hospitalization AND with no other etiology that fully explains the clinical presentation.</w:t>
      </w:r>
    </w:p>
    <w:p>
      <w:pPr>
        <w:spacing w:after="0" w:line="336"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41" w:lineRule="exact"/>
        <w:rPr>
          <w:sz w:val="20"/>
          <w:szCs w:val="20"/>
          <w:color w:val="auto"/>
        </w:rPr>
      </w:pPr>
    </w:p>
    <w:p>
      <w:pPr>
        <w:ind w:left="1080" w:hanging="360"/>
        <w:spacing w:after="0"/>
        <w:tabs>
          <w:tab w:leader="none" w:pos="1080" w:val="left"/>
        </w:tabs>
        <w:numPr>
          <w:ilvl w:val="0"/>
          <w:numId w:val="10"/>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1" w:lineRule="exact"/>
        <w:rPr>
          <w:sz w:val="20"/>
          <w:szCs w:val="20"/>
          <w:color w:val="auto"/>
        </w:rPr>
      </w:pPr>
    </w:p>
    <w:p>
      <w:pPr>
        <w:ind w:left="1080" w:hanging="360"/>
        <w:spacing w:after="0"/>
        <w:tabs>
          <w:tab w:leader="none" w:pos="108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Information regarding laboratory guidance can be found </w:t>
      </w:r>
      <w:hyperlink r:id="rId23">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sectPr>
      <w:pgSz w:w="11920" w:h="16841" w:orient="portrait"/>
      <w:cols w:equalWidth="0" w:num="1">
        <w:col w:w="10460"/>
      </w:cols>
      <w:pgMar w:left="72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1"/>
      <w:numFmt w:val="decimal"/>
      <w:start w:val="93"/>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1."/>
      <w:numFmt w:val="upperLetter"/>
      <w:start w:val="1"/>
    </w:lvl>
  </w:abstractNum>
  <w:abstractNum w:abstractNumId="7">
    <w:nsid w:val="12200854"/>
    <w:multiLevelType w:val="hybridMultilevel"/>
    <w:lvl w:ilvl="0">
      <w:lvlJc w:val="left"/>
      <w:lvlText w:val="%1."/>
      <w:numFmt w:val="upperLetter"/>
      <w:start w:val="2"/>
    </w:lvl>
  </w:abstractNum>
  <w:abstractNum w:abstractNumId="8">
    <w:nsid w:val="4DB127F8"/>
    <w:multiLevelType w:val="hybridMultilevel"/>
    <w:lvl w:ilvl="0">
      <w:lvlJc w:val="left"/>
      <w:lvlText w:val="%1."/>
      <w:numFmt w:val="upperLetter"/>
      <w:start w:val="3"/>
    </w:lvl>
  </w:abstractNum>
  <w:abstractNum w:abstractNumId="9">
    <w:nsid w:val="216231B"/>
    <w:multiLevelType w:val="hybridMultilevel"/>
    <w:lvl w:ilvl="0">
      <w:lvlJc w:val="left"/>
      <w:lvlText w:val="•"/>
      <w:numFmt w:val="bullet"/>
      <w:start w:val="1"/>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png"/><Relationship Id="rId9" Type="http://schemas.openxmlformats.org/officeDocument/2006/relationships/hyperlink" Target="https://openwho.org/channels/covid-19" TargetMode="External"/><Relationship Id="rId11"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emergencies/diseases/novel-coronavirus-2019/technical-guidance" TargetMode="External"/><Relationship Id="rId14" Type="http://schemas.openxmlformats.org/officeDocument/2006/relationships/hyperlink" Target="https://www.iata.org/en/programs/safety/health/diseases/#tab-2" TargetMode="External"/><Relationship Id="rId15" Type="http://schemas.openxmlformats.org/officeDocument/2006/relationships/hyperlink" Target="https://www.who.int/publications-detail/disease-commodity-package---novel-coronavirus-(ncov)" TargetMode="External"/><Relationship Id="rId16" Type="http://schemas.openxmlformats.org/officeDocument/2006/relationships/hyperlink" Target="https://www.who.int/health-topics/coronavirus/who-recommendations-to-reduce-risk-of-transmission-of-emerging-pathogens-from-animals-to-humans-in-live-animal-markets" TargetMode="External"/><Relationship Id="rId17" Type="http://schemas.openxmlformats.org/officeDocument/2006/relationships/hyperlink" Target="https://www.who.int/ith/2019-nCoV_advice_for_international_traffic-rev/en/" TargetMode="External"/><Relationship Id="rId18" Type="http://schemas.openxmlformats.org/officeDocument/2006/relationships/hyperlink" Target="https://www.who.int/emergencies/diseases/novel-coronavirus-2019/technical-guidance/early-investigations" TargetMode="External"/><Relationship Id="rId19"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news-room/q-a-detail/q-a-coronaviruses" TargetMode="External"/><Relationship Id="rId21" Type="http://schemas.openxmlformats.org/officeDocument/2006/relationships/hyperlink" Target="https://www.who.int/emergencies/diseases/novel-coronavirus-2019/advice-for-public" TargetMode="External"/><Relationship Id="rId22" Type="http://schemas.openxmlformats.org/officeDocument/2006/relationships/hyperlink" Target="https://www.who.int/emergencies/diseases/novel-coronavirus-2019/situation-reports/" TargetMode="External"/><Relationship Id="rId23" Type="http://schemas.openxmlformats.org/officeDocument/2006/relationships/hyperlink" Target="https://www.who.int/emergencies/diseases/novel-coronavirus-2019/technical-guidance/laboratory-guida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2020-03-10T17:00:33Z</dcterms:created>
  <dcterms:modified xsi:type="dcterms:W3CDTF">2020-03-10T17:00:33Z</dcterms:modified>
</cp:coreProperties>
</file>