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865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86510"/>
                    </a:xfrm>
                    <a:prstGeom prst="rect">
                      <a:avLst/>
                    </a:prstGeom>
                    <a:noFill/>
                  </pic:spPr>
                </pic:pic>
              </a:graphicData>
            </a:graphic>
          </wp:anchor>
        </w:drawing>
        <w:t>Coronavirus disease 2019 (COVID-19)</w:t>
      </w:r>
    </w:p>
    <w:p>
      <w:pPr>
        <w:ind w:left="40"/>
        <w:spacing w:after="0" w:line="238" w:lineRule="auto"/>
        <w:rPr>
          <w:sz w:val="20"/>
          <w:szCs w:val="20"/>
          <w:color w:val="auto"/>
        </w:rPr>
      </w:pPr>
      <w:r>
        <w:rPr>
          <w:rFonts w:ascii="Arial" w:cs="Arial" w:eastAsia="Arial" w:hAnsi="Arial"/>
          <w:sz w:val="34"/>
          <w:szCs w:val="34"/>
          <w:b w:val="1"/>
          <w:bCs w:val="1"/>
          <w:color w:val="FFFFFF"/>
        </w:rPr>
        <w:t>Situation Report – 49</w:t>
      </w:r>
    </w:p>
    <w:p>
      <w:pPr>
        <w:spacing w:after="0" w:line="234" w:lineRule="exact"/>
        <w:rPr>
          <w:sz w:val="24"/>
          <w:szCs w:val="24"/>
          <w:color w:val="auto"/>
        </w:rPr>
      </w:pPr>
    </w:p>
    <w:p>
      <w:pPr>
        <w:ind w:left="100"/>
        <w:spacing w:after="0"/>
        <w:rPr>
          <w:sz w:val="20"/>
          <w:szCs w:val="20"/>
          <w:color w:val="auto"/>
        </w:rPr>
      </w:pPr>
      <w:r>
        <w:rPr>
          <w:rFonts w:ascii="Arial" w:cs="Arial" w:eastAsia="Arial" w:hAnsi="Arial"/>
          <w:sz w:val="16"/>
          <w:szCs w:val="16"/>
          <w:b w:val="1"/>
          <w:bCs w:val="1"/>
          <w:color w:val="FFFFFF"/>
        </w:rPr>
        <w:t>Data as reported by national authorities by 10 AM CET 09 March 2020</w:t>
      </w:r>
    </w:p>
    <w:p>
      <w:pPr>
        <w:spacing w:after="0" w:line="352"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00" w:lineRule="exact"/>
        <w:rPr>
          <w:sz w:val="24"/>
          <w:szCs w:val="24"/>
          <w:color w:val="auto"/>
        </w:rPr>
      </w:pPr>
    </w:p>
    <w:p>
      <w:pPr>
        <w:ind w:left="540" w:hanging="369"/>
        <w:spacing w:after="0" w:line="235"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3 new countries/territories/areas (Bangladesh, Albania and Paraguay) have reported cases of COVID-19 in the past 24 hours.</w:t>
      </w:r>
    </w:p>
    <w:p>
      <w:pPr>
        <w:spacing w:after="0" w:line="200" w:lineRule="exact"/>
        <w:rPr>
          <w:rFonts w:ascii="Arial" w:cs="Arial" w:eastAsia="Arial" w:hAnsi="Arial"/>
          <w:sz w:val="22"/>
          <w:szCs w:val="22"/>
          <w:color w:val="auto"/>
        </w:rPr>
      </w:pPr>
    </w:p>
    <w:p>
      <w:pPr>
        <w:spacing w:after="0" w:line="212" w:lineRule="exact"/>
        <w:rPr>
          <w:rFonts w:ascii="Arial" w:cs="Arial" w:eastAsia="Arial" w:hAnsi="Arial"/>
          <w:sz w:val="22"/>
          <w:szCs w:val="22"/>
          <w:color w:val="auto"/>
        </w:rPr>
      </w:pPr>
    </w:p>
    <w:p>
      <w:pPr>
        <w:ind w:left="540" w:hanging="369"/>
        <w:spacing w:after="0" w:line="235" w:lineRule="auto"/>
        <w:tabs>
          <w:tab w:leader="none" w:pos="54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continues to support Samoa and Tokelau with preparations for COVID-19. More information can be found </w:t>
      </w:r>
      <w:hyperlink r:id="rId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246" w:lineRule="exact"/>
        <w:rPr>
          <w:rFonts w:ascii="Calibri" w:cs="Calibri" w:eastAsia="Calibri" w:hAnsi="Calibri"/>
          <w:sz w:val="22"/>
          <w:szCs w:val="22"/>
          <w:color w:val="auto"/>
        </w:rPr>
      </w:pPr>
    </w:p>
    <w:p>
      <w:pPr>
        <w:jc w:val="both"/>
        <w:ind w:left="540" w:hanging="369"/>
        <w:spacing w:after="0" w:line="264"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WHO Operations Supply and Logistics (OSL) continues to support COVID-19 emergency operations where global demand for critical items continues to outpace global supply availability. Since the beginning of the outbreak, OSL have shipped more than 584,000 surgical masks, 47,000 N95 masks, 620,000 gloves, 72,000 gowns and 11,000 goggles to 57 countries.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ind w:left="60"/>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-55245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4.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left="60" w:right="30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sz w:val="24"/>
          <w:szCs w:val="24"/>
          <w:color w:val="auto"/>
        </w:rPr>
      </w:pPr>
    </w:p>
    <w:p>
      <w:pPr>
        <w:ind w:left="160"/>
        <w:spacing w:after="0"/>
        <w:rPr>
          <w:sz w:val="20"/>
          <w:szCs w:val="20"/>
          <w:color w:val="auto"/>
        </w:rPr>
      </w:pPr>
      <w:r>
        <w:rPr>
          <w:rFonts w:ascii="Calibri" w:cs="Calibri" w:eastAsia="Calibri" w:hAnsi="Calibri"/>
          <w:sz w:val="24"/>
          <w:szCs w:val="24"/>
          <w:b w:val="1"/>
          <w:bCs w:val="1"/>
          <w:color w:val="FF6600"/>
        </w:rPr>
        <w:t>Globally</w:t>
      </w:r>
    </w:p>
    <w:p>
      <w:pPr>
        <w:spacing w:after="0" w:line="12" w:lineRule="exact"/>
        <w:rPr>
          <w:sz w:val="24"/>
          <w:szCs w:val="24"/>
          <w:color w:val="auto"/>
        </w:rPr>
      </w:pPr>
    </w:p>
    <w:p>
      <w:pPr>
        <w:ind w:left="160"/>
        <w:spacing w:after="0"/>
        <w:rPr>
          <w:sz w:val="20"/>
          <w:szCs w:val="20"/>
          <w:color w:val="auto"/>
        </w:rPr>
      </w:pPr>
      <w:r>
        <w:rPr>
          <w:rFonts w:ascii="Calibri" w:cs="Calibri" w:eastAsia="Calibri" w:hAnsi="Calibri"/>
          <w:sz w:val="23"/>
          <w:szCs w:val="23"/>
          <w:color w:val="FF6600"/>
        </w:rPr>
        <w:t>109 577 confirmed (3993 new)</w:t>
      </w:r>
    </w:p>
    <w:p>
      <w:pPr>
        <w:spacing w:after="0" w:line="2" w:lineRule="exact"/>
        <w:rPr>
          <w:sz w:val="24"/>
          <w:szCs w:val="24"/>
          <w:color w:val="auto"/>
        </w:rPr>
      </w:pPr>
    </w:p>
    <w:p>
      <w:pPr>
        <w:ind w:left="500"/>
        <w:spacing w:after="0"/>
        <w:rPr>
          <w:sz w:val="20"/>
          <w:szCs w:val="20"/>
          <w:color w:val="auto"/>
        </w:rPr>
      </w:pPr>
      <w:r>
        <w:rPr>
          <w:rFonts w:ascii="Calibri" w:cs="Calibri" w:eastAsia="Calibri" w:hAnsi="Calibri"/>
          <w:sz w:val="24"/>
          <w:szCs w:val="24"/>
          <w:color w:val="FF6600"/>
        </w:rPr>
        <w:t>3809 deaths (225 new)</w:t>
      </w:r>
    </w:p>
    <w:p>
      <w:pPr>
        <w:spacing w:after="0" w:line="293" w:lineRule="exact"/>
        <w:rPr>
          <w:sz w:val="24"/>
          <w:szCs w:val="24"/>
          <w:color w:val="auto"/>
        </w:rPr>
      </w:pPr>
    </w:p>
    <w:p>
      <w:pPr>
        <w:ind w:left="160"/>
        <w:spacing w:after="0"/>
        <w:rPr>
          <w:sz w:val="20"/>
          <w:szCs w:val="20"/>
          <w:color w:val="auto"/>
        </w:rPr>
      </w:pPr>
      <w:r>
        <w:rPr>
          <w:rFonts w:ascii="Calibri" w:cs="Calibri" w:eastAsia="Calibri" w:hAnsi="Calibri"/>
          <w:sz w:val="24"/>
          <w:szCs w:val="24"/>
          <w:b w:val="1"/>
          <w:bCs w:val="1"/>
          <w:color w:val="FF6600"/>
        </w:rPr>
        <w:t>China</w:t>
      </w:r>
    </w:p>
    <w:p>
      <w:pPr>
        <w:ind w:left="160"/>
        <w:spacing w:after="0"/>
        <w:rPr>
          <w:sz w:val="20"/>
          <w:szCs w:val="20"/>
          <w:color w:val="auto"/>
        </w:rPr>
      </w:pPr>
      <w:r>
        <w:rPr>
          <w:rFonts w:ascii="Calibri" w:cs="Calibri" w:eastAsia="Calibri" w:hAnsi="Calibri"/>
          <w:sz w:val="24"/>
          <w:szCs w:val="24"/>
          <w:color w:val="FF6600"/>
        </w:rPr>
        <w:t>80 904 confirmed (45 new)</w:t>
      </w:r>
    </w:p>
    <w:p>
      <w:pPr>
        <w:ind w:left="340"/>
        <w:spacing w:after="0"/>
        <w:rPr>
          <w:sz w:val="20"/>
          <w:szCs w:val="20"/>
          <w:color w:val="auto"/>
        </w:rPr>
      </w:pPr>
      <w:r>
        <w:rPr>
          <w:rFonts w:ascii="Calibri" w:cs="Calibri" w:eastAsia="Calibri" w:hAnsi="Calibri"/>
          <w:sz w:val="24"/>
          <w:szCs w:val="24"/>
          <w:color w:val="FF6600"/>
        </w:rPr>
        <w:t>3123 deaths (23 new)</w:t>
      </w:r>
    </w:p>
    <w:p>
      <w:pPr>
        <w:spacing w:after="0" w:line="293" w:lineRule="exact"/>
        <w:rPr>
          <w:sz w:val="24"/>
          <w:szCs w:val="24"/>
          <w:color w:val="auto"/>
        </w:rPr>
      </w:pPr>
    </w:p>
    <w:p>
      <w:pPr>
        <w:ind w:left="160"/>
        <w:spacing w:after="0"/>
        <w:rPr>
          <w:sz w:val="20"/>
          <w:szCs w:val="20"/>
          <w:color w:val="auto"/>
        </w:rPr>
      </w:pPr>
      <w:r>
        <w:rPr>
          <w:rFonts w:ascii="Calibri" w:cs="Calibri" w:eastAsia="Calibri" w:hAnsi="Calibri"/>
          <w:sz w:val="24"/>
          <w:szCs w:val="24"/>
          <w:b w:val="1"/>
          <w:bCs w:val="1"/>
          <w:color w:val="FF6600"/>
        </w:rPr>
        <w:t>Outside of China</w:t>
      </w:r>
    </w:p>
    <w:p>
      <w:pPr>
        <w:ind w:left="160"/>
        <w:spacing w:after="0"/>
        <w:rPr>
          <w:sz w:val="20"/>
          <w:szCs w:val="20"/>
          <w:color w:val="auto"/>
        </w:rPr>
      </w:pPr>
      <w:r>
        <w:rPr>
          <w:rFonts w:ascii="Calibri" w:cs="Calibri" w:eastAsia="Calibri" w:hAnsi="Calibri"/>
          <w:sz w:val="24"/>
          <w:szCs w:val="24"/>
          <w:color w:val="FF6600"/>
        </w:rPr>
        <w:t>28 673 confirmed (3948 new)</w:t>
      </w:r>
    </w:p>
    <w:p>
      <w:pPr>
        <w:ind w:left="440"/>
        <w:spacing w:after="0"/>
        <w:rPr>
          <w:sz w:val="20"/>
          <w:szCs w:val="20"/>
          <w:color w:val="auto"/>
        </w:rPr>
      </w:pPr>
      <w:r>
        <w:rPr>
          <w:rFonts w:ascii="Calibri" w:cs="Calibri" w:eastAsia="Calibri" w:hAnsi="Calibri"/>
          <w:sz w:val="24"/>
          <w:szCs w:val="24"/>
          <w:color w:val="FF6600"/>
        </w:rPr>
        <w:t>686 deaths (202 new)</w:t>
      </w:r>
    </w:p>
    <w:p>
      <w:pPr>
        <w:spacing w:after="0" w:line="52" w:lineRule="exact"/>
        <w:rPr>
          <w:sz w:val="24"/>
          <w:szCs w:val="24"/>
          <w:color w:val="auto"/>
        </w:rPr>
      </w:pPr>
    </w:p>
    <w:p>
      <w:pPr>
        <w:ind w:left="880" w:right="220" w:hanging="441"/>
        <w:spacing w:after="0" w:line="227" w:lineRule="auto"/>
        <w:tabs>
          <w:tab w:leader="none" w:pos="866" w:val="left"/>
        </w:tabs>
        <w:numPr>
          <w:ilvl w:val="0"/>
          <w:numId w:val="2"/>
        </w:numPr>
        <w:rPr>
          <w:rFonts w:ascii="Calibri" w:cs="Calibri" w:eastAsia="Calibri" w:hAnsi="Calibri"/>
          <w:sz w:val="23"/>
          <w:szCs w:val="23"/>
          <w:color w:val="FF6600"/>
        </w:rPr>
      </w:pPr>
      <w:r>
        <w:rPr>
          <w:rFonts w:ascii="Calibri" w:cs="Calibri" w:eastAsia="Calibri" w:hAnsi="Calibri"/>
          <w:sz w:val="23"/>
          <w:szCs w:val="23"/>
          <w:color w:val="FF6600"/>
        </w:rPr>
        <w:t>countries/territories/ areas (3 new)</w:t>
      </w:r>
    </w:p>
    <w:p>
      <w:pPr>
        <w:spacing w:after="0" w:line="294" w:lineRule="exact"/>
        <w:rPr>
          <w:sz w:val="24"/>
          <w:szCs w:val="24"/>
          <w:color w:val="auto"/>
        </w:rPr>
      </w:pPr>
    </w:p>
    <w:p>
      <w:pPr>
        <w:ind w:left="160"/>
        <w:spacing w:after="0"/>
        <w:rPr>
          <w:sz w:val="20"/>
          <w:szCs w:val="20"/>
          <w:color w:val="auto"/>
        </w:rPr>
      </w:pPr>
      <w:r>
        <w:rPr>
          <w:rFonts w:ascii="Calibri" w:cs="Calibri" w:eastAsia="Calibri" w:hAnsi="Calibri"/>
          <w:sz w:val="24"/>
          <w:szCs w:val="24"/>
          <w:b w:val="1"/>
          <w:bCs w:val="1"/>
          <w:color w:val="0093D5"/>
        </w:rPr>
        <w:t>WHO RISK ASSESSMENT</w:t>
      </w:r>
    </w:p>
    <w:p>
      <w:pPr>
        <w:spacing w:after="0" w:line="295" w:lineRule="exact"/>
        <w:rPr>
          <w:sz w:val="24"/>
          <w:szCs w:val="24"/>
          <w:color w:val="auto"/>
        </w:rPr>
      </w:pPr>
    </w:p>
    <w:p>
      <w:pPr>
        <w:ind w:left="160"/>
        <w:spacing w:after="0"/>
        <w:tabs>
          <w:tab w:leader="none" w:pos="186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60"/>
        <w:spacing w:after="0"/>
        <w:tabs>
          <w:tab w:leader="none" w:pos="186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ind w:left="160"/>
        <w:spacing w:after="0"/>
        <w:tabs>
          <w:tab w:leader="none" w:pos="186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254" w:lineRule="exact"/>
        <w:rPr>
          <w:sz w:val="24"/>
          <w:szCs w:val="24"/>
          <w:color w:val="auto"/>
        </w:rPr>
      </w:pPr>
    </w:p>
    <w:p>
      <w:pPr>
        <w:spacing w:after="0" w:line="217" w:lineRule="auto"/>
        <w:rPr>
          <w:sz w:val="20"/>
          <w:szCs w:val="20"/>
          <w:color w:val="auto"/>
        </w:rPr>
      </w:pPr>
      <w:r>
        <w:rPr>
          <w:rFonts w:ascii="Calibri" w:cs="Calibri" w:eastAsia="Calibri" w:hAnsi="Calibri"/>
          <w:sz w:val="20"/>
          <w:szCs w:val="20"/>
          <w:color w:val="auto"/>
        </w:rPr>
        <w:t>Erratum: Total cases and new cases for Faroe Islands have been corrected.</w:t>
      </w:r>
    </w:p>
    <w:p>
      <w:pPr>
        <w:spacing w:after="0" w:line="200" w:lineRule="exact"/>
        <w:rPr>
          <w:sz w:val="24"/>
          <w:szCs w:val="24"/>
          <w:color w:val="auto"/>
        </w:rPr>
      </w:pPr>
    </w:p>
    <w:p>
      <w:pPr>
        <w:sectPr>
          <w:pgSz w:w="11920" w:h="16841" w:orient="portrait"/>
          <w:cols w:equalWidth="0" w:num="2">
            <w:col w:w="7460" w:space="360"/>
            <w:col w:w="3160"/>
          </w:cols>
          <w:pgMar w:left="520" w:top="596" w:right="411" w:bottom="1440" w:gutter="0" w:footer="0" w:header="0"/>
        </w:sectPr>
      </w:pPr>
    </w:p>
    <w:p>
      <w:pPr>
        <w:spacing w:after="0" w:line="316" w:lineRule="exact"/>
        <w:rPr>
          <w:sz w:val="24"/>
          <w:szCs w:val="24"/>
          <w:color w:val="auto"/>
        </w:rPr>
      </w:pPr>
    </w:p>
    <w:p>
      <w:pPr>
        <w:ind w:left="34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09 March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212090</wp:posOffset>
            </wp:positionH>
            <wp:positionV relativeFrom="paragraph">
              <wp:posOffset>28575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ectPr>
          <w:pgSz w:w="11920" w:h="16841" w:orient="portrait"/>
          <w:cols w:equalWidth="0" w:num="1">
            <w:col w:w="10980"/>
          </w:cols>
          <w:pgMar w:left="520" w:top="596" w:right="411" w:bottom="144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Operations Supply and Logistics (OSL)</w:t>
      </w:r>
    </w:p>
    <w:p>
      <w:pPr>
        <w:spacing w:after="0" w:line="320" w:lineRule="exact"/>
        <w:rPr>
          <w:sz w:val="20"/>
          <w:szCs w:val="20"/>
          <w:color w:val="auto"/>
        </w:rPr>
      </w:pPr>
    </w:p>
    <w:p>
      <w:pPr>
        <w:ind w:right="420"/>
        <w:spacing w:after="0" w:line="218" w:lineRule="auto"/>
        <w:rPr>
          <w:sz w:val="20"/>
          <w:szCs w:val="20"/>
          <w:color w:val="auto"/>
        </w:rPr>
      </w:pPr>
      <w:r>
        <w:rPr>
          <w:rFonts w:ascii="Calibri" w:cs="Calibri" w:eastAsia="Calibri" w:hAnsi="Calibri"/>
          <w:sz w:val="22"/>
          <w:szCs w:val="22"/>
          <w:color w:val="auto"/>
        </w:rPr>
        <w:t>WHO Operations Supply and Logistics (OSL) continues to support COVID-19 emergency operations where global demand for critical items continues to outpace global supply.</w:t>
      </w:r>
    </w:p>
    <w:p>
      <w:pPr>
        <w:spacing w:after="0" w:line="319" w:lineRule="exact"/>
        <w:rPr>
          <w:sz w:val="20"/>
          <w:szCs w:val="20"/>
          <w:color w:val="auto"/>
        </w:rPr>
      </w:pPr>
    </w:p>
    <w:p>
      <w:pPr>
        <w:ind w:right="60"/>
        <w:spacing w:after="0" w:line="224" w:lineRule="auto"/>
        <w:rPr>
          <w:sz w:val="20"/>
          <w:szCs w:val="20"/>
          <w:color w:val="auto"/>
        </w:rPr>
      </w:pPr>
      <w:r>
        <w:rPr>
          <w:rFonts w:ascii="Calibri" w:cs="Calibri" w:eastAsia="Calibri" w:hAnsi="Calibri"/>
          <w:sz w:val="22"/>
          <w:szCs w:val="22"/>
          <w:color w:val="auto"/>
        </w:rPr>
        <w:t>WHO continues to highlight the need for prioritization of personal protective equipment (PPE) supplies for frontline healthcare workers. To help make supplies available, OSL and partners in the Pandemic Supply Chain Network (PSCN) have agreed on mechanisms to secure global warehousing for donated COVID-19 emergency supplies.</w:t>
      </w:r>
    </w:p>
    <w:p>
      <w:pPr>
        <w:spacing w:after="0" w:line="321" w:lineRule="exact"/>
        <w:rPr>
          <w:sz w:val="20"/>
          <w:szCs w:val="20"/>
          <w:color w:val="auto"/>
        </w:rPr>
      </w:pPr>
    </w:p>
    <w:p>
      <w:pPr>
        <w:ind w:right="420"/>
        <w:spacing w:after="0" w:line="218" w:lineRule="auto"/>
        <w:rPr>
          <w:sz w:val="20"/>
          <w:szCs w:val="20"/>
          <w:color w:val="auto"/>
        </w:rPr>
      </w:pPr>
      <w:r>
        <w:rPr>
          <w:rFonts w:ascii="Calibri" w:cs="Calibri" w:eastAsia="Calibri" w:hAnsi="Calibri"/>
          <w:sz w:val="22"/>
          <w:szCs w:val="22"/>
          <w:color w:val="auto"/>
        </w:rPr>
        <w:t>OSL are also working with ventilator and respirator equipment manufacturers to develop technical guidance for oxygen therapy and related equipment in the context of COVID-19.</w:t>
      </w:r>
    </w:p>
    <w:p>
      <w:pPr>
        <w:spacing w:after="0" w:line="319" w:lineRule="exact"/>
        <w:rPr>
          <w:sz w:val="20"/>
          <w:szCs w:val="20"/>
          <w:color w:val="auto"/>
        </w:rPr>
      </w:pPr>
    </w:p>
    <w:p>
      <w:pPr>
        <w:ind w:right="580"/>
        <w:spacing w:after="0" w:line="225" w:lineRule="auto"/>
        <w:rPr>
          <w:sz w:val="20"/>
          <w:szCs w:val="20"/>
          <w:color w:val="auto"/>
        </w:rPr>
      </w:pPr>
      <w:r>
        <w:rPr>
          <w:rFonts w:ascii="Calibri" w:cs="Calibri" w:eastAsia="Calibri" w:hAnsi="Calibri"/>
          <w:sz w:val="22"/>
          <w:szCs w:val="22"/>
          <w:color w:val="auto"/>
        </w:rPr>
        <w:t>Together with WFP, UNICEF and the World Bank, OSL continues to work on a proposal for a Supply Chain Coordination Cell to support the UN Crisis Management Team with improved information and coordination to support strategic guidance, operational decision-making, and overall monitoring.</w:t>
      </w:r>
    </w:p>
    <w:p>
      <w:pPr>
        <w:spacing w:after="0" w:line="318" w:lineRule="exact"/>
        <w:rPr>
          <w:sz w:val="20"/>
          <w:szCs w:val="20"/>
          <w:color w:val="auto"/>
        </w:rPr>
      </w:pPr>
    </w:p>
    <w:p>
      <w:pPr>
        <w:ind w:right="640"/>
        <w:spacing w:after="0" w:line="218" w:lineRule="auto"/>
        <w:rPr>
          <w:sz w:val="20"/>
          <w:szCs w:val="20"/>
          <w:color w:val="auto"/>
        </w:rPr>
      </w:pPr>
      <w:r>
        <w:rPr>
          <w:rFonts w:ascii="Calibri" w:cs="Calibri" w:eastAsia="Calibri" w:hAnsi="Calibri"/>
          <w:sz w:val="22"/>
          <w:szCs w:val="22"/>
          <w:color w:val="auto"/>
        </w:rPr>
        <w:t>Since the beginning of the outbreak, OSL have shipped more than 584,000 surgical masks, 47,000 N95 masks, 620,000 gloves, 72,000 gowns and 11,000 goggles to 57 countries.</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auto"/>
        </w:rPr>
        <w:t>OSL have also shipped laboratory tests to more than 120 countries to facilitate COVID-19 testing,</w:t>
      </w:r>
    </w:p>
    <w:p>
      <w:pPr>
        <w:spacing w:after="0" w:line="318" w:lineRule="exact"/>
        <w:rPr>
          <w:sz w:val="20"/>
          <w:szCs w:val="20"/>
          <w:color w:val="auto"/>
        </w:rPr>
      </w:pPr>
    </w:p>
    <w:p>
      <w:pPr>
        <w:jc w:val="both"/>
        <w:spacing w:after="0" w:line="225" w:lineRule="auto"/>
        <w:rPr>
          <w:sz w:val="20"/>
          <w:szCs w:val="20"/>
          <w:color w:val="auto"/>
        </w:rPr>
      </w:pPr>
      <w:r>
        <w:rPr>
          <w:rFonts w:ascii="Calibri" w:cs="Calibri" w:eastAsia="Calibri" w:hAnsi="Calibri"/>
          <w:sz w:val="22"/>
          <w:szCs w:val="22"/>
          <w:color w:val="auto"/>
        </w:rPr>
        <w:t>In cooperation with the International Humanitarian City (IHC) in Dubai and with aircraft provided by the government of the UAE, OSL organized a flight from Dubai to Iran on March 2, to support the first delivery of emergency PPE and lab tests.</w:t>
      </w:r>
    </w:p>
    <w:p>
      <w:pPr>
        <w:spacing w:after="0" w:line="320" w:lineRule="exact"/>
        <w:rPr>
          <w:sz w:val="20"/>
          <w:szCs w:val="20"/>
          <w:color w:val="auto"/>
        </w:rPr>
      </w:pPr>
    </w:p>
    <w:p>
      <w:pPr>
        <w:ind w:right="140"/>
        <w:spacing w:after="0" w:line="227" w:lineRule="auto"/>
        <w:rPr>
          <w:sz w:val="20"/>
          <w:szCs w:val="20"/>
          <w:color w:val="auto"/>
        </w:rPr>
      </w:pPr>
      <w:r>
        <w:rPr>
          <w:rFonts w:ascii="Calibri" w:cs="Calibri" w:eastAsia="Calibri" w:hAnsi="Calibri"/>
          <w:sz w:val="21"/>
          <w:szCs w:val="21"/>
          <w:color w:val="auto"/>
        </w:rPr>
        <w:t>In collaboration with WHO Health Operations, an Intensive Care Unit-assessment form is being finalized in order to facilitate independent assessment of ICUs and identify existing supplies to support COVID-19 response activities.</w:t>
      </w:r>
    </w:p>
    <w:p>
      <w:pPr>
        <w:sectPr>
          <w:pgSz w:w="11920" w:h="16841" w:orient="portrait"/>
          <w:cols w:equalWidth="0" w:num="1">
            <w:col w:w="10400"/>
          </w:cols>
          <w:pgMar w:left="720" w:top="1175" w:right="791" w:bottom="1440" w:gutter="0" w:footer="0" w:header="0"/>
        </w:sectPr>
      </w:pPr>
    </w:p>
    <w:bookmarkStart w:id="2" w:name="page3"/>
    <w:bookmarkEnd w:id="2"/>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of 09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8"/>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640" w:type="dxa"/>
            <w:vAlign w:val="bottom"/>
            <w:tcBorders>
              <w:top w:val="single" w:sz="8" w:color="auto"/>
              <w:right w:val="single" w:sz="8" w:color="5B9BD5"/>
            </w:tcBorders>
            <w:gridSpan w:val="4"/>
            <w:shd w:val="clear" w:color="auto" w:fill="5B9BD5"/>
          </w:tcPr>
          <w:p>
            <w:pPr>
              <w:ind w:left="40"/>
              <w:spacing w:after="0"/>
              <w:rPr>
                <w:sz w:val="20"/>
                <w:szCs w:val="20"/>
                <w:color w:val="auto"/>
              </w:rPr>
            </w:pPr>
            <w:r>
              <w:rPr>
                <w:rFonts w:ascii="Calibri" w:cs="Calibri" w:eastAsia="Calibri" w:hAnsi="Calibri"/>
                <w:sz w:val="22"/>
                <w:szCs w:val="22"/>
                <w:b w:val="1"/>
                <w:bCs w:val="1"/>
                <w:color w:val="FFFFFF"/>
              </w:rPr>
              <w:t>In last 24 hours</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67743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3007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1352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1215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990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758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539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428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342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124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Hong Kong SAR</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114</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Ningxia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rPr>
              <w:t>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rPr>
              <w:t>60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rPr>
              <w:t>23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rPr>
              <w:t>80904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rPr>
              <w:t>3123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bl>
    <w:p>
      <w:pPr>
        <w:sectPr>
          <w:pgSz w:w="11920" w:h="16841" w:orient="portrait"/>
          <w:cols w:equalWidth="0" w:num="1">
            <w:col w:w="10560"/>
          </w:cols>
          <w:pgMar w:left="680" w:top="899" w:right="671" w:bottom="1440" w:gutter="0" w:footer="0" w:header="0"/>
        </w:sectPr>
      </w:pPr>
    </w:p>
    <w:bookmarkStart w:id="3" w:name="page4"/>
    <w:bookmarkEnd w:id="3"/>
    <w:p>
      <w:pPr>
        <w:ind w:right="300"/>
        <w:spacing w:after="0" w:line="19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09 March 2020</w:t>
      </w:r>
      <w:r>
        <w:rPr>
          <w:rFonts w:ascii="Calibri" w:cs="Calibri" w:eastAsia="Calibri" w:hAnsi="Calibri"/>
          <w:sz w:val="27"/>
          <w:szCs w:val="27"/>
          <w:b w:val="1"/>
          <w:bCs w:val="1"/>
          <w:color w:val="007AB0"/>
          <w:vertAlign w:val="superscript"/>
        </w:rPr>
        <w:t>*</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2"/>
        </w:trPr>
        <w:tc>
          <w:tcPr>
            <w:tcW w:w="120" w:type="dxa"/>
            <w:vAlign w:val="bottom"/>
            <w:tcBorders>
              <w:top w:val="single" w:sz="8" w:color="auto"/>
              <w:left w:val="single" w:sz="8" w:color="auto"/>
            </w:tcBorders>
            <w:shd w:val="clear" w:color="auto" w:fill="4F81BD"/>
          </w:tcPr>
          <w:p>
            <w:pPr>
              <w:spacing w:after="0"/>
              <w:rPr>
                <w:sz w:val="21"/>
                <w:szCs w:val="21"/>
                <w:color w:val="auto"/>
              </w:rPr>
            </w:pPr>
          </w:p>
        </w:tc>
        <w:tc>
          <w:tcPr>
            <w:tcW w:w="1840" w:type="dxa"/>
            <w:vAlign w:val="bottom"/>
            <w:tcBorders>
              <w:top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Reporting Country/</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0" w:type="dxa"/>
            <w:vAlign w:val="bottom"/>
            <w:tcBorders>
              <w:top w:val="single" w:sz="8" w:color="auto"/>
              <w:right w:val="single" w:sz="8" w:color="auto"/>
            </w:tcBorders>
            <w:shd w:val="clear" w:color="auto" w:fill="4F81BD"/>
          </w:tcPr>
          <w:p>
            <w:pPr>
              <w:spacing w:after="0"/>
              <w:rPr>
                <w:sz w:val="21"/>
                <w:szCs w:val="21"/>
                <w:color w:val="auto"/>
              </w:rPr>
            </w:pPr>
          </w:p>
        </w:tc>
        <w:tc>
          <w:tcPr>
            <w:tcW w:w="6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40" w:type="dxa"/>
            <w:vAlign w:val="bottom"/>
            <w:tcBorders>
              <w:top w:val="single" w:sz="8" w:color="auto"/>
              <w:right w:val="single" w:sz="8" w:color="auto"/>
            </w:tcBorders>
            <w:shd w:val="clear" w:color="auto" w:fill="4F81BD"/>
          </w:tcPr>
          <w:p>
            <w:pPr>
              <w:spacing w:after="0"/>
              <w:rPr>
                <w:sz w:val="21"/>
                <w:szCs w:val="21"/>
                <w:color w:val="auto"/>
              </w:rPr>
            </w:pPr>
          </w:p>
        </w:tc>
        <w:tc>
          <w:tcPr>
            <w:tcW w:w="80" w:type="dxa"/>
            <w:vAlign w:val="bottom"/>
            <w:tcBorders>
              <w:top w:val="single" w:sz="8" w:color="auto"/>
            </w:tcBorders>
            <w:shd w:val="clear" w:color="auto" w:fill="4F81BD"/>
          </w:tcPr>
          <w:p>
            <w:pPr>
              <w:spacing w:after="0"/>
              <w:rPr>
                <w:sz w:val="21"/>
                <w:szCs w:val="21"/>
                <w:color w:val="auto"/>
              </w:rPr>
            </w:pPr>
          </w:p>
        </w:tc>
        <w:tc>
          <w:tcPr>
            <w:tcW w:w="1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Transmission</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22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Days since</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0" w:type="dxa"/>
            <w:vAlign w:val="bottom"/>
          </w:tcPr>
          <w:p>
            <w:pPr>
              <w:spacing w:after="0"/>
              <w:rPr>
                <w:sz w:val="1"/>
                <w:szCs w:val="1"/>
                <w:color w:val="auto"/>
              </w:rPr>
            </w:pPr>
          </w:p>
        </w:tc>
      </w:tr>
      <w:tr>
        <w:trPr>
          <w:trHeight w:val="135"/>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7"/>
                <w:shd w:val="clear" w:color="auto" w:fill="4F81BD"/>
              </w:rPr>
              <w:t>confirmed</w:t>
            </w:r>
            <w:r>
              <w:rPr>
                <w:rFonts w:ascii="Calibri" w:cs="Calibri" w:eastAsia="Calibri" w:hAnsi="Calibri"/>
                <w:sz w:val="27"/>
                <w:szCs w:val="27"/>
                <w:b w:val="1"/>
                <w:bCs w:val="1"/>
                <w:color w:val="FFFFFF"/>
                <w:w w:val="97"/>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last reported</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tcBorders>
            <w:shd w:val="clear" w:color="auto" w:fill="4F81BD"/>
          </w:tcPr>
          <w:p>
            <w:pPr>
              <w:spacing w:after="0"/>
              <w:rPr>
                <w:sz w:val="12"/>
                <w:szCs w:val="12"/>
                <w:color w:val="auto"/>
              </w:rPr>
            </w:pPr>
          </w:p>
        </w:tc>
        <w:tc>
          <w:tcPr>
            <w:tcW w:w="1840" w:type="dxa"/>
            <w:vAlign w:val="bottom"/>
            <w:vMerge w:val="restart"/>
            <w:shd w:val="clear" w:color="auto" w:fill="4F81BD"/>
          </w:tcPr>
          <w:p>
            <w:pPr>
              <w:spacing w:after="0" w:line="275" w:lineRule="exact"/>
              <w:rPr>
                <w:sz w:val="20"/>
                <w:szCs w:val="20"/>
                <w:color w:val="auto"/>
              </w:rPr>
            </w:pPr>
            <w:r>
              <w:rPr>
                <w:rFonts w:ascii="Calibri" w:cs="Calibri" w:eastAsia="Calibri" w:hAnsi="Calibri"/>
                <w:sz w:val="22"/>
                <w:szCs w:val="22"/>
                <w:b w:val="1"/>
                <w:bCs w:val="1"/>
                <w:color w:val="FFFFFF"/>
              </w:rPr>
              <w:t>Territory/Area</w:t>
            </w:r>
            <w:r>
              <w:rPr>
                <w:rFonts w:ascii="Calibri" w:cs="Calibri" w:eastAsia="Calibri" w:hAnsi="Calibri"/>
                <w:sz w:val="27"/>
                <w:szCs w:val="27"/>
                <w:b w:val="1"/>
                <w:bCs w:val="1"/>
                <w:color w:val="FFFFFF"/>
                <w:vertAlign w:val="superscript"/>
              </w:rPr>
              <w:t>†</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60" w:type="dxa"/>
            <w:vAlign w:val="bottom"/>
            <w:tcBorders>
              <w:right w:val="single" w:sz="8" w:color="auto"/>
            </w:tcBorders>
            <w:shd w:val="clear" w:color="auto" w:fill="4F81BD"/>
          </w:tcPr>
          <w:p>
            <w:pPr>
              <w:spacing w:after="0"/>
              <w:rPr>
                <w:sz w:val="12"/>
                <w:szCs w:val="12"/>
                <w:color w:val="auto"/>
              </w:rPr>
            </w:pPr>
          </w:p>
        </w:tc>
        <w:tc>
          <w:tcPr>
            <w:tcW w:w="60" w:type="dxa"/>
            <w:vAlign w:val="bottom"/>
            <w:shd w:val="clear" w:color="auto" w:fill="4F81BD"/>
          </w:tcPr>
          <w:p>
            <w:pPr>
              <w:spacing w:after="0"/>
              <w:rPr>
                <w:sz w:val="12"/>
                <w:szCs w:val="12"/>
                <w:color w:val="auto"/>
              </w:rPr>
            </w:pPr>
          </w:p>
        </w:tc>
        <w:tc>
          <w:tcPr>
            <w:tcW w:w="860" w:type="dxa"/>
            <w:vAlign w:val="bottom"/>
            <w:vMerge w:val="continue"/>
            <w:shd w:val="clear" w:color="auto" w:fill="4F81BD"/>
          </w:tcPr>
          <w:p>
            <w:pPr>
              <w:spacing w:after="0"/>
              <w:rPr>
                <w:sz w:val="12"/>
                <w:szCs w:val="12"/>
                <w:color w:val="auto"/>
              </w:rPr>
            </w:pP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86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22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shd w:val="clear" w:color="auto" w:fill="4F81BD"/>
              </w:rPr>
              <w:t>new cases</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deaths</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case</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vMerge w:val="continue"/>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8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3"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7382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248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51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488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7</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150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77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3</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196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Italy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7375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1492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366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132</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France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1116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410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19</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Germany</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1112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317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589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159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332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68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Kingdom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277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67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265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77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3</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203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200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169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73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Iceland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Czechia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Finland</w:t>
            </w: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Portugal</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Ireland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Slovenia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Romania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Azerbaijan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Hungary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Slovakia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Bulgaria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Latvia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Malta</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North Macedonia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Albania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Bosnia 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943" w:right="911" w:bottom="640" w:gutter="0" w:footer="0" w:header="0"/>
        </w:sectPr>
      </w:pPr>
    </w:p>
    <w:bookmarkStart w:id="4" w:name="page5"/>
    <w:bookmarkEnd w:id="4"/>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196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Herzegovina</w:t>
            </w:r>
          </w:p>
        </w:tc>
        <w:tc>
          <w:tcPr>
            <w:tcW w:w="280" w:type="dxa"/>
            <w:vAlign w:val="bottom"/>
            <w:tcBorders>
              <w:top w:val="single" w:sz="8" w:color="auto"/>
              <w:bottom w:val="single" w:sz="8" w:color="auto"/>
            </w:tcBorders>
          </w:tcPr>
          <w:p>
            <w:pPr>
              <w:spacing w:after="0"/>
              <w:rPr>
                <w:sz w:val="23"/>
                <w:szCs w:val="23"/>
                <w:color w:val="auto"/>
              </w:rPr>
            </w:pPr>
          </w:p>
        </w:tc>
        <w:tc>
          <w:tcPr>
            <w:tcW w:w="980" w:type="dxa"/>
            <w:vAlign w:val="bottom"/>
            <w:tcBorders>
              <w:top w:val="single" w:sz="8" w:color="auto"/>
              <w:bottom w:val="single" w:sz="8" w:color="auto"/>
              <w:right w:val="single" w:sz="8" w:color="auto"/>
            </w:tcBorders>
          </w:tcPr>
          <w:p>
            <w:pPr>
              <w:spacing w:after="0"/>
              <w:rPr>
                <w:sz w:val="23"/>
                <w:szCs w:val="23"/>
                <w:color w:val="auto"/>
              </w:rPr>
            </w:pPr>
          </w:p>
        </w:tc>
        <w:tc>
          <w:tcPr>
            <w:tcW w:w="1260" w:type="dxa"/>
            <w:vAlign w:val="bottom"/>
            <w:tcBorders>
              <w:top w:val="single" w:sz="8" w:color="auto"/>
              <w:bottom w:val="single" w:sz="8" w:color="auto"/>
              <w:right w:val="single" w:sz="8" w:color="auto"/>
            </w:tcBorders>
          </w:tcPr>
          <w:p>
            <w:pPr>
              <w:spacing w:after="0"/>
              <w:rPr>
                <w:sz w:val="23"/>
                <w:szCs w:val="23"/>
                <w:color w:val="auto"/>
              </w:rPr>
            </w:pPr>
          </w:p>
        </w:tc>
        <w:tc>
          <w:tcPr>
            <w:tcW w:w="1120" w:type="dxa"/>
            <w:vAlign w:val="bottom"/>
            <w:tcBorders>
              <w:top w:val="single" w:sz="8" w:color="auto"/>
              <w:bottom w:val="single" w:sz="8" w:color="auto"/>
              <w:right w:val="single" w:sz="8" w:color="auto"/>
            </w:tcBorders>
          </w:tcPr>
          <w:p>
            <w:pPr>
              <w:spacing w:after="0"/>
              <w:rPr>
                <w:sz w:val="23"/>
                <w:szCs w:val="23"/>
                <w:color w:val="auto"/>
              </w:rPr>
            </w:pPr>
          </w:p>
        </w:tc>
        <w:tc>
          <w:tcPr>
            <w:tcW w:w="1060" w:type="dxa"/>
            <w:vAlign w:val="bottom"/>
            <w:tcBorders>
              <w:top w:val="single" w:sz="8" w:color="auto"/>
              <w:bottom w:val="single" w:sz="8" w:color="auto"/>
              <w:right w:val="single" w:sz="8" w:color="auto"/>
            </w:tcBorders>
          </w:tcPr>
          <w:p>
            <w:pPr>
              <w:spacing w:after="0"/>
              <w:rPr>
                <w:sz w:val="23"/>
                <w:szCs w:val="23"/>
                <w:color w:val="auto"/>
              </w:rPr>
            </w:pPr>
          </w:p>
        </w:tc>
        <w:tc>
          <w:tcPr>
            <w:tcW w:w="2080" w:type="dxa"/>
            <w:vAlign w:val="bottom"/>
            <w:tcBorders>
              <w:top w:val="single" w:sz="8" w:color="auto"/>
              <w:bottom w:val="single" w:sz="8" w:color="auto"/>
              <w:right w:val="single" w:sz="8" w:color="auto"/>
            </w:tcBorders>
          </w:tcPr>
          <w:p>
            <w:pPr>
              <w:spacing w:after="0"/>
              <w:rPr>
                <w:sz w:val="23"/>
                <w:szCs w:val="23"/>
                <w:color w:val="auto"/>
              </w:rPr>
            </w:pPr>
          </w:p>
        </w:tc>
        <w:tc>
          <w:tcPr>
            <w:tcW w:w="1300" w:type="dxa"/>
            <w:vAlign w:val="bottom"/>
            <w:tcBorders>
              <w:top w:val="single" w:sz="8" w:color="auto"/>
              <w:bottom w:val="single" w:sz="8" w:color="auto"/>
            </w:tcBorders>
          </w:tcPr>
          <w:p>
            <w:pPr>
              <w:spacing w:after="0"/>
              <w:rPr>
                <w:sz w:val="23"/>
                <w:szCs w:val="23"/>
                <w:color w:val="auto"/>
              </w:rPr>
            </w:pP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Luxembourg</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Andorra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Armenia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Holy See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Liechtenstein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Lithuania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8" w:lineRule="exact"/>
              <w:rPr>
                <w:sz w:val="20"/>
                <w:szCs w:val="20"/>
                <w:color w:val="auto"/>
              </w:rPr>
            </w:pPr>
            <w:r>
              <w:rPr>
                <w:rFonts w:ascii="Calibri" w:cs="Calibri" w:eastAsia="Calibri" w:hAnsi="Calibri"/>
                <w:sz w:val="22"/>
                <w:szCs w:val="22"/>
                <w:color w:val="auto"/>
              </w:rPr>
              <w:t>Monaco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8"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Republic of Moldova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Serbia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Ukraine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2" w:lineRule="exact"/>
              <w:rPr>
                <w:sz w:val="20"/>
                <w:szCs w:val="20"/>
                <w:color w:val="auto"/>
              </w:rPr>
            </w:pPr>
            <w:r>
              <w:rPr>
                <w:rFonts w:ascii="Calibri" w:cs="Calibri" w:eastAsia="Calibri" w:hAnsi="Calibri"/>
                <w:sz w:val="22"/>
                <w:szCs w:val="22"/>
                <w:color w:val="auto"/>
              </w:rPr>
              <w:t>Faroe Islands</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2"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Gibraltar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South-East Asia Region</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Thailand</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50</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India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43</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9</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Indonesia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Maldives</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Bangladesh</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3</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Bhutan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Nepal</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Sri Lanka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2"/>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3"/>
            <w:shd w:val="clear" w:color="auto" w:fill="A6A6A6"/>
          </w:tcPr>
          <w:p>
            <w:pPr>
              <w:spacing w:after="0" w:line="258" w:lineRule="exact"/>
              <w:rPr>
                <w:sz w:val="20"/>
                <w:szCs w:val="20"/>
                <w:color w:val="auto"/>
              </w:rPr>
            </w:pPr>
            <w:r>
              <w:rPr>
                <w:rFonts w:ascii="Calibri" w:cs="Calibri" w:eastAsia="Calibri" w:hAnsi="Calibri"/>
                <w:sz w:val="22"/>
                <w:szCs w:val="22"/>
                <w:b w:val="1"/>
                <w:bCs w:val="1"/>
                <w:color w:val="FFFFFF"/>
              </w:rPr>
              <w:t>Eastern Mediterranean Region</w:t>
            </w: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3" w:lineRule="exact"/>
              <w:rPr>
                <w:sz w:val="20"/>
                <w:szCs w:val="20"/>
                <w:color w:val="auto"/>
              </w:rPr>
            </w:pPr>
            <w:r>
              <w:rPr>
                <w:rFonts w:ascii="Calibri" w:cs="Calibri" w:eastAsia="Calibri" w:hAnsi="Calibri"/>
                <w:sz w:val="22"/>
                <w:szCs w:val="22"/>
                <w:color w:val="auto"/>
              </w:rPr>
              <w:t>Iran (Islamic</w:t>
            </w:r>
          </w:p>
        </w:tc>
        <w:tc>
          <w:tcPr>
            <w:tcW w:w="280" w:type="dxa"/>
            <w:vAlign w:val="bottom"/>
          </w:tcPr>
          <w:p>
            <w:pPr>
              <w:spacing w:after="0"/>
              <w:rPr>
                <w:sz w:val="22"/>
                <w:szCs w:val="22"/>
                <w:color w:val="auto"/>
              </w:rPr>
            </w:pPr>
          </w:p>
        </w:tc>
        <w:tc>
          <w:tcPr>
            <w:tcW w:w="98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120" w:type="dxa"/>
            <w:vAlign w:val="bottom"/>
            <w:tcBorders>
              <w:right w:val="single" w:sz="8" w:color="auto"/>
            </w:tcBorders>
          </w:tcPr>
          <w:p>
            <w:pPr>
              <w:spacing w:after="0"/>
              <w:rPr>
                <w:sz w:val="22"/>
                <w:szCs w:val="22"/>
                <w:color w:val="auto"/>
              </w:rPr>
            </w:pPr>
          </w:p>
        </w:tc>
        <w:tc>
          <w:tcPr>
            <w:tcW w:w="1060" w:type="dxa"/>
            <w:vAlign w:val="bottom"/>
            <w:tcBorders>
              <w:right w:val="single" w:sz="8" w:color="auto"/>
            </w:tcBorders>
          </w:tcPr>
          <w:p>
            <w:pPr>
              <w:spacing w:after="0"/>
              <w:rPr>
                <w:sz w:val="22"/>
                <w:szCs w:val="22"/>
                <w:color w:val="auto"/>
              </w:rPr>
            </w:pPr>
          </w:p>
        </w:tc>
        <w:tc>
          <w:tcPr>
            <w:tcW w:w="2080" w:type="dxa"/>
            <w:vAlign w:val="bottom"/>
            <w:tcBorders>
              <w:right w:val="single" w:sz="8" w:color="auto"/>
            </w:tcBorders>
          </w:tcPr>
          <w:p>
            <w:pPr>
              <w:spacing w:after="0"/>
              <w:rPr>
                <w:sz w:val="22"/>
                <w:szCs w:val="22"/>
                <w:color w:val="auto"/>
              </w:rPr>
            </w:pPr>
          </w:p>
        </w:tc>
        <w:tc>
          <w:tcPr>
            <w:tcW w:w="13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2"/>
        </w:trPr>
        <w:tc>
          <w:tcPr>
            <w:tcW w:w="120" w:type="dxa"/>
            <w:vAlign w:val="bottom"/>
            <w:tcBorders>
              <w:left w:val="single" w:sz="8" w:color="auto"/>
              <w:bottom w:val="single" w:sz="8" w:color="auto"/>
            </w:tcBorders>
          </w:tcPr>
          <w:p>
            <w:pPr>
              <w:spacing w:after="0"/>
              <w:rPr>
                <w:sz w:val="23"/>
                <w:szCs w:val="23"/>
                <w:color w:val="auto"/>
              </w:rPr>
            </w:pPr>
          </w:p>
        </w:tc>
        <w:tc>
          <w:tcPr>
            <w:tcW w:w="196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Republic of)</w:t>
            </w:r>
          </w:p>
        </w:tc>
        <w:tc>
          <w:tcPr>
            <w:tcW w:w="280" w:type="dxa"/>
            <w:vAlign w:val="bottom"/>
            <w:tcBorders>
              <w:bottom w:val="single" w:sz="8" w:color="auto"/>
            </w:tcBorders>
          </w:tcPr>
          <w:p>
            <w:pPr>
              <w:spacing w:after="0"/>
              <w:rPr>
                <w:sz w:val="23"/>
                <w:szCs w:val="23"/>
                <w:color w:val="auto"/>
              </w:rPr>
            </w:pPr>
          </w:p>
        </w:tc>
        <w:tc>
          <w:tcPr>
            <w:tcW w:w="980" w:type="dxa"/>
            <w:vAlign w:val="bottom"/>
            <w:tcBorders>
              <w:bottom w:val="single" w:sz="8" w:color="auto"/>
              <w:right w:val="single" w:sz="8" w:color="auto"/>
            </w:tcBorders>
          </w:tcPr>
          <w:p>
            <w:pPr>
              <w:jc w:val="center"/>
              <w:ind w:right="190"/>
              <w:spacing w:after="0"/>
              <w:rPr>
                <w:sz w:val="20"/>
                <w:szCs w:val="20"/>
                <w:color w:val="auto"/>
              </w:rPr>
            </w:pPr>
            <w:r>
              <w:rPr>
                <w:rFonts w:ascii="Calibri" w:cs="Calibri" w:eastAsia="Calibri" w:hAnsi="Calibri"/>
                <w:sz w:val="22"/>
                <w:szCs w:val="22"/>
                <w:color w:val="auto"/>
                <w:w w:val="98"/>
              </w:rPr>
              <w:t>6566</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743</w:t>
            </w:r>
          </w:p>
        </w:tc>
        <w:tc>
          <w:tcPr>
            <w:tcW w:w="11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194</w:t>
            </w:r>
          </w:p>
        </w:tc>
        <w:tc>
          <w:tcPr>
            <w:tcW w:w="10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49</w:t>
            </w:r>
          </w:p>
        </w:tc>
        <w:tc>
          <w:tcPr>
            <w:tcW w:w="208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Bahrain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79</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23</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Kuwait</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64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Iraq</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60</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Egypt</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55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7</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United Arab</w:t>
            </w:r>
          </w:p>
        </w:tc>
        <w:tc>
          <w:tcPr>
            <w:tcW w:w="280" w:type="dxa"/>
            <w:vAlign w:val="bottom"/>
          </w:tcPr>
          <w:p>
            <w:pPr>
              <w:spacing w:after="0"/>
              <w:rPr>
                <w:sz w:val="22"/>
                <w:szCs w:val="22"/>
                <w:color w:val="auto"/>
              </w:rPr>
            </w:pPr>
          </w:p>
        </w:tc>
        <w:tc>
          <w:tcPr>
            <w:tcW w:w="980" w:type="dxa"/>
            <w:vAlign w:val="bottom"/>
            <w:tcBorders>
              <w:right w:val="single" w:sz="8" w:color="auto"/>
            </w:tcBorders>
            <w:vMerge w:val="restart"/>
          </w:tcPr>
          <w:p>
            <w:pPr>
              <w:jc w:val="center"/>
              <w:ind w:right="170"/>
              <w:spacing w:after="0"/>
              <w:rPr>
                <w:sz w:val="20"/>
                <w:szCs w:val="20"/>
                <w:color w:val="auto"/>
              </w:rPr>
            </w:pPr>
            <w:r>
              <w:rPr>
                <w:rFonts w:ascii="Calibri" w:cs="Calibri" w:eastAsia="Calibri" w:hAnsi="Calibri"/>
                <w:sz w:val="22"/>
                <w:szCs w:val="22"/>
                <w:color w:val="auto"/>
                <w:w w:val="98"/>
              </w:rPr>
              <w:t>45</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Emirates</w:t>
            </w:r>
          </w:p>
        </w:tc>
        <w:tc>
          <w:tcPr>
            <w:tcW w:w="280" w:type="dxa"/>
            <w:vAlign w:val="bottom"/>
          </w:tcPr>
          <w:p>
            <w:pPr>
              <w:spacing w:after="0"/>
              <w:rPr>
                <w:sz w:val="11"/>
                <w:szCs w:val="11"/>
                <w:color w:val="auto"/>
              </w:rPr>
            </w:pPr>
          </w:p>
        </w:tc>
        <w:tc>
          <w:tcPr>
            <w:tcW w:w="980" w:type="dxa"/>
            <w:vAlign w:val="bottom"/>
            <w:tcBorders>
              <w:right w:val="single" w:sz="8" w:color="auto"/>
            </w:tcBorders>
            <w:vMerge w:val="continue"/>
          </w:tcPr>
          <w:p>
            <w:pPr>
              <w:spacing w:after="0"/>
              <w:rPr>
                <w:sz w:val="11"/>
                <w:szCs w:val="11"/>
                <w:color w:val="auto"/>
              </w:rPr>
            </w:pPr>
          </w:p>
        </w:tc>
        <w:tc>
          <w:tcPr>
            <w:tcW w:w="1260" w:type="dxa"/>
            <w:vAlign w:val="bottom"/>
            <w:tcBorders>
              <w:right w:val="single" w:sz="8" w:color="auto"/>
            </w:tcBorders>
            <w:vMerge w:val="continue"/>
          </w:tcPr>
          <w:p>
            <w:pPr>
              <w:spacing w:after="0"/>
              <w:rPr>
                <w:sz w:val="11"/>
                <w:szCs w:val="11"/>
                <w:color w:val="auto"/>
              </w:rPr>
            </w:pPr>
          </w:p>
        </w:tc>
        <w:tc>
          <w:tcPr>
            <w:tcW w:w="112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vMerge w:val="continue"/>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9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20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Lebanon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32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Oman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Qatar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Saudi Arabia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8</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Pakistan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Afghanistan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Morocco</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Tunisia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Jordan</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40" w:type="dxa"/>
            <w:vAlign w:val="bottom"/>
            <w:tcBorders>
              <w:bottom w:val="single" w:sz="8" w:color="auto"/>
            </w:tcBorders>
            <w:gridSpan w:val="2"/>
            <w:shd w:val="clear" w:color="auto" w:fill="BFBFBF"/>
          </w:tcPr>
          <w:p>
            <w:pPr>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98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20" w:type="dxa"/>
            <w:vAlign w:val="bottom"/>
            <w:tcBorders>
              <w:bottom w:val="single" w:sz="8" w:color="auto"/>
              <w:right w:val="single" w:sz="8" w:color="BFBFBF"/>
            </w:tcBorders>
            <w:shd w:val="clear" w:color="auto" w:fill="BFBFBF"/>
          </w:tcPr>
          <w:p>
            <w:pPr>
              <w:spacing w:after="0"/>
              <w:rPr>
                <w:sz w:val="22"/>
                <w:szCs w:val="22"/>
                <w:color w:val="auto"/>
              </w:rPr>
            </w:pPr>
          </w:p>
        </w:tc>
        <w:tc>
          <w:tcPr>
            <w:tcW w:w="1060" w:type="dxa"/>
            <w:vAlign w:val="bottom"/>
            <w:tcBorders>
              <w:bottom w:val="single" w:sz="8" w:color="auto"/>
              <w:right w:val="single" w:sz="8" w:color="BFBFBF"/>
            </w:tcBorders>
            <w:shd w:val="clear" w:color="auto" w:fill="BFBFBF"/>
          </w:tcPr>
          <w:p>
            <w:pPr>
              <w:spacing w:after="0"/>
              <w:rPr>
                <w:sz w:val="22"/>
                <w:szCs w:val="22"/>
                <w:color w:val="auto"/>
              </w:rPr>
            </w:pPr>
          </w:p>
        </w:tc>
        <w:tc>
          <w:tcPr>
            <w:tcW w:w="208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20" w:type="dxa"/>
            <w:vAlign w:val="bottom"/>
            <w:tcBorders>
              <w:left w:val="single" w:sz="8" w:color="auto"/>
            </w:tcBorders>
          </w:tcPr>
          <w:p>
            <w:pPr>
              <w:spacing w:after="0"/>
              <w:rPr>
                <w:sz w:val="21"/>
                <w:szCs w:val="21"/>
                <w:color w:val="auto"/>
              </w:rPr>
            </w:pPr>
          </w:p>
        </w:tc>
        <w:tc>
          <w:tcPr>
            <w:tcW w:w="1960" w:type="dxa"/>
            <w:vAlign w:val="bottom"/>
            <w:tcBorders>
              <w:right w:val="single" w:sz="8" w:color="auto"/>
            </w:tcBorders>
          </w:tcPr>
          <w:p>
            <w:pPr>
              <w:spacing w:after="0" w:line="252" w:lineRule="exact"/>
              <w:rPr>
                <w:sz w:val="20"/>
                <w:szCs w:val="20"/>
                <w:color w:val="auto"/>
              </w:rPr>
            </w:pPr>
            <w:r>
              <w:rPr>
                <w:rFonts w:ascii="Calibri" w:cs="Calibri" w:eastAsia="Calibri" w:hAnsi="Calibri"/>
                <w:sz w:val="22"/>
                <w:szCs w:val="22"/>
                <w:color w:val="auto"/>
              </w:rPr>
              <w:t>occupied Palestinian</w:t>
            </w:r>
          </w:p>
        </w:tc>
        <w:tc>
          <w:tcPr>
            <w:tcW w:w="280" w:type="dxa"/>
            <w:vAlign w:val="bottom"/>
          </w:tcPr>
          <w:p>
            <w:pPr>
              <w:spacing w:after="0"/>
              <w:rPr>
                <w:sz w:val="21"/>
                <w:szCs w:val="21"/>
                <w:color w:val="auto"/>
              </w:rPr>
            </w:pPr>
          </w:p>
        </w:tc>
        <w:tc>
          <w:tcPr>
            <w:tcW w:w="980" w:type="dxa"/>
            <w:vAlign w:val="bottom"/>
            <w:tcBorders>
              <w:right w:val="single" w:sz="8" w:color="auto"/>
            </w:tcBorders>
          </w:tcPr>
          <w:p>
            <w:pPr>
              <w:spacing w:after="0"/>
              <w:rPr>
                <w:sz w:val="21"/>
                <w:szCs w:val="21"/>
                <w:color w:val="auto"/>
              </w:rPr>
            </w:pPr>
          </w:p>
        </w:tc>
        <w:tc>
          <w:tcPr>
            <w:tcW w:w="1260" w:type="dxa"/>
            <w:vAlign w:val="bottom"/>
            <w:tcBorders>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1060" w:type="dxa"/>
            <w:vAlign w:val="bottom"/>
            <w:tcBorders>
              <w:right w:val="single" w:sz="8" w:color="auto"/>
            </w:tcBorders>
          </w:tcPr>
          <w:p>
            <w:pPr>
              <w:spacing w:after="0"/>
              <w:rPr>
                <w:sz w:val="21"/>
                <w:szCs w:val="21"/>
                <w:color w:val="auto"/>
              </w:rPr>
            </w:pPr>
          </w:p>
        </w:tc>
        <w:tc>
          <w:tcPr>
            <w:tcW w:w="2080" w:type="dxa"/>
            <w:vAlign w:val="bottom"/>
            <w:tcBorders>
              <w:right w:val="single" w:sz="8" w:color="auto"/>
            </w:tcBorders>
          </w:tcPr>
          <w:p>
            <w:pPr>
              <w:spacing w:after="0"/>
              <w:rPr>
                <w:sz w:val="21"/>
                <w:szCs w:val="21"/>
                <w:color w:val="auto"/>
              </w:rPr>
            </w:pPr>
          </w:p>
        </w:tc>
        <w:tc>
          <w:tcPr>
            <w:tcW w:w="130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72"/>
        </w:trPr>
        <w:tc>
          <w:tcPr>
            <w:tcW w:w="120" w:type="dxa"/>
            <w:vAlign w:val="bottom"/>
            <w:tcBorders>
              <w:left w:val="single" w:sz="8" w:color="auto"/>
              <w:bottom w:val="single" w:sz="8" w:color="auto"/>
            </w:tcBorders>
          </w:tcPr>
          <w:p>
            <w:pPr>
              <w:spacing w:after="0"/>
              <w:rPr>
                <w:sz w:val="23"/>
                <w:szCs w:val="23"/>
                <w:color w:val="auto"/>
              </w:rPr>
            </w:pPr>
          </w:p>
        </w:tc>
        <w:tc>
          <w:tcPr>
            <w:tcW w:w="196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territory</w:t>
            </w:r>
          </w:p>
        </w:tc>
        <w:tc>
          <w:tcPr>
            <w:tcW w:w="280" w:type="dxa"/>
            <w:vAlign w:val="bottom"/>
            <w:tcBorders>
              <w:bottom w:val="single" w:sz="8" w:color="auto"/>
            </w:tcBorders>
          </w:tcPr>
          <w:p>
            <w:pPr>
              <w:spacing w:after="0"/>
              <w:rPr>
                <w:sz w:val="23"/>
                <w:szCs w:val="23"/>
                <w:color w:val="auto"/>
              </w:rPr>
            </w:pPr>
          </w:p>
        </w:tc>
        <w:tc>
          <w:tcPr>
            <w:tcW w:w="980" w:type="dxa"/>
            <w:vAlign w:val="bottom"/>
            <w:tcBorders>
              <w:bottom w:val="single" w:sz="8" w:color="auto"/>
              <w:right w:val="single" w:sz="8" w:color="auto"/>
            </w:tcBorders>
          </w:tcPr>
          <w:p>
            <w:pPr>
              <w:jc w:val="center"/>
              <w:ind w:right="170"/>
              <w:spacing w:after="0"/>
              <w:rPr>
                <w:sz w:val="20"/>
                <w:szCs w:val="20"/>
                <w:color w:val="auto"/>
              </w:rPr>
            </w:pPr>
            <w:r>
              <w:rPr>
                <w:rFonts w:ascii="Calibri" w:cs="Calibri" w:eastAsia="Calibri" w:hAnsi="Calibri"/>
                <w:sz w:val="22"/>
                <w:szCs w:val="22"/>
                <w:color w:val="auto"/>
                <w:w w:val="98"/>
              </w:rPr>
              <w:t>19</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w:t>
            </w:r>
          </w:p>
        </w:tc>
        <w:tc>
          <w:tcPr>
            <w:tcW w:w="11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40" w:type="dxa"/>
            <w:vAlign w:val="bottom"/>
            <w:tcBorders>
              <w:bottom w:val="single" w:sz="8" w:color="auto"/>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8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20" w:type="dxa"/>
            <w:vAlign w:val="bottom"/>
            <w:tcBorders>
              <w:bottom w:val="single" w:sz="8" w:color="auto"/>
              <w:right w:val="single" w:sz="8" w:color="A6A6A6"/>
            </w:tcBorders>
            <w:shd w:val="clear" w:color="auto" w:fill="A6A6A6"/>
          </w:tcPr>
          <w:p>
            <w:pPr>
              <w:spacing w:after="0"/>
              <w:rPr>
                <w:sz w:val="22"/>
                <w:szCs w:val="22"/>
                <w:color w:val="auto"/>
              </w:rPr>
            </w:pPr>
          </w:p>
        </w:tc>
        <w:tc>
          <w:tcPr>
            <w:tcW w:w="1060" w:type="dxa"/>
            <w:vAlign w:val="bottom"/>
            <w:tcBorders>
              <w:bottom w:val="single" w:sz="8" w:color="auto"/>
              <w:right w:val="single" w:sz="8" w:color="A6A6A6"/>
            </w:tcBorders>
            <w:shd w:val="clear" w:color="auto" w:fill="A6A6A6"/>
          </w:tcPr>
          <w:p>
            <w:pPr>
              <w:spacing w:after="0"/>
              <w:rPr>
                <w:sz w:val="22"/>
                <w:szCs w:val="22"/>
                <w:color w:val="auto"/>
              </w:rPr>
            </w:pPr>
          </w:p>
        </w:tc>
        <w:tc>
          <w:tcPr>
            <w:tcW w:w="208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tcPr>
          <w:p>
            <w:pPr>
              <w:spacing w:after="0" w:line="253" w:lineRule="exact"/>
              <w:rPr>
                <w:sz w:val="20"/>
                <w:szCs w:val="20"/>
                <w:color w:val="auto"/>
              </w:rPr>
            </w:pPr>
            <w:r>
              <w:rPr>
                <w:rFonts w:ascii="Calibri" w:cs="Calibri" w:eastAsia="Calibri" w:hAnsi="Calibri"/>
                <w:sz w:val="22"/>
                <w:szCs w:val="22"/>
                <w:color w:val="auto"/>
              </w:rPr>
              <w:t>United States of</w:t>
            </w:r>
          </w:p>
        </w:tc>
        <w:tc>
          <w:tcPr>
            <w:tcW w:w="280" w:type="dxa"/>
            <w:vAlign w:val="bottom"/>
          </w:tcPr>
          <w:p>
            <w:pPr>
              <w:spacing w:after="0"/>
              <w:rPr>
                <w:sz w:val="22"/>
                <w:szCs w:val="22"/>
                <w:color w:val="auto"/>
              </w:rPr>
            </w:pPr>
          </w:p>
        </w:tc>
        <w:tc>
          <w:tcPr>
            <w:tcW w:w="98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120" w:type="dxa"/>
            <w:vAlign w:val="bottom"/>
            <w:tcBorders>
              <w:right w:val="single" w:sz="8" w:color="auto"/>
            </w:tcBorders>
          </w:tcPr>
          <w:p>
            <w:pPr>
              <w:spacing w:after="0"/>
              <w:rPr>
                <w:sz w:val="22"/>
                <w:szCs w:val="22"/>
                <w:color w:val="auto"/>
              </w:rPr>
            </w:pPr>
          </w:p>
        </w:tc>
        <w:tc>
          <w:tcPr>
            <w:tcW w:w="1060" w:type="dxa"/>
            <w:vAlign w:val="bottom"/>
            <w:tcBorders>
              <w:right w:val="single" w:sz="8" w:color="auto"/>
            </w:tcBorders>
          </w:tcPr>
          <w:p>
            <w:pPr>
              <w:spacing w:after="0"/>
              <w:rPr>
                <w:sz w:val="22"/>
                <w:szCs w:val="22"/>
                <w:color w:val="auto"/>
              </w:rPr>
            </w:pPr>
          </w:p>
        </w:tc>
        <w:tc>
          <w:tcPr>
            <w:tcW w:w="2080" w:type="dxa"/>
            <w:vAlign w:val="bottom"/>
            <w:tcBorders>
              <w:right w:val="single" w:sz="8" w:color="auto"/>
            </w:tcBorders>
          </w:tcPr>
          <w:p>
            <w:pPr>
              <w:spacing w:after="0"/>
              <w:rPr>
                <w:sz w:val="22"/>
                <w:szCs w:val="22"/>
                <w:color w:val="auto"/>
              </w:rPr>
            </w:pPr>
          </w:p>
        </w:tc>
        <w:tc>
          <w:tcPr>
            <w:tcW w:w="13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2"/>
        </w:trPr>
        <w:tc>
          <w:tcPr>
            <w:tcW w:w="120" w:type="dxa"/>
            <w:vAlign w:val="bottom"/>
            <w:tcBorders>
              <w:left w:val="single" w:sz="8" w:color="auto"/>
              <w:bottom w:val="single" w:sz="8" w:color="auto"/>
            </w:tcBorders>
          </w:tcPr>
          <w:p>
            <w:pPr>
              <w:spacing w:after="0"/>
              <w:rPr>
                <w:sz w:val="23"/>
                <w:szCs w:val="23"/>
                <w:color w:val="auto"/>
              </w:rPr>
            </w:pPr>
          </w:p>
        </w:tc>
        <w:tc>
          <w:tcPr>
            <w:tcW w:w="196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280" w:type="dxa"/>
            <w:vAlign w:val="bottom"/>
            <w:tcBorders>
              <w:bottom w:val="single" w:sz="8" w:color="auto"/>
            </w:tcBorders>
          </w:tcPr>
          <w:p>
            <w:pPr>
              <w:spacing w:after="0"/>
              <w:rPr>
                <w:sz w:val="23"/>
                <w:szCs w:val="23"/>
                <w:color w:val="auto"/>
              </w:rPr>
            </w:pPr>
          </w:p>
        </w:tc>
        <w:tc>
          <w:tcPr>
            <w:tcW w:w="980" w:type="dxa"/>
            <w:vAlign w:val="bottom"/>
            <w:tcBorders>
              <w:bottom w:val="single" w:sz="8" w:color="auto"/>
              <w:right w:val="single" w:sz="8" w:color="auto"/>
            </w:tcBorders>
          </w:tcPr>
          <w:p>
            <w:pPr>
              <w:jc w:val="center"/>
              <w:ind w:right="190"/>
              <w:spacing w:after="0"/>
              <w:rPr>
                <w:sz w:val="20"/>
                <w:szCs w:val="20"/>
                <w:color w:val="auto"/>
              </w:rPr>
            </w:pPr>
            <w:r>
              <w:rPr>
                <w:rFonts w:ascii="Calibri" w:cs="Calibri" w:eastAsia="Calibri" w:hAnsi="Calibri"/>
                <w:sz w:val="22"/>
                <w:szCs w:val="22"/>
                <w:color w:val="auto"/>
                <w:w w:val="95"/>
              </w:rPr>
              <w:t>213</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1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11</w:t>
            </w:r>
          </w:p>
        </w:tc>
        <w:tc>
          <w:tcPr>
            <w:tcW w:w="10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Canada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62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5</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Brazil</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25</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8" w:lineRule="exact"/>
              <w:rPr>
                <w:sz w:val="20"/>
                <w:szCs w:val="20"/>
                <w:color w:val="auto"/>
              </w:rPr>
            </w:pPr>
            <w:r>
              <w:rPr>
                <w:rFonts w:ascii="Calibri" w:cs="Calibri" w:eastAsia="Calibri" w:hAnsi="Calibri"/>
                <w:sz w:val="22"/>
                <w:szCs w:val="22"/>
                <w:color w:val="auto"/>
              </w:rPr>
              <w:t>Ecuador</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8" w:lineRule="exact"/>
              <w:rPr>
                <w:sz w:val="20"/>
                <w:szCs w:val="20"/>
                <w:color w:val="auto"/>
              </w:rPr>
            </w:pPr>
            <w:r>
              <w:rPr>
                <w:rFonts w:ascii="Calibri" w:cs="Calibri" w:eastAsia="Calibri" w:hAnsi="Calibri"/>
                <w:sz w:val="22"/>
                <w:szCs w:val="22"/>
                <w:color w:val="auto"/>
                <w:w w:val="98"/>
              </w:rPr>
              <w:t>15</w:t>
            </w:r>
          </w:p>
        </w:tc>
        <w:tc>
          <w:tcPr>
            <w:tcW w:w="12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1</w:t>
            </w:r>
          </w:p>
        </w:tc>
        <w:tc>
          <w:tcPr>
            <w:tcW w:w="112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Argentina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Chile</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70"/>
              <w:spacing w:after="0" w:line="256" w:lineRule="exact"/>
              <w:rPr>
                <w:sz w:val="20"/>
                <w:szCs w:val="20"/>
                <w:color w:val="auto"/>
              </w:rPr>
            </w:pPr>
            <w:r>
              <w:rPr>
                <w:rFonts w:ascii="Calibri" w:cs="Calibri" w:eastAsia="Calibri" w:hAnsi="Calibri"/>
                <w:sz w:val="22"/>
                <w:szCs w:val="22"/>
                <w:color w:val="auto"/>
                <w:w w:val="98"/>
              </w:rPr>
              <w:t>10</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5</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Costa Rica</w:t>
            </w:r>
          </w:p>
        </w:tc>
        <w:tc>
          <w:tcPr>
            <w:tcW w:w="280" w:type="dxa"/>
            <w:vAlign w:val="bottom"/>
            <w:tcBorders>
              <w:bottom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jc w:val="center"/>
              <w:ind w:right="190"/>
              <w:spacing w:after="0" w:line="256" w:lineRule="exact"/>
              <w:rPr>
                <w:sz w:val="20"/>
                <w:szCs w:val="20"/>
                <w:color w:val="auto"/>
              </w:rPr>
            </w:pPr>
            <w:r>
              <w:rPr>
                <w:rFonts w:ascii="Calibri" w:cs="Calibri" w:eastAsia="Calibri" w:hAnsi="Calibri"/>
                <w:sz w:val="22"/>
                <w:szCs w:val="22"/>
                <w:color w:val="auto"/>
              </w:rPr>
              <w:t>9</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12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880" w:right="911" w:bottom="640" w:gutter="0" w:footer="0" w:header="0"/>
        </w:sectPr>
      </w:pPr>
    </w:p>
    <w:bookmarkStart w:id="5" w:name="page6"/>
    <w:bookmarkEnd w:id="5"/>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208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color w:val="auto"/>
              </w:rPr>
              <w:t>Mexico</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7</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1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08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20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Imported cases only</w:t>
            </w:r>
          </w:p>
        </w:tc>
        <w:tc>
          <w:tcPr>
            <w:tcW w:w="1440" w:type="dxa"/>
            <w:vAlign w:val="bottom"/>
            <w:tcBorders>
              <w:top w:val="single" w:sz="8" w:color="auto"/>
              <w:bottom w:val="single" w:sz="8" w:color="auto"/>
              <w:right w:val="single" w:sz="8" w:color="auto"/>
            </w:tcBorders>
          </w:tcPr>
          <w:p>
            <w:pPr>
              <w:jc w:val="right"/>
              <w:ind w:right="570"/>
              <w:spacing w:after="0"/>
              <w:rPr>
                <w:sz w:val="20"/>
                <w:szCs w:val="20"/>
                <w:color w:val="auto"/>
              </w:rPr>
            </w:pPr>
            <w:r>
              <w:rPr>
                <w:rFonts w:ascii="Calibri" w:cs="Calibri" w:eastAsia="Calibri" w:hAnsi="Calibri"/>
                <w:sz w:val="22"/>
                <w:szCs w:val="22"/>
                <w:color w:val="auto"/>
              </w:rPr>
              <w:t>1</w:t>
            </w:r>
          </w:p>
        </w:tc>
      </w:tr>
      <w:tr>
        <w:trPr>
          <w:trHeight w:val="258"/>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Peru</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6</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2</w:t>
            </w:r>
          </w:p>
        </w:tc>
      </w:tr>
      <w:tr>
        <w:trPr>
          <w:trHeight w:val="259"/>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Colombia</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2</w:t>
            </w:r>
          </w:p>
        </w:tc>
      </w:tr>
      <w:tr>
        <w:trPr>
          <w:trHeight w:val="259"/>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Dominican Republic</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7</w:t>
            </w:r>
          </w:p>
        </w:tc>
      </w:tr>
      <w:tr>
        <w:trPr>
          <w:trHeight w:val="258"/>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Paraguay</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0</w:t>
            </w:r>
          </w:p>
        </w:tc>
      </w:tr>
      <w:tr>
        <w:trPr>
          <w:trHeight w:val="261"/>
        </w:trPr>
        <w:tc>
          <w:tcPr>
            <w:tcW w:w="2080" w:type="dxa"/>
            <w:vAlign w:val="bottom"/>
            <w:tcBorders>
              <w:left w:val="single" w:sz="8" w:color="auto"/>
              <w:bottom w:val="single" w:sz="8" w:color="auto"/>
              <w:right w:val="single" w:sz="8" w:color="BFBFBF"/>
            </w:tcBorders>
            <w:shd w:val="clear" w:color="auto" w:fill="BFBFBF"/>
          </w:tcPr>
          <w:p>
            <w:pPr>
              <w:ind w:left="120"/>
              <w:spacing w:after="0" w:line="261" w:lineRule="exact"/>
              <w:rPr>
                <w:sz w:val="20"/>
                <w:szCs w:val="20"/>
                <w:color w:val="auto"/>
              </w:rPr>
            </w:pPr>
            <w:r>
              <w:rPr>
                <w:rFonts w:ascii="Calibri" w:cs="Calibri" w:eastAsia="Calibri" w:hAnsi="Calibri"/>
                <w:sz w:val="22"/>
                <w:szCs w:val="22"/>
                <w:b w:val="1"/>
                <w:bCs w:val="1"/>
                <w:color w:val="FFFFFF"/>
              </w:rPr>
              <w:t>Territories</w:t>
            </w:r>
            <w:r>
              <w:rPr>
                <w:rFonts w:ascii="Calibri" w:cs="Calibri" w:eastAsia="Calibri" w:hAnsi="Calibri"/>
                <w:sz w:val="27"/>
                <w:szCs w:val="27"/>
                <w:b w:val="1"/>
                <w:bCs w:val="1"/>
                <w:color w:val="FFFFFF"/>
                <w:vertAlign w:val="superscript"/>
              </w:rPr>
              <w:t>**</w:t>
            </w: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260" w:type="dxa"/>
            <w:vAlign w:val="bottom"/>
            <w:tcBorders>
              <w:bottom w:val="single" w:sz="8" w:color="auto"/>
              <w:right w:val="single" w:sz="8" w:color="BFBFBF"/>
            </w:tcBorders>
            <w:shd w:val="clear" w:color="auto" w:fill="BFBFBF"/>
          </w:tcPr>
          <w:p>
            <w:pPr>
              <w:spacing w:after="0"/>
              <w:rPr>
                <w:sz w:val="22"/>
                <w:szCs w:val="22"/>
                <w:color w:val="auto"/>
              </w:rPr>
            </w:pPr>
          </w:p>
        </w:tc>
        <w:tc>
          <w:tcPr>
            <w:tcW w:w="1100" w:type="dxa"/>
            <w:vAlign w:val="bottom"/>
            <w:tcBorders>
              <w:bottom w:val="single" w:sz="8" w:color="auto"/>
              <w:right w:val="single" w:sz="8" w:color="BFBFBF"/>
            </w:tcBorders>
            <w:shd w:val="clear" w:color="auto" w:fill="BFBFBF"/>
          </w:tcPr>
          <w:p>
            <w:pPr>
              <w:spacing w:after="0"/>
              <w:rPr>
                <w:sz w:val="22"/>
                <w:szCs w:val="22"/>
                <w:color w:val="auto"/>
              </w:rPr>
            </w:pPr>
          </w:p>
        </w:tc>
        <w:tc>
          <w:tcPr>
            <w:tcW w:w="1080" w:type="dxa"/>
            <w:vAlign w:val="bottom"/>
            <w:tcBorders>
              <w:bottom w:val="single" w:sz="8" w:color="auto"/>
              <w:right w:val="single" w:sz="8" w:color="BFBFBF"/>
            </w:tcBorders>
            <w:shd w:val="clear" w:color="auto" w:fill="BFBFBF"/>
          </w:tcPr>
          <w:p>
            <w:pPr>
              <w:spacing w:after="0"/>
              <w:rPr>
                <w:sz w:val="22"/>
                <w:szCs w:val="22"/>
                <w:color w:val="auto"/>
              </w:rPr>
            </w:pPr>
          </w:p>
        </w:tc>
        <w:tc>
          <w:tcPr>
            <w:tcW w:w="2060" w:type="dxa"/>
            <w:vAlign w:val="bottom"/>
            <w:tcBorders>
              <w:bottom w:val="single" w:sz="8" w:color="auto"/>
              <w:right w:val="single" w:sz="8" w:color="BFBFBF"/>
            </w:tcBorders>
            <w:shd w:val="clear" w:color="auto" w:fill="BFBFBF"/>
          </w:tcPr>
          <w:p>
            <w:pPr>
              <w:spacing w:after="0"/>
              <w:rPr>
                <w:sz w:val="22"/>
                <w:szCs w:val="22"/>
                <w:color w:val="auto"/>
              </w:rPr>
            </w:pPr>
          </w:p>
        </w:tc>
        <w:tc>
          <w:tcPr>
            <w:tcW w:w="1440" w:type="dxa"/>
            <w:vAlign w:val="bottom"/>
            <w:tcBorders>
              <w:bottom w:val="single" w:sz="8" w:color="auto"/>
              <w:right w:val="single" w:sz="8" w:color="auto"/>
            </w:tcBorders>
            <w:shd w:val="clear" w:color="auto" w:fill="BFBFBF"/>
          </w:tcPr>
          <w:p>
            <w:pPr>
              <w:spacing w:after="0"/>
              <w:rPr>
                <w:sz w:val="22"/>
                <w:szCs w:val="22"/>
                <w:color w:val="auto"/>
              </w:rPr>
            </w:pPr>
          </w:p>
        </w:tc>
      </w:tr>
      <w:tr>
        <w:trPr>
          <w:trHeight w:val="255"/>
        </w:trPr>
        <w:tc>
          <w:tcPr>
            <w:tcW w:w="2080" w:type="dxa"/>
            <w:vAlign w:val="bottom"/>
            <w:tcBorders>
              <w:left w:val="single" w:sz="8" w:color="auto"/>
              <w:bottom w:val="single" w:sz="8" w:color="auto"/>
              <w:right w:val="single" w:sz="8" w:color="auto"/>
            </w:tcBorders>
          </w:tcPr>
          <w:p>
            <w:pPr>
              <w:ind w:left="120"/>
              <w:spacing w:after="0" w:line="252" w:lineRule="exact"/>
              <w:rPr>
                <w:sz w:val="20"/>
                <w:szCs w:val="20"/>
                <w:color w:val="auto"/>
              </w:rPr>
            </w:pPr>
            <w:r>
              <w:rPr>
                <w:rFonts w:ascii="Calibri" w:cs="Calibri" w:eastAsia="Calibri" w:hAnsi="Calibri"/>
                <w:sz w:val="22"/>
                <w:szCs w:val="22"/>
                <w:color w:val="auto"/>
              </w:rPr>
              <w:t>French Guiana</w:t>
            </w:r>
          </w:p>
        </w:tc>
        <w:tc>
          <w:tcPr>
            <w:tcW w:w="12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5</w:t>
            </w:r>
          </w:p>
        </w:tc>
        <w:tc>
          <w:tcPr>
            <w:tcW w:w="12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2"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2" w:lineRule="exact"/>
              <w:rPr>
                <w:sz w:val="20"/>
                <w:szCs w:val="20"/>
                <w:color w:val="auto"/>
              </w:rPr>
            </w:pPr>
            <w:r>
              <w:rPr>
                <w:rFonts w:ascii="Calibri" w:cs="Calibri" w:eastAsia="Calibri" w:hAnsi="Calibri"/>
                <w:sz w:val="22"/>
                <w:szCs w:val="22"/>
                <w:color w:val="auto"/>
              </w:rPr>
              <w:t>1</w:t>
            </w:r>
          </w:p>
        </w:tc>
      </w:tr>
      <w:tr>
        <w:trPr>
          <w:trHeight w:val="261"/>
        </w:trPr>
        <w:tc>
          <w:tcPr>
            <w:tcW w:w="2080" w:type="dxa"/>
            <w:vAlign w:val="bottom"/>
            <w:tcBorders>
              <w:left w:val="single" w:sz="8" w:color="auto"/>
              <w:bottom w:val="single" w:sz="8" w:color="auto"/>
              <w:right w:val="single" w:sz="8" w:color="auto"/>
            </w:tcBorders>
          </w:tcPr>
          <w:p>
            <w:pPr>
              <w:ind w:left="120"/>
              <w:spacing w:after="0" w:line="258" w:lineRule="exact"/>
              <w:rPr>
                <w:sz w:val="20"/>
                <w:szCs w:val="20"/>
                <w:color w:val="auto"/>
              </w:rPr>
            </w:pPr>
            <w:r>
              <w:rPr>
                <w:rFonts w:ascii="Calibri" w:cs="Calibri" w:eastAsia="Calibri" w:hAnsi="Calibri"/>
                <w:sz w:val="22"/>
                <w:szCs w:val="22"/>
                <w:color w:val="auto"/>
              </w:rPr>
              <w:t>Martinique</w:t>
            </w:r>
          </w:p>
        </w:tc>
        <w:tc>
          <w:tcPr>
            <w:tcW w:w="12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8" w:lineRule="exact"/>
              <w:rPr>
                <w:sz w:val="20"/>
                <w:szCs w:val="20"/>
                <w:color w:val="auto"/>
              </w:rPr>
            </w:pPr>
            <w:r>
              <w:rPr>
                <w:rFonts w:ascii="Calibri" w:cs="Calibri" w:eastAsia="Calibri" w:hAnsi="Calibri"/>
                <w:sz w:val="22"/>
                <w:szCs w:val="22"/>
                <w:color w:val="auto"/>
              </w:rPr>
              <w:t>1</w:t>
            </w:r>
          </w:p>
        </w:tc>
      </w:tr>
      <w:tr>
        <w:trPr>
          <w:trHeight w:val="258"/>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Saint Martin</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6</w:t>
            </w:r>
          </w:p>
        </w:tc>
      </w:tr>
      <w:tr>
        <w:trPr>
          <w:trHeight w:val="258"/>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Saint Barthelemy</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Under investigation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6</w:t>
            </w:r>
          </w:p>
        </w:tc>
      </w:tr>
      <w:tr>
        <w:trPr>
          <w:trHeight w:val="258"/>
        </w:trPr>
        <w:tc>
          <w:tcPr>
            <w:tcW w:w="2080" w:type="dxa"/>
            <w:vAlign w:val="bottom"/>
            <w:tcBorders>
              <w:left w:val="single" w:sz="8" w:color="auto"/>
              <w:bottom w:val="single" w:sz="8" w:color="auto"/>
              <w:right w:val="single" w:sz="8" w:color="A6A6A6"/>
            </w:tcBorders>
            <w:shd w:val="clear" w:color="auto" w:fill="A6A6A6"/>
          </w:tcPr>
          <w:p>
            <w:pPr>
              <w:ind w:left="120"/>
              <w:spacing w:after="0" w:line="256" w:lineRule="exact"/>
              <w:rPr>
                <w:sz w:val="20"/>
                <w:szCs w:val="20"/>
                <w:color w:val="auto"/>
              </w:rPr>
            </w:pPr>
            <w:r>
              <w:rPr>
                <w:rFonts w:ascii="Calibri" w:cs="Calibri" w:eastAsia="Calibri" w:hAnsi="Calibri"/>
                <w:sz w:val="22"/>
                <w:szCs w:val="22"/>
                <w:b w:val="1"/>
                <w:bCs w:val="1"/>
                <w:color w:val="FFFFFF"/>
              </w:rPr>
              <w:t>African Region</w:t>
            </w: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260" w:type="dxa"/>
            <w:vAlign w:val="bottom"/>
            <w:tcBorders>
              <w:bottom w:val="single" w:sz="8" w:color="auto"/>
              <w:right w:val="single" w:sz="8" w:color="A6A6A6"/>
            </w:tcBorders>
            <w:shd w:val="clear" w:color="auto" w:fill="A6A6A6"/>
          </w:tcPr>
          <w:p>
            <w:pPr>
              <w:spacing w:after="0"/>
              <w:rPr>
                <w:sz w:val="22"/>
                <w:szCs w:val="22"/>
                <w:color w:val="auto"/>
              </w:rPr>
            </w:pPr>
          </w:p>
        </w:tc>
        <w:tc>
          <w:tcPr>
            <w:tcW w:w="1100" w:type="dxa"/>
            <w:vAlign w:val="bottom"/>
            <w:tcBorders>
              <w:bottom w:val="single" w:sz="8" w:color="auto"/>
              <w:right w:val="single" w:sz="8" w:color="A6A6A6"/>
            </w:tcBorders>
            <w:shd w:val="clear" w:color="auto" w:fill="A6A6A6"/>
          </w:tcPr>
          <w:p>
            <w:pPr>
              <w:spacing w:after="0"/>
              <w:rPr>
                <w:sz w:val="22"/>
                <w:szCs w:val="22"/>
                <w:color w:val="auto"/>
              </w:rPr>
            </w:pPr>
          </w:p>
        </w:tc>
        <w:tc>
          <w:tcPr>
            <w:tcW w:w="1080" w:type="dxa"/>
            <w:vAlign w:val="bottom"/>
            <w:tcBorders>
              <w:bottom w:val="single" w:sz="8" w:color="auto"/>
              <w:right w:val="single" w:sz="8" w:color="A6A6A6"/>
            </w:tcBorders>
            <w:shd w:val="clear" w:color="auto" w:fill="A6A6A6"/>
          </w:tcPr>
          <w:p>
            <w:pPr>
              <w:spacing w:after="0"/>
              <w:rPr>
                <w:sz w:val="22"/>
                <w:szCs w:val="22"/>
                <w:color w:val="auto"/>
              </w:rPr>
            </w:pPr>
          </w:p>
        </w:tc>
        <w:tc>
          <w:tcPr>
            <w:tcW w:w="2060" w:type="dxa"/>
            <w:vAlign w:val="bottom"/>
            <w:tcBorders>
              <w:bottom w:val="single" w:sz="8" w:color="auto"/>
              <w:right w:val="single" w:sz="8" w:color="A6A6A6"/>
            </w:tcBorders>
            <w:shd w:val="clear" w:color="auto" w:fill="A6A6A6"/>
          </w:tcPr>
          <w:p>
            <w:pPr>
              <w:spacing w:after="0"/>
              <w:rPr>
                <w:sz w:val="22"/>
                <w:szCs w:val="22"/>
                <w:color w:val="auto"/>
              </w:rPr>
            </w:pPr>
          </w:p>
        </w:tc>
        <w:tc>
          <w:tcPr>
            <w:tcW w:w="1440" w:type="dxa"/>
            <w:vAlign w:val="bottom"/>
            <w:tcBorders>
              <w:bottom w:val="single" w:sz="8" w:color="auto"/>
              <w:right w:val="single" w:sz="8" w:color="auto"/>
            </w:tcBorders>
            <w:shd w:val="clear" w:color="auto" w:fill="A6A6A6"/>
          </w:tcPr>
          <w:p>
            <w:pPr>
              <w:spacing w:after="0"/>
              <w:rPr>
                <w:sz w:val="22"/>
                <w:szCs w:val="22"/>
                <w:color w:val="auto"/>
              </w:rPr>
            </w:pPr>
          </w:p>
        </w:tc>
      </w:tr>
      <w:tr>
        <w:trPr>
          <w:trHeight w:val="258"/>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Algeria</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20</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0</w:t>
            </w:r>
          </w:p>
        </w:tc>
      </w:tr>
      <w:tr>
        <w:trPr>
          <w:trHeight w:val="258"/>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Senegal</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4</w:t>
            </w:r>
          </w:p>
        </w:tc>
      </w:tr>
      <w:tr>
        <w:trPr>
          <w:trHeight w:val="258"/>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South Africa</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0</w:t>
            </w:r>
          </w:p>
        </w:tc>
      </w:tr>
      <w:tr>
        <w:trPr>
          <w:trHeight w:val="259"/>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Cameroon</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Local transmission</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2</w:t>
            </w:r>
          </w:p>
        </w:tc>
      </w:tr>
      <w:tr>
        <w:trPr>
          <w:trHeight w:val="259"/>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Nigeria</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2</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0</w:t>
            </w:r>
          </w:p>
        </w:tc>
      </w:tr>
      <w:tr>
        <w:trPr>
          <w:trHeight w:val="258"/>
        </w:trPr>
        <w:tc>
          <w:tcPr>
            <w:tcW w:w="2080" w:type="dxa"/>
            <w:vAlign w:val="bottom"/>
            <w:tcBorders>
              <w:left w:val="single" w:sz="8" w:color="auto"/>
              <w:bottom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Togo</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10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08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2060" w:type="dxa"/>
            <w:vAlign w:val="bottom"/>
            <w:tcBorders>
              <w:bottom w:val="single" w:sz="8" w:color="auto"/>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1440" w:type="dxa"/>
            <w:vAlign w:val="bottom"/>
            <w:tcBorders>
              <w:bottom w:val="single" w:sz="8" w:color="auto"/>
              <w:right w:val="single" w:sz="8" w:color="auto"/>
            </w:tcBorders>
          </w:tcPr>
          <w:p>
            <w:pPr>
              <w:jc w:val="right"/>
              <w:ind w:right="570"/>
              <w:spacing w:after="0" w:line="256" w:lineRule="exact"/>
              <w:rPr>
                <w:sz w:val="20"/>
                <w:szCs w:val="20"/>
                <w:color w:val="auto"/>
              </w:rPr>
            </w:pPr>
            <w:r>
              <w:rPr>
                <w:rFonts w:ascii="Calibri" w:cs="Calibri" w:eastAsia="Calibri" w:hAnsi="Calibri"/>
                <w:sz w:val="22"/>
                <w:szCs w:val="22"/>
                <w:color w:val="auto"/>
              </w:rPr>
              <w:t>2</w:t>
            </w:r>
          </w:p>
        </w:tc>
      </w:tr>
      <w:tr>
        <w:trPr>
          <w:trHeight w:val="255"/>
        </w:trPr>
        <w:tc>
          <w:tcPr>
            <w:tcW w:w="2080" w:type="dxa"/>
            <w:vAlign w:val="bottom"/>
            <w:tcBorders>
              <w:left w:val="single" w:sz="8" w:color="auto"/>
              <w:right w:val="single" w:sz="8" w:color="auto"/>
            </w:tcBorders>
            <w:shd w:val="clear" w:color="auto" w:fill="4F81BD"/>
          </w:tcPr>
          <w:p>
            <w:pPr>
              <w:ind w:left="120"/>
              <w:spacing w:after="0" w:line="256" w:lineRule="exact"/>
              <w:rPr>
                <w:sz w:val="20"/>
                <w:szCs w:val="20"/>
                <w:color w:val="auto"/>
              </w:rPr>
            </w:pPr>
            <w:r>
              <w:rPr>
                <w:rFonts w:ascii="Calibri" w:cs="Calibri" w:eastAsia="Calibri" w:hAnsi="Calibri"/>
                <w:sz w:val="22"/>
                <w:szCs w:val="22"/>
                <w:b w:val="1"/>
                <w:bCs w:val="1"/>
                <w:color w:val="FFFFFF"/>
              </w:rPr>
              <w:t>Subtotal for all</w:t>
            </w:r>
          </w:p>
        </w:tc>
        <w:tc>
          <w:tcPr>
            <w:tcW w:w="1260" w:type="dxa"/>
            <w:vAlign w:val="bottom"/>
            <w:tcBorders>
              <w:right w:val="single" w:sz="8" w:color="auto"/>
            </w:tcBorders>
            <w:shd w:val="clear" w:color="auto" w:fill="4F81BD"/>
          </w:tcPr>
          <w:p>
            <w:pPr>
              <w:spacing w:after="0"/>
              <w:rPr>
                <w:sz w:val="22"/>
                <w:szCs w:val="22"/>
                <w:color w:val="auto"/>
              </w:rPr>
            </w:pPr>
          </w:p>
        </w:tc>
        <w:tc>
          <w:tcPr>
            <w:tcW w:w="1260" w:type="dxa"/>
            <w:vAlign w:val="bottom"/>
            <w:tcBorders>
              <w:right w:val="single" w:sz="8" w:color="auto"/>
            </w:tcBorders>
            <w:shd w:val="clear" w:color="auto" w:fill="4F81BD"/>
          </w:tcPr>
          <w:p>
            <w:pPr>
              <w:spacing w:after="0"/>
              <w:rPr>
                <w:sz w:val="22"/>
                <w:szCs w:val="22"/>
                <w:color w:val="auto"/>
              </w:rPr>
            </w:pPr>
          </w:p>
        </w:tc>
        <w:tc>
          <w:tcPr>
            <w:tcW w:w="1100" w:type="dxa"/>
            <w:vAlign w:val="bottom"/>
            <w:tcBorders>
              <w:right w:val="single" w:sz="8" w:color="auto"/>
            </w:tcBorders>
            <w:shd w:val="clear" w:color="auto" w:fill="4F81BD"/>
          </w:tcPr>
          <w:p>
            <w:pPr>
              <w:spacing w:after="0"/>
              <w:rPr>
                <w:sz w:val="22"/>
                <w:szCs w:val="22"/>
                <w:color w:val="auto"/>
              </w:rPr>
            </w:pPr>
          </w:p>
        </w:tc>
        <w:tc>
          <w:tcPr>
            <w:tcW w:w="1080" w:type="dxa"/>
            <w:vAlign w:val="bottom"/>
            <w:tcBorders>
              <w:right w:val="single" w:sz="8" w:color="auto"/>
            </w:tcBorders>
            <w:shd w:val="clear" w:color="auto" w:fill="4F81BD"/>
          </w:tcPr>
          <w:p>
            <w:pPr>
              <w:spacing w:after="0"/>
              <w:rPr>
                <w:sz w:val="22"/>
                <w:szCs w:val="22"/>
                <w:color w:val="auto"/>
              </w:rPr>
            </w:pPr>
          </w:p>
        </w:tc>
        <w:tc>
          <w:tcPr>
            <w:tcW w:w="2060" w:type="dxa"/>
            <w:vAlign w:val="bottom"/>
            <w:tcBorders>
              <w:right w:val="single" w:sz="8" w:color="auto"/>
            </w:tcBorders>
            <w:shd w:val="clear" w:color="auto" w:fill="4F81BD"/>
          </w:tcPr>
          <w:p>
            <w:pPr>
              <w:spacing w:after="0"/>
              <w:rPr>
                <w:sz w:val="22"/>
                <w:szCs w:val="22"/>
                <w:color w:val="auto"/>
              </w:rPr>
            </w:pPr>
          </w:p>
        </w:tc>
        <w:tc>
          <w:tcPr>
            <w:tcW w:w="1440" w:type="dxa"/>
            <w:vAlign w:val="bottom"/>
            <w:tcBorders>
              <w:right w:val="single" w:sz="8" w:color="auto"/>
            </w:tcBorders>
            <w:shd w:val="clear" w:color="auto" w:fill="4F81BD"/>
          </w:tcPr>
          <w:p>
            <w:pPr>
              <w:spacing w:after="0"/>
              <w:rPr>
                <w:sz w:val="22"/>
                <w:szCs w:val="22"/>
                <w:color w:val="auto"/>
              </w:rPr>
            </w:pPr>
          </w:p>
        </w:tc>
      </w:tr>
      <w:tr>
        <w:trPr>
          <w:trHeight w:val="272"/>
        </w:trPr>
        <w:tc>
          <w:tcPr>
            <w:tcW w:w="2080" w:type="dxa"/>
            <w:vAlign w:val="bottom"/>
            <w:tcBorders>
              <w:left w:val="single" w:sz="8" w:color="auto"/>
              <w:bottom w:val="single" w:sz="8" w:color="auto"/>
              <w:right w:val="single" w:sz="8" w:color="auto"/>
            </w:tcBorders>
            <w:shd w:val="clear" w:color="auto" w:fill="4F81BD"/>
          </w:tcPr>
          <w:p>
            <w:pPr>
              <w:ind w:left="120"/>
              <w:spacing w:after="0"/>
              <w:rPr>
                <w:sz w:val="20"/>
                <w:szCs w:val="20"/>
                <w:color w:val="auto"/>
              </w:rPr>
            </w:pPr>
            <w:r>
              <w:rPr>
                <w:rFonts w:ascii="Calibri" w:cs="Calibri" w:eastAsia="Calibri" w:hAnsi="Calibri"/>
                <w:sz w:val="22"/>
                <w:szCs w:val="22"/>
                <w:b w:val="1"/>
                <w:bCs w:val="1"/>
                <w:color w:val="FFFFFF"/>
              </w:rPr>
              <w:t>regions</w:t>
            </w:r>
          </w:p>
        </w:tc>
        <w:tc>
          <w:tcPr>
            <w:tcW w:w="1260" w:type="dxa"/>
            <w:vAlign w:val="bottom"/>
            <w:tcBorders>
              <w:bottom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27 977</w:t>
            </w:r>
          </w:p>
        </w:tc>
        <w:tc>
          <w:tcPr>
            <w:tcW w:w="1260" w:type="dxa"/>
            <w:vAlign w:val="bottom"/>
            <w:tcBorders>
              <w:bottom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3948</w:t>
            </w:r>
          </w:p>
        </w:tc>
        <w:tc>
          <w:tcPr>
            <w:tcW w:w="1100" w:type="dxa"/>
            <w:vAlign w:val="bottom"/>
            <w:tcBorders>
              <w:bottom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679</w:t>
            </w:r>
          </w:p>
        </w:tc>
        <w:tc>
          <w:tcPr>
            <w:tcW w:w="1080" w:type="dxa"/>
            <w:vAlign w:val="bottom"/>
            <w:tcBorders>
              <w:bottom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202</w:t>
            </w:r>
          </w:p>
        </w:tc>
        <w:tc>
          <w:tcPr>
            <w:tcW w:w="2060" w:type="dxa"/>
            <w:vAlign w:val="bottom"/>
            <w:tcBorders>
              <w:bottom w:val="single" w:sz="8" w:color="auto"/>
              <w:right w:val="single" w:sz="8" w:color="auto"/>
            </w:tcBorders>
            <w:shd w:val="clear" w:color="auto" w:fill="4F81BD"/>
          </w:tcPr>
          <w:p>
            <w:pPr>
              <w:spacing w:after="0"/>
              <w:rPr>
                <w:sz w:val="23"/>
                <w:szCs w:val="23"/>
                <w:color w:val="auto"/>
              </w:rPr>
            </w:pPr>
          </w:p>
        </w:tc>
        <w:tc>
          <w:tcPr>
            <w:tcW w:w="1440" w:type="dxa"/>
            <w:vAlign w:val="bottom"/>
            <w:tcBorders>
              <w:bottom w:val="single" w:sz="8" w:color="auto"/>
              <w:right w:val="single" w:sz="8" w:color="auto"/>
            </w:tcBorders>
            <w:shd w:val="clear" w:color="auto" w:fill="4F81BD"/>
          </w:tcPr>
          <w:p>
            <w:pPr>
              <w:spacing w:after="0"/>
              <w:rPr>
                <w:sz w:val="23"/>
                <w:szCs w:val="23"/>
                <w:color w:val="auto"/>
              </w:rPr>
            </w:pPr>
          </w:p>
        </w:tc>
      </w:tr>
      <w:tr>
        <w:trPr>
          <w:trHeight w:val="255"/>
        </w:trPr>
        <w:tc>
          <w:tcPr>
            <w:tcW w:w="2080" w:type="dxa"/>
            <w:vAlign w:val="bottom"/>
            <w:tcBorders>
              <w:left w:val="single" w:sz="8" w:color="auto"/>
              <w:right w:val="single" w:sz="8" w:color="auto"/>
            </w:tcBorders>
          </w:tcPr>
          <w:p>
            <w:pPr>
              <w:ind w:left="120"/>
              <w:spacing w:after="0" w:line="256" w:lineRule="exact"/>
              <w:rPr>
                <w:sz w:val="20"/>
                <w:szCs w:val="20"/>
                <w:color w:val="auto"/>
              </w:rPr>
            </w:pPr>
            <w:r>
              <w:rPr>
                <w:rFonts w:ascii="Calibri" w:cs="Calibri" w:eastAsia="Calibri" w:hAnsi="Calibri"/>
                <w:sz w:val="22"/>
                <w:szCs w:val="22"/>
                <w:color w:val="auto"/>
              </w:rPr>
              <w:t>International</w:t>
            </w:r>
          </w:p>
        </w:tc>
        <w:tc>
          <w:tcPr>
            <w:tcW w:w="126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1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206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r>
      <w:tr>
        <w:trPr>
          <w:trHeight w:val="269"/>
        </w:trPr>
        <w:tc>
          <w:tcPr>
            <w:tcW w:w="208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2"/>
                <w:szCs w:val="22"/>
                <w:color w:val="auto"/>
              </w:rPr>
              <w:t>conveyance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5"/>
              </w:rPr>
              <w:t>696</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11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7</w:t>
            </w:r>
          </w:p>
        </w:tc>
        <w:tc>
          <w:tcPr>
            <w:tcW w:w="108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w:t>
            </w:r>
          </w:p>
        </w:tc>
        <w:tc>
          <w:tcPr>
            <w:tcW w:w="20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Local transmission</w:t>
            </w:r>
          </w:p>
        </w:tc>
        <w:tc>
          <w:tcPr>
            <w:tcW w:w="1440" w:type="dxa"/>
            <w:vAlign w:val="bottom"/>
            <w:tcBorders>
              <w:right w:val="single" w:sz="8" w:color="auto"/>
            </w:tcBorders>
          </w:tcPr>
          <w:p>
            <w:pPr>
              <w:jc w:val="right"/>
              <w:ind w:right="570"/>
              <w:spacing w:after="0"/>
              <w:rPr>
                <w:sz w:val="20"/>
                <w:szCs w:val="20"/>
                <w:color w:val="auto"/>
              </w:rPr>
            </w:pPr>
            <w:r>
              <w:rPr>
                <w:rFonts w:ascii="Calibri" w:cs="Calibri" w:eastAsia="Calibri" w:hAnsi="Calibri"/>
                <w:sz w:val="22"/>
                <w:szCs w:val="22"/>
                <w:color w:val="auto"/>
              </w:rPr>
              <w:t>1</w:t>
            </w:r>
          </w:p>
        </w:tc>
      </w:tr>
      <w:tr>
        <w:trPr>
          <w:trHeight w:val="272"/>
        </w:trPr>
        <w:tc>
          <w:tcPr>
            <w:tcW w:w="2080" w:type="dxa"/>
            <w:vAlign w:val="bottom"/>
            <w:tcBorders>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color w:val="auto"/>
              </w:rPr>
              <w:t>(Diamond Princess)</w:t>
            </w:r>
          </w:p>
        </w:tc>
        <w:tc>
          <w:tcPr>
            <w:tcW w:w="126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spacing w:after="0"/>
              <w:rPr>
                <w:sz w:val="23"/>
                <w:szCs w:val="23"/>
                <w:color w:val="auto"/>
              </w:rPr>
            </w:pPr>
          </w:p>
        </w:tc>
        <w:tc>
          <w:tcPr>
            <w:tcW w:w="1100" w:type="dxa"/>
            <w:vAlign w:val="bottom"/>
            <w:tcBorders>
              <w:bottom w:val="single" w:sz="8" w:color="auto"/>
              <w:right w:val="single" w:sz="8" w:color="auto"/>
            </w:tcBorders>
          </w:tcPr>
          <w:p>
            <w:pPr>
              <w:spacing w:after="0"/>
              <w:rPr>
                <w:sz w:val="23"/>
                <w:szCs w:val="23"/>
                <w:color w:val="auto"/>
              </w:rPr>
            </w:pPr>
          </w:p>
        </w:tc>
        <w:tc>
          <w:tcPr>
            <w:tcW w:w="108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c>
          <w:tcPr>
            <w:tcW w:w="1440" w:type="dxa"/>
            <w:vAlign w:val="bottom"/>
            <w:tcBorders>
              <w:bottom w:val="single" w:sz="8" w:color="auto"/>
              <w:right w:val="single" w:sz="8" w:color="auto"/>
            </w:tcBorders>
          </w:tcPr>
          <w:p>
            <w:pPr>
              <w:spacing w:after="0"/>
              <w:rPr>
                <w:sz w:val="23"/>
                <w:szCs w:val="23"/>
                <w:color w:val="auto"/>
              </w:rPr>
            </w:pPr>
          </w:p>
        </w:tc>
      </w:tr>
      <w:tr>
        <w:trPr>
          <w:trHeight w:val="258"/>
        </w:trPr>
        <w:tc>
          <w:tcPr>
            <w:tcW w:w="2080" w:type="dxa"/>
            <w:vAlign w:val="bottom"/>
            <w:tcBorders>
              <w:left w:val="single" w:sz="8" w:color="auto"/>
              <w:bottom w:val="single" w:sz="8" w:color="auto"/>
              <w:right w:val="single" w:sz="8" w:color="auto"/>
            </w:tcBorders>
            <w:shd w:val="clear" w:color="auto" w:fill="4F81BD"/>
          </w:tcPr>
          <w:p>
            <w:pPr>
              <w:ind w:left="120"/>
              <w:spacing w:after="0" w:line="256" w:lineRule="exact"/>
              <w:rPr>
                <w:sz w:val="20"/>
                <w:szCs w:val="20"/>
                <w:color w:val="auto"/>
              </w:rPr>
            </w:pPr>
            <w:r>
              <w:rPr>
                <w:rFonts w:ascii="Calibri" w:cs="Calibri" w:eastAsia="Calibri" w:hAnsi="Calibri"/>
                <w:sz w:val="22"/>
                <w:szCs w:val="22"/>
                <w:b w:val="1"/>
                <w:bCs w:val="1"/>
                <w:color w:val="FFFFFF"/>
              </w:rPr>
              <w:t>Grand total</w:t>
            </w:r>
          </w:p>
        </w:tc>
        <w:tc>
          <w:tcPr>
            <w:tcW w:w="1260" w:type="dxa"/>
            <w:vAlign w:val="bottom"/>
            <w:tcBorders>
              <w:bottom w:val="single" w:sz="8" w:color="auto"/>
              <w:right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w w:val="98"/>
              </w:rPr>
              <w:t>28 673</w:t>
            </w:r>
          </w:p>
        </w:tc>
        <w:tc>
          <w:tcPr>
            <w:tcW w:w="1260" w:type="dxa"/>
            <w:vAlign w:val="bottom"/>
            <w:tcBorders>
              <w:bottom w:val="single" w:sz="8" w:color="auto"/>
              <w:right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w w:val="98"/>
              </w:rPr>
              <w:t>3948</w:t>
            </w:r>
          </w:p>
        </w:tc>
        <w:tc>
          <w:tcPr>
            <w:tcW w:w="1100" w:type="dxa"/>
            <w:vAlign w:val="bottom"/>
            <w:tcBorders>
              <w:bottom w:val="single" w:sz="8" w:color="auto"/>
              <w:right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rPr>
              <w:t>686</w:t>
            </w:r>
          </w:p>
        </w:tc>
        <w:tc>
          <w:tcPr>
            <w:tcW w:w="1080" w:type="dxa"/>
            <w:vAlign w:val="bottom"/>
            <w:tcBorders>
              <w:bottom w:val="single" w:sz="8" w:color="auto"/>
              <w:right w:val="single" w:sz="8" w:color="auto"/>
            </w:tcBorders>
            <w:shd w:val="clear" w:color="auto" w:fill="4F81BD"/>
          </w:tcPr>
          <w:p>
            <w:pPr>
              <w:jc w:val="center"/>
              <w:spacing w:after="0" w:line="256" w:lineRule="exact"/>
              <w:rPr>
                <w:sz w:val="20"/>
                <w:szCs w:val="20"/>
                <w:color w:val="auto"/>
              </w:rPr>
            </w:pPr>
            <w:r>
              <w:rPr>
                <w:rFonts w:ascii="Calibri" w:cs="Calibri" w:eastAsia="Calibri" w:hAnsi="Calibri"/>
                <w:sz w:val="22"/>
                <w:szCs w:val="22"/>
                <w:b w:val="1"/>
                <w:bCs w:val="1"/>
                <w:color w:val="FFFFFF"/>
              </w:rPr>
              <w:t>202</w:t>
            </w:r>
          </w:p>
        </w:tc>
        <w:tc>
          <w:tcPr>
            <w:tcW w:w="2060" w:type="dxa"/>
            <w:vAlign w:val="bottom"/>
            <w:tcBorders>
              <w:bottom w:val="single" w:sz="8" w:color="auto"/>
              <w:right w:val="single" w:sz="8" w:color="auto"/>
            </w:tcBorders>
            <w:shd w:val="clear" w:color="auto" w:fill="4F81BD"/>
          </w:tcPr>
          <w:p>
            <w:pPr>
              <w:spacing w:after="0"/>
              <w:rPr>
                <w:sz w:val="22"/>
                <w:szCs w:val="22"/>
                <w:color w:val="auto"/>
              </w:rPr>
            </w:pPr>
          </w:p>
        </w:tc>
        <w:tc>
          <w:tcPr>
            <w:tcW w:w="1440" w:type="dxa"/>
            <w:vAlign w:val="bottom"/>
            <w:tcBorders>
              <w:bottom w:val="single" w:sz="8" w:color="auto"/>
              <w:right w:val="single" w:sz="8" w:color="auto"/>
            </w:tcBorders>
            <w:shd w:val="clear" w:color="auto" w:fill="4F81BD"/>
          </w:tcPr>
          <w:p>
            <w:pPr>
              <w:spacing w:after="0"/>
              <w:rPr>
                <w:sz w:val="22"/>
                <w:szCs w:val="22"/>
                <w:color w:val="auto"/>
              </w:rPr>
            </w:pPr>
          </w:p>
        </w:tc>
      </w:tr>
    </w:tbl>
    <w:p>
      <w:pPr>
        <w:spacing w:after="0" w:line="208" w:lineRule="auto"/>
        <w:rPr>
          <w:sz w:val="20"/>
          <w:szCs w:val="20"/>
          <w:color w:val="auto"/>
        </w:rPr>
      </w:pPr>
      <w:r>
        <w:rPr>
          <w:rFonts w:ascii="Arial" w:cs="Arial" w:eastAsia="Arial" w:hAnsi="Arial"/>
          <w:sz w:val="27"/>
          <w:szCs w:val="27"/>
          <w:color w:val="auto"/>
          <w:vertAlign w:val="superscript"/>
        </w:rPr>
        <w:t>*</w:t>
      </w:r>
      <w:r>
        <w:rPr>
          <w:rFonts w:ascii="Calibri" w:cs="Calibri" w:eastAsia="Calibri" w:hAnsi="Calibri"/>
          <w:sz w:val="18"/>
          <w:szCs w:val="18"/>
          <w:color w:val="auto"/>
        </w:rPr>
        <w:t>Numbers include both domestic and repatriated cases</w:t>
      </w:r>
    </w:p>
    <w:p>
      <w:pPr>
        <w:spacing w:after="0" w:line="1" w:lineRule="exact"/>
        <w:rPr>
          <w:sz w:val="20"/>
          <w:szCs w:val="20"/>
          <w:color w:val="auto"/>
        </w:rPr>
      </w:pPr>
    </w:p>
    <w:p>
      <w:pPr>
        <w:ind w:right="60"/>
        <w:spacing w:after="0" w:line="204"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The designations employed and the presentation of the material in this publication do not imply the expression of any opinion whatsoever on the part of WHO concerning the legal status of any country, territory, city or area or of its authorities, or concerning the delimitation of its frontiers or boundaries. Dotted and dashed lines on maps represent approximate border lines for which there may not yet be full agreement.</w:t>
      </w:r>
    </w:p>
    <w:p>
      <w:pPr>
        <w:spacing w:after="0" w:line="209" w:lineRule="auto"/>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6" w:lineRule="exact"/>
        <w:rPr>
          <w:sz w:val="20"/>
          <w:szCs w:val="20"/>
          <w:color w:val="auto"/>
        </w:rPr>
      </w:pPr>
    </w:p>
    <w:p>
      <w:pPr>
        <w:ind w:left="720" w:right="320" w:hanging="360"/>
        <w:spacing w:after="0" w:line="218" w:lineRule="auto"/>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sentinel samples (routine systematic testing of respiratory samples from established laboratories).</w:t>
      </w:r>
    </w:p>
    <w:p>
      <w:pPr>
        <w:spacing w:after="0" w:line="1" w:lineRule="exact"/>
        <w:rPr>
          <w:rFonts w:ascii="Arial" w:cs="Arial" w:eastAsia="Arial" w:hAnsi="Arial"/>
          <w:sz w:val="16"/>
          <w:szCs w:val="16"/>
          <w:color w:val="auto"/>
        </w:rPr>
      </w:pP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880" w:right="711" w:bottom="1440" w:gutter="0" w:footer="0" w:header="0"/>
        </w:sectPr>
      </w:pPr>
    </w:p>
    <w:p>
      <w:pPr>
        <w:spacing w:after="0" w:line="2"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6"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4"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12" w:lineRule="exact"/>
        <w:rPr>
          <w:sz w:val="20"/>
          <w:szCs w:val="20"/>
          <w:color w:val="auto"/>
        </w:rPr>
      </w:pPr>
    </w:p>
    <w:p>
      <w:pPr>
        <w:sectPr>
          <w:pgSz w:w="11920" w:h="16841" w:orient="portrait"/>
          <w:cols w:equalWidth="0" w:num="2">
            <w:col w:w="440" w:space="280"/>
            <w:col w:w="9760"/>
          </w:cols>
          <w:pgMar w:left="720" w:top="880" w:right="711" w:bottom="1440" w:gutter="0" w:footer="0" w:header="0"/>
          <w:type w:val="continuous"/>
        </w:sectPr>
      </w:pPr>
    </w:p>
    <w:p>
      <w:pPr>
        <w:spacing w:after="0"/>
        <w:rPr>
          <w:sz w:val="20"/>
          <w:szCs w:val="20"/>
          <w:color w:val="auto"/>
        </w:rPr>
      </w:pPr>
      <w:r>
        <w:rPr>
          <w:rFonts w:ascii="Calibri" w:cs="Calibri" w:eastAsia="Calibri" w:hAnsi="Calibri"/>
          <w:sz w:val="17"/>
          <w:szCs w:val="17"/>
          <w:color w:val="auto"/>
        </w:rPr>
        <w:t>** “Territories” include territories, areas, overseas dependencies and other jurisdictions of similar status</w:t>
      </w:r>
    </w:p>
    <w:p>
      <w:pPr>
        <w:spacing w:after="0" w:line="269" w:lineRule="exact"/>
        <w:rPr>
          <w:sz w:val="20"/>
          <w:szCs w:val="20"/>
          <w:color w:val="auto"/>
        </w:rPr>
      </w:pPr>
    </w:p>
    <w:p>
      <w:pPr>
        <w:spacing w:after="0"/>
        <w:rPr>
          <w:sz w:val="20"/>
          <w:szCs w:val="20"/>
          <w:color w:val="auto"/>
        </w:rPr>
      </w:pPr>
      <w:r>
        <w:rPr>
          <w:rFonts w:ascii="Calibri" w:cs="Calibri" w:eastAsia="Calibri" w:hAnsi="Calibri"/>
          <w:sz w:val="16"/>
          <w:szCs w:val="16"/>
          <w:color w:val="auto"/>
        </w:rPr>
        <w:t>Erratum: Total cases, and new cases for Faroe Islands have been corrected.</w:t>
      </w:r>
    </w:p>
    <w:p>
      <w:pPr>
        <w:sectPr>
          <w:pgSz w:w="11920" w:h="16841" w:orient="portrait"/>
          <w:cols w:equalWidth="0" w:num="1">
            <w:col w:w="10480"/>
          </w:cols>
          <w:pgMar w:left="720" w:top="880" w:right="711" w:bottom="1440" w:gutter="0" w:footer="0" w:header="0"/>
          <w:type w:val="continuous"/>
        </w:sectPr>
      </w:pPr>
    </w:p>
    <w:bookmarkStart w:id="6" w:name="page7"/>
    <w:bookmarkEnd w:id="6"/>
    <w:p>
      <w:pPr>
        <w:spacing w:after="0" w:line="218" w:lineRule="auto"/>
        <w:rPr>
          <w:sz w:val="20"/>
          <w:szCs w:val="20"/>
          <w:color w:val="auto"/>
        </w:rPr>
      </w:pPr>
      <w:r>
        <w:rPr>
          <w:rFonts w:ascii="Calibri" w:cs="Calibri" w:eastAsia="Calibri" w:hAnsi="Calibri"/>
          <w:sz w:val="22"/>
          <w:szCs w:val="22"/>
          <w:b w:val="1"/>
          <w:bCs w:val="1"/>
          <w:color w:val="007AB0"/>
        </w:rPr>
        <w:t>Figure 2. Epidemic curve of confirmed COVID-19 cases reported outside of China (</w:t>
      </w:r>
      <w:r>
        <w:rPr>
          <w:rFonts w:ascii="Calibri" w:cs="Calibri" w:eastAsia="Calibri" w:hAnsi="Calibri"/>
          <w:sz w:val="22"/>
          <w:szCs w:val="22"/>
          <w:b w:val="1"/>
          <w:bCs w:val="1"/>
          <w:i w:val="1"/>
          <w:iCs w:val="1"/>
          <w:color w:val="007AB0"/>
        </w:rPr>
        <w:t>n</w:t>
      </w:r>
      <w:r>
        <w:rPr>
          <w:rFonts w:ascii="Calibri" w:cs="Calibri" w:eastAsia="Calibri" w:hAnsi="Calibri"/>
          <w:sz w:val="22"/>
          <w:szCs w:val="22"/>
          <w:b w:val="1"/>
          <w:bCs w:val="1"/>
          <w:color w:val="007AB0"/>
        </w:rPr>
        <w:t>=28 674), by date of report and WHO region through 09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174625</wp:posOffset>
            </wp:positionV>
            <wp:extent cx="6659245" cy="79171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659245" cy="7917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7"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right="26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4"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46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3"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6" w:lineRule="exact"/>
        <w:rPr>
          <w:sz w:val="20"/>
          <w:szCs w:val="20"/>
          <w:color w:val="auto"/>
        </w:rPr>
      </w:pPr>
    </w:p>
    <w:p>
      <w:pPr>
        <w:jc w:val="both"/>
        <w:ind w:left="200" w:right="28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ectPr>
          <w:pgSz w:w="11920" w:h="16841" w:orient="portrait"/>
          <w:cols w:equalWidth="0" w:num="1">
            <w:col w:w="10380"/>
          </w:cols>
          <w:pgMar w:left="720" w:top="943" w:right="811" w:bottom="1440" w:gutter="0" w:footer="0" w:header="0"/>
        </w:sectPr>
      </w:pPr>
    </w:p>
    <w:bookmarkStart w:id="7" w:name="page8"/>
    <w:bookmarkEnd w:id="7"/>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5"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3">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360" w:hanging="360"/>
        <w:spacing w:after="0" w:line="26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developed interim guidance for laboratory diagnosis, advice on the use of masks during home care and in health care settings in the context of the novel coronavirus (2019-nCoV) outbreak, clinical management, infection prevention and control in health care settings, home care for patients with suspected novel coronavirus</w:t>
      </w:r>
      <w:r>
        <w:rPr>
          <w:rFonts w:ascii="Calibri" w:cs="Calibri" w:eastAsia="Calibri" w:hAnsi="Calibri"/>
          <w:sz w:val="22"/>
          <w:szCs w:val="22"/>
          <w:u w:val="single" w:color="auto"/>
          <w:color w:val="0000FF"/>
        </w:rPr>
        <w:t>,</w:t>
      </w:r>
      <w:r>
        <w:rPr>
          <w:rFonts w:ascii="Calibri" w:cs="Calibri" w:eastAsia="Calibri" w:hAnsi="Calibri"/>
          <w:sz w:val="22"/>
          <w:szCs w:val="22"/>
          <w:color w:val="auto"/>
        </w:rPr>
        <w:t xml:space="preserve"> risk communication and community engagement and Global Surveillance for human infection with novel coronavirus (2019-nCoV).</w:t>
      </w:r>
    </w:p>
    <w:p>
      <w:pPr>
        <w:spacing w:after="0" w:line="62" w:lineRule="exact"/>
        <w:rPr>
          <w:rFonts w:ascii="Arial" w:cs="Arial" w:eastAsia="Arial" w:hAnsi="Arial"/>
          <w:sz w:val="22"/>
          <w:szCs w:val="22"/>
          <w:color w:val="auto"/>
        </w:rPr>
      </w:pPr>
    </w:p>
    <w:p>
      <w:pPr>
        <w:jc w:val="both"/>
        <w:ind w:left="360" w:right="820" w:hanging="360"/>
        <w:spacing w:after="0" w:line="253"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4">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14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9" w:lineRule="exact"/>
        <w:rPr>
          <w:rFonts w:ascii="Arial" w:cs="Arial" w:eastAsia="Arial" w:hAnsi="Arial"/>
          <w:sz w:val="22"/>
          <w:szCs w:val="22"/>
          <w:color w:val="auto"/>
        </w:rPr>
      </w:pPr>
    </w:p>
    <w:p>
      <w:pPr>
        <w:ind w:left="360" w:right="28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pPr>
        <w:spacing w:after="0" w:line="67" w:lineRule="exact"/>
        <w:rPr>
          <w:rFonts w:ascii="Arial" w:cs="Arial" w:eastAsia="Arial" w:hAnsi="Arial"/>
          <w:sz w:val="22"/>
          <w:szCs w:val="22"/>
          <w:color w:val="auto"/>
        </w:rPr>
      </w:pPr>
    </w:p>
    <w:p>
      <w:pPr>
        <w:ind w:left="360" w:right="68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15">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9"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16">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ind w:left="360" w:right="980" w:hanging="360"/>
        <w:spacing w:after="0" w:line="236"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17">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9"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90" w:lineRule="exact"/>
        <w:rPr>
          <w:rFonts w:ascii="Arial" w:cs="Arial" w:eastAsia="Arial" w:hAnsi="Arial"/>
          <w:sz w:val="22"/>
          <w:szCs w:val="22"/>
          <w:color w:val="auto"/>
        </w:rPr>
      </w:pPr>
    </w:p>
    <w:p>
      <w:pPr>
        <w:ind w:left="360" w:right="200" w:hanging="360"/>
        <w:spacing w:after="0" w:line="269"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OpenWHO is an interactive, web-based, knowledge-transfer platform offering online courses to improve the response to health emergencies. </w:t>
      </w:r>
      <w:hyperlink r:id="rId18">
        <w:r>
          <w:rPr>
            <w:rFonts w:ascii="Calibri" w:cs="Calibri" w:eastAsia="Calibri" w:hAnsi="Calibri"/>
            <w:sz w:val="22"/>
            <w:szCs w:val="22"/>
            <w:u w:val="single" w:color="auto"/>
            <w:color w:val="0000FF"/>
          </w:rPr>
          <w:t>COVID-19 courses can be found 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Specifically, WHO has developed online courses on the following topics: A general introduction to emerging respiratory viruses, including novel coronaviruses (available in Arabic, English, French, Chinese, Spanish, Portuguese, and Russian); Critical Care of Severe Acute Respiratory Infections (available in English and French); Health and safety briefing for respiratory diseases - ePROTECT (available in English, French, and Russian); Infection Prevention and Control for Novel Coronavirus (COVID-19) (available in English and Russian); and COVID-19 Operational Planning Guidelines and COVID-19 Partners Platform to support country preparedness and response.</w:t>
      </w:r>
    </w:p>
    <w:p>
      <w:pPr>
        <w:spacing w:after="0" w:line="63" w:lineRule="exact"/>
        <w:rPr>
          <w:rFonts w:ascii="Calibri" w:cs="Calibri" w:eastAsia="Calibri" w:hAnsi="Calibri"/>
          <w:sz w:val="22"/>
          <w:szCs w:val="22"/>
          <w:color w:val="auto"/>
        </w:rPr>
      </w:pPr>
    </w:p>
    <w:p>
      <w:pPr>
        <w:ind w:left="360" w:right="40" w:hanging="360"/>
        <w:spacing w:after="0" w:line="271"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w:t>
      </w:r>
      <w:hyperlink r:id="rId1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One such protocol is for the investigation of early COVID-19 cases and contacts (the “</w:t>
      </w:r>
      <w:hyperlink r:id="rId20">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-7299960</wp:posOffset>
                </wp:positionV>
                <wp:extent cx="31750" cy="127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5" o:spid="_x0000_s1030" style="position:absolute;margin-left:202.95pt;margin-top:-574.7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1400810</wp:posOffset>
                </wp:positionH>
                <wp:positionV relativeFrom="paragraph">
                  <wp:posOffset>-2396490</wp:posOffset>
                </wp:positionV>
                <wp:extent cx="30480" cy="1270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6" o:spid="_x0000_s1031" style="position:absolute;margin-left:110.3pt;margin-top:-188.69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1216" w:right="751" w:bottom="1440" w:gutter="0" w:footer="0" w:header="0"/>
        </w:sectPr>
      </w:pPr>
    </w:p>
    <w:bookmarkStart w:id="8" w:name="page9"/>
    <w:bookmarkEnd w:id="8"/>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39" w:lineRule="exact"/>
        <w:rPr>
          <w:sz w:val="20"/>
          <w:szCs w:val="20"/>
          <w:color w:val="auto"/>
        </w:rPr>
      </w:pPr>
    </w:p>
    <w:p>
      <w:pPr>
        <w:ind w:right="60"/>
        <w:spacing w:after="0" w:line="268"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Get the facts from reliable sources to help you accurately determine your risks so that you can take reasonable precautions (see </w:t>
      </w:r>
      <w:hyperlink r:id="rId21">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xml:space="preserve">. Seek guidance from WHO, your 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hyperlink r:id="rId22">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w:t>
      </w:r>
    </w:p>
    <w:p>
      <w:pPr>
        <w:spacing w:after="0" w:line="371" w:lineRule="exact"/>
        <w:rPr>
          <w:sz w:val="20"/>
          <w:szCs w:val="20"/>
          <w:color w:val="auto"/>
        </w:rPr>
      </w:pPr>
    </w:p>
    <w:p>
      <w:pPr>
        <w:spacing w:after="0" w:line="267" w:lineRule="auto"/>
        <w:rPr>
          <w:rFonts w:ascii="Calibri" w:cs="Calibri" w:eastAsia="Calibri" w:hAnsi="Calibri"/>
          <w:sz w:val="22"/>
          <w:szCs w:val="22"/>
          <w:color w:val="0000FF"/>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hyperlink r:id="rId22">
        <w:r>
          <w:rPr>
            <w:rFonts w:ascii="Calibri" w:cs="Calibri" w:eastAsia="Calibri" w:hAnsi="Calibri"/>
            <w:sz w:val="22"/>
            <w:szCs w:val="22"/>
            <w:u w:val="single" w:color="auto"/>
            <w:color w:val="0000FF"/>
          </w:rPr>
          <w:t>Protection measures for persons who are in or have recently visited (past</w:t>
        </w:r>
      </w:hyperlink>
      <w:r>
        <w:rPr>
          <w:rFonts w:ascii="Calibri" w:cs="Calibri" w:eastAsia="Calibri" w:hAnsi="Calibri"/>
          <w:sz w:val="22"/>
          <w:szCs w:val="22"/>
          <w:color w:val="auto"/>
        </w:rPr>
        <w:t xml:space="preserve"> </w:t>
      </w:r>
      <w:hyperlink r:id="rId22">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hyperlink>
      <w:r>
        <w:rPr>
          <w:rFonts w:ascii="Calibri" w:cs="Calibri" w:eastAsia="Calibri" w:hAnsi="Calibri"/>
          <w:sz w:val="22"/>
          <w:szCs w:val="22"/>
          <w:color w:val="0000FF"/>
        </w:rPr>
        <w: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CASE DEFINITIONS</w:t>
      </w:r>
    </w:p>
    <w:p>
      <w:pPr>
        <w:spacing w:after="0" w:line="392" w:lineRule="exact"/>
        <w:rPr>
          <w:sz w:val="20"/>
          <w:szCs w:val="20"/>
          <w:color w:val="auto"/>
        </w:rPr>
      </w:pPr>
    </w:p>
    <w:p>
      <w:pPr>
        <w:ind w:right="840"/>
        <w:spacing w:after="0" w:line="236" w:lineRule="auto"/>
        <w:rPr>
          <w:rFonts w:ascii="Calibri" w:cs="Calibri" w:eastAsia="Calibri" w:hAnsi="Calibri"/>
          <w:sz w:val="22"/>
          <w:szCs w:val="22"/>
          <w:color w:val="auto"/>
        </w:rPr>
      </w:pPr>
      <w:r>
        <w:rPr>
          <w:rFonts w:ascii="Calibri" w:cs="Calibri" w:eastAsia="Calibri" w:hAnsi="Calibri"/>
          <w:sz w:val="22"/>
          <w:szCs w:val="22"/>
          <w:color w:val="auto"/>
        </w:rPr>
        <w:t xml:space="preserve">WHO periodically updates the </w:t>
      </w:r>
      <w:hyperlink r:id="rId11">
        <w:r>
          <w:rPr>
            <w:rFonts w:ascii="Calibri" w:cs="Calibri" w:eastAsia="Calibri" w:hAnsi="Calibri"/>
            <w:sz w:val="22"/>
            <w:szCs w:val="22"/>
            <w:u w:val="single" w:color="auto"/>
            <w:color w:val="0000FF"/>
          </w:rPr>
          <w:t>Global Surveillance for human infection with coronavirus disease (COVID-19)</w:t>
        </w:r>
      </w:hyperlink>
      <w:r>
        <w:rPr>
          <w:rFonts w:ascii="Calibri" w:cs="Calibri" w:eastAsia="Calibri" w:hAnsi="Calibri"/>
          <w:sz w:val="22"/>
          <w:szCs w:val="22"/>
          <w:color w:val="auto"/>
        </w:rPr>
        <w:t xml:space="preserve"> document which includes case definitions.</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For easy reference, case definitions are included below.</w:t>
      </w: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Suspect case</w:t>
      </w:r>
    </w:p>
    <w:p>
      <w:pPr>
        <w:spacing w:after="0" w:line="90" w:lineRule="exact"/>
        <w:rPr>
          <w:sz w:val="20"/>
          <w:szCs w:val="20"/>
          <w:color w:val="auto"/>
        </w:rPr>
      </w:pPr>
    </w:p>
    <w:p>
      <w:pPr>
        <w:ind w:left="720" w:right="280" w:hanging="360"/>
        <w:spacing w:after="0" w:line="253" w:lineRule="auto"/>
        <w:tabs>
          <w:tab w:leader="none" w:pos="72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A patient with acute respiratory illness (fever and at least one sign/symptom of respiratory disease (e.g., cough, shortness of breath), AND with no other etiology that fully explains the clinical presentation AND a history of travel to or residence in a country/area or territory reporting local transmission (See </w:t>
      </w:r>
      <w:hyperlink r:id="rId23">
        <w:r>
          <w:rPr>
            <w:rFonts w:ascii="Calibri" w:cs="Calibri" w:eastAsia="Calibri" w:hAnsi="Calibri"/>
            <w:sz w:val="22"/>
            <w:szCs w:val="22"/>
            <w:u w:val="single" w:color="auto"/>
            <w:color w:val="0000FF"/>
          </w:rPr>
          <w:t>situation</w:t>
        </w:r>
      </w:hyperlink>
    </w:p>
    <w:p>
      <w:pPr>
        <w:spacing w:after="0" w:line="28" w:lineRule="exact"/>
        <w:rPr>
          <w:sz w:val="20"/>
          <w:szCs w:val="20"/>
          <w:color w:val="auto"/>
        </w:rPr>
      </w:pPr>
    </w:p>
    <w:p>
      <w:pPr>
        <w:ind w:left="720"/>
        <w:spacing w:after="0"/>
        <w:rPr>
          <w:rFonts w:ascii="Calibri" w:cs="Calibri" w:eastAsia="Calibri" w:hAnsi="Calibri"/>
          <w:sz w:val="22"/>
          <w:szCs w:val="22"/>
          <w:color w:val="0000FF"/>
        </w:rPr>
      </w:pPr>
      <w:hyperlink r:id="rId23">
        <w:r>
          <w:rPr>
            <w:rFonts w:ascii="Calibri" w:cs="Calibri" w:eastAsia="Calibri" w:hAnsi="Calibri"/>
            <w:sz w:val="22"/>
            <w:szCs w:val="22"/>
            <w:u w:val="single" w:color="auto"/>
            <w:color w:val="0000FF"/>
          </w:rPr>
          <w:t>report</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of </w:t>
      </w:r>
      <w:r>
        <w:rPr>
          <w:rFonts w:ascii="Calibri" w:cs="Calibri" w:eastAsia="Calibri" w:hAnsi="Calibri"/>
          <w:sz w:val="22"/>
          <w:szCs w:val="22"/>
          <w:color w:val="000000"/>
        </w:rPr>
        <w:t>COVID-19 disease during the 14 days prior to symptom onset.</w:t>
      </w:r>
    </w:p>
    <w:p>
      <w:pPr>
        <w:spacing w:after="0" w:line="39"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OR</w:t>
      </w:r>
    </w:p>
    <w:p>
      <w:pPr>
        <w:spacing w:after="0" w:line="90" w:lineRule="exact"/>
        <w:rPr>
          <w:sz w:val="20"/>
          <w:szCs w:val="20"/>
          <w:color w:val="auto"/>
        </w:rPr>
      </w:pPr>
    </w:p>
    <w:p>
      <w:pPr>
        <w:ind w:left="720" w:right="20" w:hanging="359"/>
        <w:spacing w:after="0" w:line="236" w:lineRule="auto"/>
        <w:tabs>
          <w:tab w:leader="none" w:pos="700" w:val="left"/>
        </w:tabs>
        <w:rPr>
          <w:sz w:val="20"/>
          <w:szCs w:val="20"/>
          <w:color w:val="auto"/>
        </w:rPr>
      </w:pPr>
      <w:r>
        <w:rPr>
          <w:rFonts w:ascii="Calibri" w:cs="Calibri" w:eastAsia="Calibri" w:hAnsi="Calibri"/>
          <w:sz w:val="22"/>
          <w:szCs w:val="22"/>
          <w:color w:val="auto"/>
        </w:rPr>
        <w:t>B.</w:t>
        <w:tab/>
        <w:t>A patient with any acute respiratory illness AND having been in contact with a confirmed or probable COVID-19 case (see definition of contact) in the last 14 days prior to onset of symptoms;</w:t>
      </w:r>
    </w:p>
    <w:p>
      <w:pPr>
        <w:spacing w:after="0" w:line="40"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OR</w:t>
      </w:r>
    </w:p>
    <w:p>
      <w:pPr>
        <w:spacing w:after="0" w:line="90" w:lineRule="exact"/>
        <w:rPr>
          <w:sz w:val="20"/>
          <w:szCs w:val="20"/>
          <w:color w:val="auto"/>
        </w:rPr>
      </w:pPr>
    </w:p>
    <w:p>
      <w:pPr>
        <w:ind w:left="720" w:right="40" w:hanging="360"/>
        <w:spacing w:after="0" w:line="254" w:lineRule="auto"/>
        <w:tabs>
          <w:tab w:leader="none" w:pos="72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A patient with severe acute respiratory infection (fever and at least one sign/symptom of respiratory disease (e.g., cough, shortness breath) AND requiring hospitalization AND with no other etiology that fully explains the clinical presentation.</w:t>
      </w:r>
    </w:p>
    <w:p>
      <w:pPr>
        <w:spacing w:after="0" w:line="335"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Probable case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color w:val="auto"/>
        </w:rPr>
        <w:t>A suspect case for whom testing for COVID-19 is inconclusive.</w:t>
      </w:r>
    </w:p>
    <w:p>
      <w:pPr>
        <w:spacing w:after="0" w:line="41" w:lineRule="exact"/>
        <w:rPr>
          <w:sz w:val="20"/>
          <w:szCs w:val="20"/>
          <w:color w:val="auto"/>
        </w:rPr>
      </w:pPr>
    </w:p>
    <w:p>
      <w:pPr>
        <w:ind w:left="1080" w:hanging="360"/>
        <w:spacing w:after="0"/>
        <w:tabs>
          <w:tab w:leader="none" w:pos="1080" w:val="left"/>
        </w:tabs>
        <w:numPr>
          <w:ilvl w:val="0"/>
          <w:numId w:val="8"/>
        </w:numPr>
        <w:rPr>
          <w:rFonts w:ascii="Arial" w:cs="Arial" w:eastAsia="Arial" w:hAnsi="Arial"/>
          <w:sz w:val="12"/>
          <w:szCs w:val="12"/>
          <w:color w:val="auto"/>
        </w:rPr>
      </w:pPr>
      <w:r>
        <w:rPr>
          <w:rFonts w:ascii="Calibri" w:cs="Calibri" w:eastAsia="Calibri" w:hAnsi="Calibri"/>
          <w:sz w:val="22"/>
          <w:szCs w:val="22"/>
          <w:color w:val="auto"/>
        </w:rPr>
        <w:t>Inconclusive being the result of the test reported by the laboratory</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Confirmed case</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A person with laboratory confirmation of COVID-19 infection, irrespective of clinical signs and symptoms.</w:t>
      </w:r>
    </w:p>
    <w:p>
      <w:pPr>
        <w:spacing w:after="0" w:line="41" w:lineRule="exact"/>
        <w:rPr>
          <w:sz w:val="20"/>
          <w:szCs w:val="20"/>
          <w:color w:val="auto"/>
        </w:rPr>
      </w:pPr>
    </w:p>
    <w:p>
      <w:pPr>
        <w:ind w:left="1080" w:hanging="360"/>
        <w:spacing w:after="0"/>
        <w:tabs>
          <w:tab w:leader="none" w:pos="1080" w:val="left"/>
        </w:tabs>
        <w:numPr>
          <w:ilvl w:val="0"/>
          <w:numId w:val="9"/>
        </w:numPr>
        <w:rPr>
          <w:rFonts w:ascii="Calibri" w:cs="Calibri" w:eastAsia="Calibri" w:hAnsi="Calibri"/>
          <w:sz w:val="22"/>
          <w:szCs w:val="22"/>
          <w:color w:val="auto"/>
        </w:rPr>
      </w:pPr>
      <w:r>
        <w:rPr>
          <w:rFonts w:ascii="Calibri" w:cs="Calibri" w:eastAsia="Calibri" w:hAnsi="Calibri"/>
          <w:sz w:val="22"/>
          <w:szCs w:val="22"/>
          <w:color w:val="auto"/>
        </w:rPr>
        <w:t xml:space="preserve">Information regarding laboratory guidance can be found </w:t>
      </w:r>
      <w:hyperlink r:id="rId24">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sectPr>
      <w:pgSz w:w="11920" w:h="16841" w:orient="portrait"/>
      <w:cols w:equalWidth="0" w:num="1">
        <w:col w:w="10460"/>
      </w:cols>
      <w:pgMar w:left="720" w:top="899"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1"/>
      <w:numFmt w:val="decimal"/>
      <w:start w:val="104"/>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1."/>
      <w:numFmt w:val="upperLetter"/>
      <w:start w:val="1"/>
    </w:lvl>
  </w:abstractNum>
  <w:abstractNum w:abstractNumId="6">
    <w:nsid w:val="7545E146"/>
    <w:multiLevelType w:val="hybridMultilevel"/>
    <w:lvl w:ilvl="0">
      <w:lvlJc w:val="left"/>
      <w:lvlText w:val="%1."/>
      <w:numFmt w:val="upperLetter"/>
      <w:start w:val="3"/>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png"/><Relationship Id="rId9" Type="http://schemas.openxmlformats.org/officeDocument/2006/relationships/hyperlink" Target="https://www.who.int/samoa/news/detail/09-03-2020-who-helps-samoa-and-tokelau-to-prepare-for-covid-19" TargetMode="External"/><Relationship Id="rId11" Type="http://schemas.openxmlformats.org/officeDocument/2006/relationships/hyperlink" Target="https://www.who.int/publications-detail/global-surveillance-for-human-infection-with-novel-coronavirus-(2019-ncov)" TargetMode="External"/><Relationship Id="rId13" Type="http://schemas.openxmlformats.org/officeDocument/2006/relationships/hyperlink" Target="https://www.who.int/emergencies/diseases/novel-coronavirus-2019/technical-guidance" TargetMode="External"/><Relationship Id="rId14" Type="http://schemas.openxmlformats.org/officeDocument/2006/relationships/hyperlink" Target="https://www.iata.org/en/programs/safety/health/diseases/#tab-2" TargetMode="External"/><Relationship Id="rId15" Type="http://schemas.openxmlformats.org/officeDocument/2006/relationships/hyperlink" Target="https://www.who.int/publications-detail/disease-commodity-package---novel-coronavirus-(ncov)" TargetMode="External"/><Relationship Id="rId16" Type="http://schemas.openxmlformats.org/officeDocument/2006/relationships/hyperlink" Target="https://www.who.int/health-topics/coronavirus/who-recommendations-to-reduce-risk-of-transmission-of-emerging-pathogens-from-animals-to-humans-in-live-animal-markets" TargetMode="External"/><Relationship Id="rId17" Type="http://schemas.openxmlformats.org/officeDocument/2006/relationships/hyperlink" Target="https://www.who.int/ith/2019-nCoV_advice_for_international_traffic-rev/en/" TargetMode="External"/><Relationship Id="rId18" Type="http://schemas.openxmlformats.org/officeDocument/2006/relationships/hyperlink" Target="https://openwho.org/channels/covid-19" TargetMode="External"/><Relationship Id="rId19" Type="http://schemas.openxmlformats.org/officeDocument/2006/relationships/hyperlink" Target="https://www.who.int/emergencies/diseases/novel-coronavirus-2019/technical-guidance/early-investigations" TargetMode="External"/><Relationship Id="rId20" Type="http://schemas.openxmlformats.org/officeDocument/2006/relationships/hyperlink" Target="https://www.who.int/publications-detail/the-first-few-x-(ffx)-cases-and-contact-investigation-protocol-for-2019-novel-coronavirus-(2019-ncov)-infection" TargetMode="External"/><Relationship Id="rId21" Type="http://schemas.openxmlformats.org/officeDocument/2006/relationships/hyperlink" Target="https://www.who.int/news-room/q-a-detail/q-a-coronaviruses" TargetMode="External"/><Relationship Id="rId22" Type="http://schemas.openxmlformats.org/officeDocument/2006/relationships/hyperlink" Target="https://www.who.int/emergencies/diseases/novel-coronavirus-2019/advice-for-public" TargetMode="External"/><Relationship Id="rId23" Type="http://schemas.openxmlformats.org/officeDocument/2006/relationships/hyperlink" Target="https://www.who.int/emergencies/diseases/novel-coronavirus-2019/situation-reports/" TargetMode="External"/><Relationship Id="rId24" Type="http://schemas.openxmlformats.org/officeDocument/2006/relationships/hyperlink" Target="https://www.who.int/emergencies/diseases/novel-coronavirus-2019/technical-guidance/laboratory-guidanc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2020-03-10T17:00:41Z</dcterms:created>
  <dcterms:modified xsi:type="dcterms:W3CDTF">2020-03-10T17:00:41Z</dcterms:modified>
</cp:coreProperties>
</file>