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4G/5G checklist</w:t>
      </w:r>
    </w:p>
    <w:p>
      <w:pPr>
        <w:ind/>
      </w:pPr>
      <w:r>
        <w:t xml:space="preserve">一、LightWAN 4G/5G产品功能介绍</w:t>
      </w:r>
    </w:p>
    <w:p>
      <w:pPr>
        <w:ind w:firstLine="480"/>
      </w:pPr>
      <w:r>
        <w:t xml:space="preserve">4G/5G功能依附于Orch LTE/5G WAN，根据不同型号设备的拨号，区分为以下几种：</w:t>
      </w:r>
    </w:p>
    <w:p>
      <w:pPr>
        <w:numPr>
          <w:ilvl w:val="1"/>
          <w:numId w:val="1"/>
        </w:numPr>
      </w:pPr>
      <w:r>
        <w:t xml:space="preserve">ECM_DEMO拨号，在LW1305/LW2X08/LW2X09/LW2X02/LW2X03V2等平台使用，由我们自己实现维护，依赖AT指令来管理模块，介绍文档</w:t>
      </w:r>
      <w:hyperlink r:id="rId4">
        <w:r>
          <w:rPr>
            <w:rStyle w:val="hyperlink"/>
          </w:rPr>
          <w:t xml:space="preserve">《ECM_DEMO拨号工具》</w:t>
        </w:r>
      </w:hyperlink>
      <w:r/>
    </w:p>
    <w:p>
      <w:pPr>
        <w:numPr>
          <w:ilvl w:val="1"/>
          <w:numId w:val="1"/>
        </w:numPr>
      </w:pPr>
      <w:r>
        <w:t xml:space="preserve">MAPN拨号，仅在2X08-MAPN平台使用，依赖QMI方式拨号，工具来源厂商源码适配，用来单张SIM卡支持多路拨号的情况下使用，维护仓库 </w:t>
      </w:r>
      <w:hyperlink r:id="rId5">
        <w:r>
          <w:rPr>
            <w:rStyle w:val="hyperlink"/>
          </w:rPr>
          <w:t xml:space="preserve">MAPN拨号工具git仓</w:t>
        </w:r>
      </w:hyperlink>
      <w:r/>
    </w:p>
    <w:p>
      <w:pPr>
        <w:numPr>
          <w:ilvl w:val="1"/>
          <w:numId w:val="1"/>
        </w:numPr>
      </w:pPr>
      <w:r>
        <w:t xml:space="preserve">1301-MIFI拨号，同MAPN，依赖QMI方式，源码来源厂商源码适配，维护仓库 </w:t>
      </w:r>
      <w:hyperlink r:id="rId6">
        <w:r>
          <w:rPr>
            <w:rStyle w:val="hyperlink"/>
          </w:rPr>
          <w:t xml:space="preserve">1301-MIFI拨号工具仓</w:t>
        </w:r>
      </w:hyperlink>
      <w:r/>
    </w:p>
    <w:p>
      <w:pPr>
        <w:ind/>
      </w:pPr>
      <w:r/>
    </w:p>
    <w:p>
      <w:pPr>
        <w:ind/>
      </w:pPr>
      <w:r>
        <w:t xml:space="preserve">二、checklist</w:t>
      </w:r>
    </w:p>
    <w:tbl>
      <w:tblPr>
        <w:tblStyle w:val="tableHeader"/>
        <w:tblW w:w="0" w:type="auto"/>
        <w:tblLook w:firstRow="1" w:lastRow="0" w:firstColumn="0" w:lastColumn="0" w:noHBand="0" w:noVBand="0"/>
      </w:tblPr>
      <w:tblGrid>
        <w:gridCol w:w="3150"/>
        <w:gridCol w:w="3870"/>
        <w:gridCol w:w="4125"/>
      </w:tblGrid>
      <w:tr>
        <w:trPr>
          <w:trHeight w:val="660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硬件生产相关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highlight w:val="white"/>
              </w:rPr>
              <w:t xml:space="preserve">业务相关</w:t>
            </w:r>
          </w:p>
        </w:tc>
        <w:tc>
          <w:tcPr>
            <w:tcW w:w="4125" w:type="dxa"/>
            <w:vAlign w:val="center"/>
          </w:tcPr>
          <w:p>
            <w:pPr/>
            <w:r>
              <w:rPr>
                <w:highlight w:val="white"/>
              </w:rPr>
              <w:t xml:space="preserve">诊断维护相关</w:t>
            </w:r>
          </w:p>
        </w:tc>
      </w:tr>
      <w:tr>
        <w:trPr>
          <w:trHeight w:val="615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模组详细型号（规格书）</w:t>
            </w:r>
          </w:p>
        </w:tc>
        <w:tc>
          <w:tcPr>
            <w:tcW w:w="3870" w:type="dxa"/>
            <w:vAlign w:val="center"/>
          </w:tcPr>
          <w:p>
            <w:pPr/>
            <w:r>
              <w:rPr/>
              <w:t xml:space="preserve">模组加载（和驱动相关）</w:t>
            </w:r>
          </w:p>
        </w:tc>
        <w:tc>
          <w:tcPr>
            <w:tcW w:w="4125" w:type="dxa"/>
            <w:vAlign w:val="center"/>
          </w:tcPr>
          <w:p>
            <w:pPr/>
            <w:r>
              <w:rPr>
                <w:highlight w:val="white"/>
              </w:rPr>
              <w:t xml:space="preserve">模组侧log采集（含dump日志）</w:t>
            </w:r>
          </w:p>
        </w:tc>
      </w:tr>
      <w:tr>
        <w:trPr>
          <w:trHeight w:val="0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模组版本</w:t>
            </w:r>
          </w:p>
        </w:tc>
        <w:tc>
          <w:tcPr>
            <w:tcW w:w="3870" w:type="dxa"/>
            <w:vAlign w:val="center"/>
          </w:tcPr>
          <w:p>
            <w:pPr/>
            <w:r>
              <w:rPr/>
              <w:t xml:space="preserve">上机识别SIM卡（和电位拉高相关）</w:t>
            </w:r>
          </w:p>
        </w:tc>
        <w:tc>
          <w:tcPr>
            <w:tcW w:w="4125" w:type="dxa"/>
            <w:vAlign w:val="center"/>
          </w:tcPr>
          <w:p>
            <w:pPr/>
            <w:r>
              <w:rPr>
                <w:color w:val="25272A"/>
                <w:highlight w:val="white"/>
              </w:rPr>
              <w:t xml:space="preserve">兼容检测（同平台搭载不同模组）</w:t>
            </w:r>
          </w:p>
        </w:tc>
      </w:tr>
      <w:tr>
        <w:trPr>
          <w:trHeight w:val="975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模组Linux升降级资料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highlight w:val="white"/>
              </w:rPr>
              <w:t xml:space="preserve">拨号上网</w:t>
            </w:r>
          </w:p>
        </w:tc>
        <w:tc>
          <w:tcPr>
            <w:tcW w:w="4125" w:type="dxa"/>
            <w:vAlign w:val="center"/>
          </w:tcPr>
          <w:p>
            <w:pPr/>
            <w:r>
              <w:rPr>
                <w:highlight w:val="white"/>
              </w:rPr>
              <w:t xml:space="preserve">模组后台调试，可能需要软件和硬件工具</w:t>
            </w:r>
          </w:p>
        </w:tc>
      </w:tr>
      <w:tr>
        <w:trPr>
          <w:trHeight w:val="615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模组log收集资料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highlight w:val="white"/>
              </w:rPr>
              <w:t xml:space="preserve">弱网重播</w:t>
            </w:r>
          </w:p>
        </w:tc>
        <w:tc>
          <w:tcPr>
            <w:tcW w:w="4125" w:type="dxa"/>
            <w:vAlign w:val="center"/>
          </w:tcPr>
          <w:p>
            <w:pPr/>
            <w:r>
              <w:rPr/>
            </w:r>
          </w:p>
        </w:tc>
      </w:tr>
      <w:tr>
        <w:trPr>
          <w:trHeight w:val="615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模组性能规格资料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highlight w:val="white"/>
              </w:rPr>
              <w:t xml:space="preserve">设置APN</w:t>
            </w:r>
          </w:p>
        </w:tc>
        <w:tc>
          <w:tcPr>
            <w:tcW w:w="4125" w:type="dxa"/>
            <w:vAlign w:val="center"/>
          </w:tcPr>
          <w:p>
            <w:pPr/>
            <w:r>
              <w:rPr/>
            </w:r>
          </w:p>
        </w:tc>
      </w:tr>
      <w:tr>
        <w:trPr>
          <w:trHeight w:val="0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模组驱动适配资料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highlight w:val="white"/>
              </w:rPr>
              <w:t xml:space="preserve">锁频段</w:t>
            </w:r>
          </w:p>
        </w:tc>
        <w:tc>
          <w:tcPr>
            <w:tcW w:w="4125" w:type="dxa"/>
            <w:vAlign w:val="center"/>
          </w:tcPr>
          <w:p>
            <w:pPr/>
            <w:r>
              <w:rPr/>
            </w:r>
          </w:p>
        </w:tc>
      </w:tr>
      <w:tr>
        <w:trPr>
          <w:trHeight w:val="615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模组重启资料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highlight w:val="white"/>
              </w:rPr>
              <w:t xml:space="preserve">锁小区频点</w:t>
            </w:r>
          </w:p>
        </w:tc>
        <w:tc>
          <w:tcPr>
            <w:tcW w:w="4125" w:type="dxa"/>
            <w:vAlign w:val="center"/>
          </w:tcPr>
          <w:p>
            <w:pPr/>
            <w:r>
              <w:rPr/>
            </w:r>
          </w:p>
        </w:tc>
      </w:tr>
      <w:tr>
        <w:trPr>
          <w:trHeight w:val="630"/>
        </w:trPr>
        <w:tc>
          <w:tcPr>
            <w:tcW w:w="3150" w:type="dxa"/>
            <w:vAlign w:val="center"/>
          </w:tcPr>
          <w:p>
            <w:pPr/>
            <w:r>
              <w:rPr/>
              <w:t xml:space="preserve">模组拨号流程资料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highlight w:val="white"/>
              </w:rPr>
              <w:t xml:space="preserve">重启模块业务恢复</w:t>
            </w:r>
          </w:p>
        </w:tc>
        <w:tc>
          <w:tcPr>
            <w:tcW w:w="4125" w:type="dxa"/>
            <w:vAlign w:val="center"/>
          </w:tcPr>
          <w:p>
            <w:pPr/>
            <w:r>
              <w:rPr/>
            </w:r>
          </w:p>
        </w:tc>
      </w:tr>
      <w:tr>
        <w:trPr>
          <w:trHeight w:val="615"/>
        </w:trPr>
        <w:tc>
          <w:tcPr>
            <w:tcW w:w="3150" w:type="dxa"/>
            <w:vAlign w:val="center"/>
          </w:tcPr>
          <w:p>
            <w:pPr/>
            <w:r>
              <w:rPr/>
              <w:t xml:space="preserve">模组拨号故障分析方法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color w:val="25272A"/>
                <w:highlight w:val="white"/>
              </w:rPr>
              <w:t xml:space="preserve">模块异常告警</w:t>
            </w:r>
          </w:p>
        </w:tc>
        <w:tc>
          <w:tcPr>
            <w:tcW w:w="4125" w:type="dxa"/>
            <w:vAlign w:val="center"/>
          </w:tcPr>
          <w:p>
            <w:pPr/>
            <w:r>
              <w:rPr>
                <w:highlight w:val="white"/>
              </w:rPr>
            </w:r>
          </w:p>
        </w:tc>
      </w:tr>
      <w:tr>
        <w:trPr>
          <w:trHeight w:val="615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  <w:t xml:space="preserve">模组后台调试资料</w:t>
            </w:r>
          </w:p>
        </w:tc>
        <w:tc>
          <w:tcPr>
            <w:tcW w:w="3870" w:type="dxa"/>
            <w:vAlign w:val="center"/>
          </w:tcPr>
          <w:p>
            <w:pPr/>
            <w:r>
              <w:rPr>
                <w:color w:val="25272A"/>
                <w:highlight w:val="white"/>
              </w:rPr>
              <w:t xml:space="preserve">信息上报（含型号、运营商等）</w:t>
            </w:r>
          </w:p>
        </w:tc>
        <w:tc>
          <w:tcPr>
            <w:tcW w:w="4125" w:type="dxa"/>
            <w:vAlign w:val="center"/>
          </w:tcPr>
          <w:p>
            <w:pPr/>
            <w:r>
              <w:rPr>
                <w:highlight w:val="white"/>
              </w:rPr>
            </w:r>
          </w:p>
        </w:tc>
      </w:tr>
      <w:tr>
        <w:trPr>
          <w:trHeight w:val="0"/>
        </w:trPr>
        <w:tc>
          <w:tcPr>
            <w:tcW w:w="3150" w:type="dxa"/>
            <w:vAlign w:val="center"/>
          </w:tcPr>
          <w:p>
            <w:pPr/>
            <w:r>
              <w:rPr>
                <w:highlight w:val="white"/>
              </w:rPr>
            </w:r>
          </w:p>
        </w:tc>
        <w:tc>
          <w:tcPr>
            <w:tcW w:w="3870" w:type="dxa"/>
            <w:vAlign w:val="center"/>
          </w:tcPr>
          <w:p>
            <w:pPr/>
            <w:r>
              <w:rPr/>
              <w:t xml:space="preserve">挂测一周</w:t>
            </w:r>
          </w:p>
        </w:tc>
        <w:tc>
          <w:tcPr>
            <w:tcW w:w="4125" w:type="dxa"/>
            <w:vAlign w:val="center"/>
          </w:tcPr>
          <w:p>
            <w:pPr/>
            <w:r>
              <w:rPr/>
            </w:r>
          </w:p>
        </w:tc>
      </w:tr>
    </w:tbl>
    <w:p>
      <w:pPr/>
      <w:r/>
    </w:p>
    <w:p>
      <w:pPr/>
      <w:r>
        <w:t xml:space="preserve">三、注意事项</w:t>
      </w:r>
    </w:p>
    <w:p>
      <w:pPr>
        <w:numPr>
          <w:ilvl w:val="1"/>
          <w:numId w:val="2"/>
        </w:numPr>
      </w:pPr>
      <w:r>
        <w:t xml:space="preserve">拨号方式上，大多数平台使用ECM_DEMO进程来管理。部分平台比如LW1301-MIFI、2X08-MAPN及后续要适配的H3C平台为其他方式。</w:t>
      </w:r>
    </w:p>
    <w:p>
      <w:pPr>
        <w:numPr>
          <w:ilvl w:val="1"/>
          <w:numId w:val="2"/>
        </w:numPr>
      </w:pPr>
      <w:r>
        <w:t xml:space="preserve">模块差异上，不同厂商生产的模块区别会大一些。比如EC20（移远）和ME3630（高新兴）差异就比较大，EC20（移远）和EC25（移远）差异不大，除了一些通用AT指令外，涉及高级功能的大部分不通用。</w:t>
      </w:r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1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num w:numId="2">
    <w:abstractNumId w:val="1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8F8F8"/>
      </w:tcPr>
    </w:tblStylePr>
    <w:tblStylePr w:type="firstCol">
      <w:tcPr>
        <w:shd w:val="clear" w:color="" w:fill="F8F8F8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alidocs.dingtalk.com/i/nodes/Gl6Pm2Db8D3mp2DMHrkxQ22ZJxLq0Ee4?utm_scene=person_space" TargetMode="External" />
  <Relationship Id="rId5" Type="http://schemas.openxmlformats.org/officeDocument/2006/relationships/hyperlink" Target="https://git.appexnetworks.com.cn/LightWAN/lw_fibocom_dial" TargetMode="External" />
  <Relationship Id="rId6" Type="http://schemas.openxmlformats.org/officeDocument/2006/relationships/hyperlink" Target="https://git.appexnetworks.com.cn/wangyao/quectel-manager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