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Module-Context 核心框架知识转化手册</w:t>
      </w:r>
    </w:p>
    <w:p>
      <w:pPr>
        <w:pStyle w:val="Subtitle"/>
        <w:jc w:val="center"/>
      </w:pPr>
      <w:r>
        <w:rPr>
          <w:rFonts w:ascii="Arial" w:hAnsi="Arial" w:eastAsia="Microsoft YaHei"/>
        </w:rPr>
        <w:t>面向新员工自学、代码维护与架构共识沉淀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范围</w:t>
            </w:r>
          </w:p>
        </w:tc>
        <w:tc>
          <w:tcPr>
            <w:tcW w:type="dxa" w:w="33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版本/依据</w:t>
            </w:r>
          </w:p>
        </w:tc>
        <w:tc>
          <w:tcPr>
            <w:tcW w:type="dxa" w:w="346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阅读目标</w:t>
            </w:r>
          </w:p>
        </w:tc>
      </w:tr>
      <w:tr>
        <w:tc>
          <w:tcPr>
            <w:tcW w:type="dxa" w:w="2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include/module_context/framework、src/framework</w:t>
            </w:r>
          </w:p>
        </w:tc>
        <w:tc>
          <w:tcPr>
            <w:tcW w:type="dxa" w:w="33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基于当前仓库核心框架层源码与测试用例</w:t>
            </w:r>
          </w:p>
        </w:tc>
        <w:tc>
          <w:tcPr>
            <w:tcW w:type="dxa" w:w="34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理解统一上下文、模块管理、插件工厂、能力接口与生命周期边界</w:t>
            </w:r>
          </w:p>
        </w:tc>
      </w:tr>
    </w:tbl>
    <w:p/>
    <w:p>
      <w:r>
        <w:rPr>
          <w:rFonts w:ascii="Arial" w:hAnsi="Arial" w:eastAsia="Microsoft YaHei"/>
          <w:b/>
        </w:rPr>
        <w:t>一句话总览：</w:t>
      </w:r>
      <w:r>
        <w:rPr>
          <w:rFonts w:ascii="Arial" w:hAnsi="Arial" w:eastAsia="Microsoft YaHei"/>
        </w:rPr>
        <w:t>Module-Context 把模块运行时拆成“统一上下文入口、模块管理器、插件化创建、能力接口注册、状态机生命周期”五个稳定边界，让业务模块可以按配置装载、按顺序启动、按能力协作，而不是互相硬编码依赖。</w:t>
      </w:r>
    </w:p>
    <w:p>
      <w:pPr>
        <w:pStyle w:val="Heading1"/>
      </w:pPr>
      <w:r>
        <w:rPr>
          <w:rFonts w:ascii="Arial" w:hAnsi="Arial" w:eastAsia="Microsoft YaHei"/>
        </w:rPr>
        <w:t>1. 架构构想：它想解决什么问题</w:t>
      </w:r>
    </w:p>
    <w:p>
      <w:pPr>
        <w:pStyle w:val="ListBullet"/>
      </w:pPr>
      <w:r>
        <w:rPr>
          <w:rFonts w:ascii="Arial" w:hAnsi="Arial" w:eastAsia="Microsoft YaHei"/>
        </w:rPr>
        <w:t>把模块从主程序中解耦出来：主程序只认识 IContext 和 IModuleManager，不直接 new 具体模块。</w:t>
      </w:r>
    </w:p>
    <w:p>
      <w:pPr>
        <w:pStyle w:val="ListBullet"/>
      </w:pPr>
      <w:r>
        <w:rPr>
          <w:rFonts w:ascii="Arial" w:hAnsi="Arial" w:eastAsia="Microsoft YaHei"/>
        </w:rPr>
        <w:t>把模块实例和业务能力分离：模块是生命周期单位，能力是对外协作接口，一个模块可以暴露多个能力。</w:t>
      </w:r>
    </w:p>
    <w:p>
      <w:pPr>
        <w:pStyle w:val="ListBullet"/>
      </w:pPr>
      <w:r>
        <w:rPr>
          <w:rFonts w:ascii="Arial" w:hAnsi="Arial" w:eastAsia="Microsoft YaHei"/>
        </w:rPr>
        <w:t>把配置变成运行时装配协议：配置声明 name/type/library_path/config，框架负责校验并创建实例。</w:t>
      </w:r>
    </w:p>
    <w:p>
      <w:pPr>
        <w:pStyle w:val="ListBullet"/>
      </w:pPr>
      <w:r>
        <w:rPr>
          <w:rFonts w:ascii="Arial" w:hAnsi="Arial" w:eastAsia="Microsoft YaHei"/>
        </w:rPr>
        <w:t>把生命周期变成可推理的状态机：Init/Start/Stop/Fini 的职责清晰，顺序可预测。</w:t>
      </w:r>
    </w:p>
    <w:p>
      <w:pPr>
        <w:pStyle w:val="ListBullet"/>
      </w:pPr>
      <w:r>
        <w:rPr>
          <w:rFonts w:ascii="Arial" w:hAnsi="Arial" w:eastAsia="Microsoft YaHei"/>
        </w:rPr>
        <w:t>把插件 ABI 收窄到 C 风格工厂符号：宿主只依赖固定创建/销毁入口，降低跨动态库耦合。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设计点</w:t>
            </w:r>
          </w:p>
        </w:tc>
        <w:tc>
          <w:tcPr>
            <w:tcW w:type="dxa" w:w="27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代码承载</w:t>
            </w:r>
          </w:p>
        </w:tc>
        <w:tc>
          <w:tcPr>
            <w:tcW w:type="dxa" w:w="486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好处</w:t>
            </w:r>
          </w:p>
        </w:tc>
      </w:tr>
      <w:tr>
        <w:tc>
          <w:tcPr>
            <w:tcW w:type="dxa" w:w="18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统一上下文入口</w:t>
            </w:r>
          </w:p>
        </w:tc>
        <w:tc>
          <w:tcPr>
            <w:tcW w:type="dxa" w:w="2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IContext / Context</w:t>
            </w:r>
          </w:p>
        </w:tc>
        <w:tc>
          <w:tcPr>
            <w:tcW w:type="dxa" w:w="48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应用层只需要一个入口驱动生命周期和发现服务，减少散落的全局对象。</w:t>
            </w:r>
          </w:p>
        </w:tc>
      </w:tr>
      <w:tr>
        <w:tc>
          <w:tcPr>
            <w:tcW w:type="dxa" w:w="18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模块管理器</w:t>
            </w:r>
          </w:p>
        </w:tc>
        <w:tc>
          <w:tcPr>
            <w:tcW w:type="dxa" w:w="2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IModuleManager / ModuleManager</w:t>
            </w:r>
          </w:p>
        </w:tc>
        <w:tc>
          <w:tcPr>
            <w:tcW w:type="dxa" w:w="48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装载、顺序、配置和生命周期集中管理，便于测试和错误定位。</w:t>
            </w:r>
          </w:p>
        </w:tc>
      </w:tr>
      <w:tr>
        <w:tc>
          <w:tcPr>
            <w:tcW w:type="dxa" w:w="18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插件工厂</w:t>
            </w:r>
          </w:p>
        </w:tc>
        <w:tc>
          <w:tcPr>
            <w:tcW w:type="dxa" w:w="2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PluginLoader&lt;IModule&gt; + MC_DECLARE_MODULE_FACTORY</w:t>
            </w:r>
          </w:p>
        </w:tc>
        <w:tc>
          <w:tcPr>
            <w:tcW w:type="dxa" w:w="48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模块实现可独立编译成动态库，宿主不依赖具体类。</w:t>
            </w:r>
          </w:p>
        </w:tc>
      </w:tr>
      <w:tr>
        <w:tc>
          <w:tcPr>
            <w:tcW w:type="dxa" w:w="18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能力注册</w:t>
            </w:r>
          </w:p>
        </w:tc>
        <w:tc>
          <w:tcPr>
            <w:tcW w:type="dxa" w:w="2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ServiceRegistry + ServiceTypeTraits</w:t>
            </w:r>
          </w:p>
        </w:tc>
        <w:tc>
          <w:tcPr>
            <w:tcW w:type="dxa" w:w="48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调用方按接口找能力，不按模块类型猜实现，支持同能力多实例。</w:t>
            </w:r>
          </w:p>
        </w:tc>
      </w:tr>
      <w:tr>
        <w:tc>
          <w:tcPr>
            <w:tcW w:type="dxa" w:w="18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生命周期基类</w:t>
            </w:r>
          </w:p>
        </w:tc>
        <w:tc>
          <w:tcPr>
            <w:tcW w:type="dxa" w:w="2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ModuleBase</w:t>
            </w:r>
          </w:p>
        </w:tc>
        <w:tc>
          <w:tcPr>
            <w:tcW w:type="dxa" w:w="48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状态校验和钩子封装在基类，具体模块只写业务初始化/启动/停止。</w:t>
            </w:r>
          </w:p>
        </w:tc>
      </w:tr>
    </w:tbl>
    <w:p/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2. 核心对象职责图谱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600"/>
        <w:gridCol w:w="4650"/>
        <w:gridCol w:w="3110"/>
      </w:tblGrid>
      <w:tr>
        <w:trPr>
          <w:tblHeader w:val="true"/>
        </w:trPr>
        <w:tc>
          <w:tcPr>
            <w:tcW w:type="dxa" w:w="16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对象</w:t>
            </w:r>
          </w:p>
        </w:tc>
        <w:tc>
          <w:tcPr>
            <w:tcW w:type="dxa" w:w="465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职责边界</w:t>
            </w:r>
          </w:p>
        </w:tc>
        <w:tc>
          <w:tcPr>
            <w:tcW w:type="dxa" w:w="311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不该承担的事</w:t>
            </w:r>
          </w:p>
        </w:tc>
      </w:tr>
      <w:tr>
        <w:tc>
          <w:tcPr>
            <w:tcW w:type="dxa" w:w="1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IContext</w:t>
            </w:r>
          </w:p>
        </w:tc>
        <w:tc>
          <w:tcPr>
            <w:tcW w:type="dxa" w:w="46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统一门面：暴露模块管理器，驱动 Init/Start/Stop/Fini，按能力查询服务。</w:t>
            </w:r>
          </w:p>
        </w:tc>
        <w:tc>
          <w:tcPr>
            <w:tcW w:type="dxa" w:w="31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不解析配置、不直接保存插件句柄、不关心模块具体类型。</w:t>
            </w:r>
          </w:p>
        </w:tc>
      </w:tr>
      <w:tr>
        <w:tc>
          <w:tcPr>
            <w:tcW w:type="dxa" w:w="1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IModuleManager</w:t>
            </w:r>
          </w:p>
        </w:tc>
        <w:tc>
          <w:tcPr>
            <w:tcW w:type="dxa" w:w="46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模块级管理：加载配置、创建模块实例、保存模块配置、驱动生命周期、按实例名查询模块。</w:t>
            </w:r>
          </w:p>
        </w:tc>
        <w:tc>
          <w:tcPr>
            <w:tcW w:type="dxa" w:w="31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不作为业务服务入口，不替代 IContext::GetService。</w:t>
            </w:r>
          </w:p>
        </w:tc>
      </w:tr>
      <w:tr>
        <w:tc>
          <w:tcPr>
            <w:tcW w:type="dxa" w:w="1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IModule</w:t>
            </w:r>
          </w:p>
        </w:tc>
        <w:tc>
          <w:tcPr>
            <w:tcW w:type="dxa" w:w="46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模块运行时抽象：提供实例名、类型、版本和生命周期接口。</w:t>
            </w:r>
          </w:p>
        </w:tc>
        <w:tc>
          <w:tcPr>
            <w:tcW w:type="dxa" w:w="31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不表达业务能力本身，业务能力应通过独立服务接口声明。</w:t>
            </w:r>
          </w:p>
        </w:tc>
      </w:tr>
      <w:tr>
        <w:tc>
          <w:tcPr>
            <w:tcW w:type="dxa" w:w="1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ModuleBase</w:t>
            </w:r>
          </w:p>
        </w:tc>
        <w:tc>
          <w:tcPr>
            <w:tcW w:type="dxa" w:w="46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默认生命周期状态机：保存上下文，包装 OnInit/OnStart/OnStop/OnFini。</w:t>
            </w:r>
          </w:p>
        </w:tc>
        <w:tc>
          <w:tcPr>
            <w:tcW w:type="dxa" w:w="31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不替具体模块决定资源内容和业务线程模型。</w:t>
            </w:r>
          </w:p>
        </w:tc>
      </w:tr>
      <w:tr>
        <w:tc>
          <w:tcPr>
            <w:tcW w:type="dxa" w:w="1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ServiceRegistry</w:t>
            </w:r>
          </w:p>
        </w:tc>
        <w:tc>
          <w:tcPr>
            <w:tcW w:type="dxa" w:w="46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能力索引：保存服务键、实例名、模块指针之间的映射。</w:t>
            </w:r>
          </w:p>
        </w:tc>
        <w:tc>
          <w:tcPr>
            <w:tcW w:type="dxa" w:w="31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不拥有模块对象，不负责动态库生命周期。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</w:rPr>
        <w:t>3. 运行时主流程</w:t>
      </w:r>
    </w:p>
    <w:p>
      <w:pPr>
        <w:pStyle w:val="ListBullet"/>
      </w:pPr>
      <w:r>
        <w:rPr>
          <w:rFonts w:ascii="Arial" w:hAnsi="Arial" w:eastAsia="Microsoft YaHei"/>
        </w:rPr>
        <w:t>调用方通过 IContext::Instance() 获取默认上下文，并从 ModuleManager() 取得模块管理器。</w:t>
      </w:r>
    </w:p>
    <w:p>
      <w:pPr>
        <w:pStyle w:val="ListBullet"/>
      </w:pPr>
      <w:r>
        <w:rPr>
          <w:rFonts w:ascii="Arial" w:hAnsi="Arial" w:eastAsia="Microsoft YaHei"/>
        </w:rPr>
        <w:t>模块管理器读取 schema_version=2 的配置文件，解析 modules 数组。</w:t>
      </w:r>
    </w:p>
    <w:p>
      <w:pPr>
        <w:pStyle w:val="ListBullet"/>
      </w:pPr>
      <w:r>
        <w:rPr>
          <w:rFonts w:ascii="Arial" w:hAnsi="Arial" w:eastAsia="Microsoft YaHei"/>
        </w:rPr>
        <w:t>每个模块条目先转换为 ModuleConfigSpec，并把相对 library_path 归一化为绝对路径。</w:t>
      </w:r>
    </w:p>
    <w:p>
      <w:pPr>
        <w:pStyle w:val="ListBullet"/>
      </w:pPr>
      <w:r>
        <w:rPr>
          <w:rFonts w:ascii="Arial" w:hAnsi="Arial" w:eastAsia="Microsoft YaHei"/>
        </w:rPr>
        <w:t>ModuleManager 使用 PluginLoader 打开动态库并创建 IModule 实例。</w:t>
      </w:r>
    </w:p>
    <w:p>
      <w:pPr>
        <w:pStyle w:val="ListBullet"/>
      </w:pPr>
      <w:r>
        <w:rPr>
          <w:rFonts w:ascii="Arial" w:hAnsi="Arial" w:eastAsia="Microsoft YaHei"/>
        </w:rPr>
        <w:t>框架注入配置中的 name，并校验运行时 ModuleType() 是否等于配置 type。</w:t>
      </w:r>
    </w:p>
    <w:p>
      <w:pPr>
        <w:pStyle w:val="ListBullet"/>
      </w:pPr>
      <w:r>
        <w:rPr>
          <w:rFonts w:ascii="Arial" w:hAnsi="Arial" w:eastAsia="Microsoft YaHei"/>
        </w:rPr>
        <w:t>批量加载采用两阶段提交：所有模块创建和校验成功后，才写入模块表、顺序表和配置表。</w:t>
      </w:r>
    </w:p>
    <w:p>
      <w:pPr>
        <w:pStyle w:val="ListBullet"/>
      </w:pPr>
      <w:r>
        <w:rPr>
          <w:rFonts w:ascii="Arial" w:hAnsi="Arial" w:eastAsia="Microsoft YaHei"/>
        </w:rPr>
        <w:t>StoreLoadedModule 保存模块句柄，并通过 ServiceRegistry 登记该模块实现的已知服务接口。</w:t>
      </w:r>
    </w:p>
    <w:p>
      <w:pPr>
        <w:pStyle w:val="ListBullet"/>
      </w:pPr>
      <w:r>
        <w:rPr>
          <w:rFonts w:ascii="Arial" w:hAnsi="Arial" w:eastAsia="Microsoft YaHei"/>
        </w:rPr>
        <w:t>Init/Start 按装载顺序执行；Stop/Fini 按逆序执行。</w:t>
      </w:r>
    </w:p>
    <w:p>
      <w:pPr>
        <w:pStyle w:val="ListBullet"/>
      </w:pPr>
      <w:r>
        <w:rPr>
          <w:rFonts w:ascii="Arial" w:hAnsi="Arial" w:eastAsia="Microsoft YaHei"/>
        </w:rPr>
        <w:t>业务调用方通过 IContext::GetService&lt;T&gt;() 取得能力接口，而不是直接依赖模块实现。</w:t>
      </w:r>
    </w:p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4. 生命周期语义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250"/>
        <w:gridCol w:w="2100"/>
        <w:gridCol w:w="1850"/>
        <w:gridCol w:w="4160"/>
      </w:tblGrid>
      <w:tr>
        <w:trPr>
          <w:tblHeader w:val="true"/>
        </w:trPr>
        <w:tc>
          <w:tcPr>
            <w:tcW w:type="dxa" w:w="125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状态</w:t>
            </w:r>
          </w:p>
        </w:tc>
        <w:tc>
          <w:tcPr>
            <w:tcW w:type="dxa" w:w="21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进入方式</w:t>
            </w:r>
          </w:p>
        </w:tc>
        <w:tc>
          <w:tcPr>
            <w:tcW w:type="dxa" w:w="185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允许的下一步</w:t>
            </w:r>
          </w:p>
        </w:tc>
        <w:tc>
          <w:tcPr>
            <w:tcW w:type="dxa" w:w="416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维护含义</w:t>
            </w:r>
          </w:p>
        </w:tc>
      </w:tr>
      <w:tr>
        <w:tc>
          <w:tcPr>
            <w:tcW w:type="dxa" w:w="12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Created</w:t>
            </w:r>
          </w:p>
        </w:tc>
        <w:tc>
          <w:tcPr>
            <w:tcW w:type="dxa" w:w="21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插件实例构造完成；可注入实例名。</w:t>
            </w:r>
          </w:p>
        </w:tc>
        <w:tc>
          <w:tcPr>
            <w:tcW w:type="dxa" w:w="1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Init 或 Fini</w:t>
            </w:r>
          </w:p>
        </w:tc>
        <w:tc>
          <w:tcPr>
            <w:tcW w:type="dxa" w:w="41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模块尚未绑定上下文，不应访问服务。</w:t>
            </w:r>
          </w:p>
        </w:tc>
      </w:tr>
      <w:tr>
        <w:tc>
          <w:tcPr>
            <w:tcW w:type="dxa" w:w="12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Inited</w:t>
            </w:r>
          </w:p>
        </w:tc>
        <w:tc>
          <w:tcPr>
            <w:tcW w:type="dxa" w:w="21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OnInit 成功。</w:t>
            </w:r>
          </w:p>
        </w:tc>
        <w:tc>
          <w:tcPr>
            <w:tcW w:type="dxa" w:w="1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Start 或 Fini</w:t>
            </w:r>
          </w:p>
        </w:tc>
        <w:tc>
          <w:tcPr>
            <w:tcW w:type="dxa" w:w="41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资源准备完成，但业务循环尚未运行。</w:t>
            </w:r>
          </w:p>
        </w:tc>
      </w:tr>
      <w:tr>
        <w:tc>
          <w:tcPr>
            <w:tcW w:type="dxa" w:w="12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Started</w:t>
            </w:r>
          </w:p>
        </w:tc>
        <w:tc>
          <w:tcPr>
            <w:tcW w:type="dxa" w:w="21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OnStart 成功。</w:t>
            </w:r>
          </w:p>
        </w:tc>
        <w:tc>
          <w:tcPr>
            <w:tcW w:type="dxa" w:w="1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Stop 或 Fini</w:t>
            </w:r>
          </w:p>
        </w:tc>
        <w:tc>
          <w:tcPr>
            <w:tcW w:type="dxa" w:w="41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模块正在提供运行态能力。</w:t>
            </w:r>
          </w:p>
        </w:tc>
      </w:tr>
      <w:tr>
        <w:tc>
          <w:tcPr>
            <w:tcW w:type="dxa" w:w="12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Stopped</w:t>
            </w:r>
          </w:p>
        </w:tc>
        <w:tc>
          <w:tcPr>
            <w:tcW w:type="dxa" w:w="21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OnStop 成功。</w:t>
            </w:r>
          </w:p>
        </w:tc>
        <w:tc>
          <w:tcPr>
            <w:tcW w:type="dxa" w:w="1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Start 或 Fini</w:t>
            </w:r>
          </w:p>
        </w:tc>
        <w:tc>
          <w:tcPr>
            <w:tcW w:type="dxa" w:w="41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运行态资源已停止，初始化资源仍可复用。</w:t>
            </w:r>
          </w:p>
        </w:tc>
      </w:tr>
      <w:tr>
        <w:tc>
          <w:tcPr>
            <w:tcW w:type="dxa" w:w="12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Fini</w:t>
            </w:r>
          </w:p>
        </w:tc>
        <w:tc>
          <w:tcPr>
            <w:tcW w:type="dxa" w:w="21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OnFini 完成或框架完成终态清理。</w:t>
            </w:r>
          </w:p>
        </w:tc>
        <w:tc>
          <w:tcPr>
            <w:tcW w:type="dxa" w:w="1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Init</w:t>
            </w:r>
          </w:p>
        </w:tc>
        <w:tc>
          <w:tcPr>
            <w:tcW w:type="dxa" w:w="41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模块资源已释放；若重新使用，需要重新初始化。</w:t>
            </w:r>
          </w:p>
        </w:tc>
      </w:tr>
    </w:tbl>
    <w:p/>
    <w:p>
      <w:r>
        <w:rPr>
          <w:rFonts w:ascii="Arial" w:hAnsi="Arial" w:eastAsia="Microsoft YaHei"/>
          <w:b/>
        </w:rPr>
        <w:t>关键维护点：</w:t>
      </w:r>
      <w:r>
        <w:rPr>
          <w:rFonts w:ascii="Arial" w:hAnsi="Arial" w:eastAsia="Microsoft YaHei"/>
        </w:rPr>
        <w:t>ModuleManager::Stop() 只停止已经到达 Started 的模块。这样在 Start 部分失败后，尚未启动的模块不会产生无效状态错误；它们的初始化资源由 Fini() 统一释放。</w:t>
      </w:r>
    </w:p>
    <w:p>
      <w:pPr>
        <w:pStyle w:val="Heading1"/>
      </w:pPr>
      <w:r>
        <w:rPr>
          <w:rFonts w:ascii="Arial" w:hAnsi="Arial" w:eastAsia="Microsoft YaHei"/>
        </w:rPr>
        <w:t>5. 为什么要“模块”和“能力”分离</w:t>
      </w:r>
    </w:p>
    <w:p>
      <w:pPr>
        <w:pStyle w:val="ListBullet"/>
      </w:pPr>
      <w:r>
        <w:rPr>
          <w:rFonts w:ascii="Arial" w:hAnsi="Arial" w:eastAsia="Microsoft YaHei"/>
        </w:rPr>
        <w:t>模块是部署和生命周期单位，能力是业务协作接口。把两者混在一起，会让调用方必须知道谁实现了什么。</w:t>
      </w:r>
    </w:p>
    <w:p>
      <w:pPr>
        <w:pStyle w:val="ListBullet"/>
      </w:pPr>
      <w:r>
        <w:rPr>
          <w:rFonts w:ascii="Arial" w:hAnsi="Arial" w:eastAsia="Microsoft YaHei"/>
        </w:rPr>
        <w:t>ServiceTypeTraits 把 C++ 接口类型映射到稳定服务键，ServiceRegistry 再把服务键映射到具名模块实例。</w:t>
      </w:r>
    </w:p>
    <w:p>
      <w:pPr>
        <w:pStyle w:val="ListBullet"/>
      </w:pPr>
      <w:r>
        <w:rPr>
          <w:rFonts w:ascii="Arial" w:hAnsi="Arial" w:eastAsia="Microsoft YaHei"/>
        </w:rPr>
        <w:t>同一个能力可以有多个实例，例如 primary/backup 两个消息总线；调用方可选择具名查询，也可在单实例场景使用唯一查询。</w:t>
      </w:r>
    </w:p>
    <w:p>
      <w:pPr>
        <w:pStyle w:val="ListBullet"/>
      </w:pPr>
      <w:r>
        <w:rPr>
          <w:rFonts w:ascii="Arial" w:hAnsi="Arial" w:eastAsia="Microsoft YaHei"/>
        </w:rPr>
        <w:t>这种方式天然支持模块替换：只要新模块实现同一个服务接口，调用方无需改业务代码。</w:t>
      </w:r>
    </w:p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6. 配置协议与两阶段提交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配置字段</w:t>
            </w:r>
          </w:p>
        </w:tc>
        <w:tc>
          <w:tcPr>
            <w:tcW w:type="dxa" w:w="36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语义</w:t>
            </w:r>
          </w:p>
        </w:tc>
        <w:tc>
          <w:tcPr>
            <w:tcW w:type="dxa" w:w="426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框架校验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schema_version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配置 schema 版本，当前为 2。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必须存在且等于框架支持版本。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modules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模块声明数组。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必须是数组，每个元素必须是对象。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name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模块实例名。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必须是非空字符串，并且同一配置内不能重复。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type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插件声明的模块类型名。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必须是非空字符串，并与运行时 ModuleType() 匹配。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library_path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插件动态库路径。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必须是非空字符串；相对路径按配置文件目录归一化。</w:t>
            </w:r>
          </w:p>
        </w:tc>
      </w:tr>
      <w:tr>
        <w:tc>
          <w:tcPr>
            <w:tcW w:type="dxa" w:w="15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config</w:t>
            </w:r>
          </w:p>
        </w:tc>
        <w:tc>
          <w:tcPr>
            <w:tcW w:type="dxa" w:w="36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传给模块读取的实例配置。</w:t>
            </w:r>
          </w:p>
        </w:tc>
        <w:tc>
          <w:tcPr>
            <w:tcW w:type="dxa" w:w="426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可选；若存在必须是对象。</w:t>
            </w:r>
          </w:p>
        </w:tc>
      </w:tr>
    </w:tbl>
    <w:p/>
    <w:p>
      <w:r>
        <w:rPr>
          <w:rFonts w:ascii="Arial" w:hAnsi="Arial" w:eastAsia="Microsoft YaHei"/>
          <w:b/>
        </w:rPr>
        <w:t>两阶段提交的价值：</w:t>
      </w:r>
      <w:r>
        <w:rPr>
          <w:rFonts w:ascii="Arial" w:hAnsi="Arial" w:eastAsia="Microsoft YaHei"/>
        </w:rPr>
        <w:t>批量加载时先把所有模块创建到 staged_modules，全部成功后才写入正式容器。这样配置里某个模块失败时，管理器不会留下半装载状态，后续排查更直接。</w:t>
      </w:r>
    </w:p>
    <w:p>
      <w:pPr>
        <w:pStyle w:val="Heading1"/>
      </w:pPr>
      <w:r>
        <w:rPr>
          <w:rFonts w:ascii="Arial" w:hAnsi="Arial" w:eastAsia="Microsoft YaHei"/>
        </w:rPr>
        <w:t>7. 新增模块的接入清单</w:t>
      </w:r>
    </w:p>
    <w:p>
      <w:pPr>
        <w:pStyle w:val="ListBullet"/>
      </w:pPr>
      <w:r>
        <w:rPr>
          <w:rFonts w:ascii="Arial" w:hAnsi="Arial" w:eastAsia="Microsoft YaHei"/>
        </w:rPr>
        <w:t>继承 ModuleBase，并实现 ModuleType()、ModuleVersion()。ModuleType() 必须和配置 type 保持一致。</w:t>
      </w:r>
    </w:p>
    <w:p>
      <w:pPr>
        <w:pStyle w:val="ListBullet"/>
      </w:pPr>
      <w:r>
        <w:rPr>
          <w:rFonts w:ascii="Arial" w:hAnsi="Arial" w:eastAsia="Microsoft YaHei"/>
        </w:rPr>
        <w:t>在 OnInit() 中读取 ModuleConfig(ModuleName())，准备资源和依赖；不要启动长时间运行的线程。</w:t>
      </w:r>
    </w:p>
    <w:p>
      <w:pPr>
        <w:pStyle w:val="ListBullet"/>
      </w:pPr>
      <w:r>
        <w:rPr>
          <w:rFonts w:ascii="Arial" w:hAnsi="Arial" w:eastAsia="Microsoft YaHei"/>
        </w:rPr>
        <w:t>在 OnStart() 中启动运行态行为，例如连接、订阅、线程或定时器。</w:t>
      </w:r>
    </w:p>
    <w:p>
      <w:pPr>
        <w:pStyle w:val="ListBullet"/>
      </w:pPr>
      <w:r>
        <w:rPr>
          <w:rFonts w:ascii="Arial" w:hAnsi="Arial" w:eastAsia="Microsoft YaHei"/>
        </w:rPr>
        <w:t>在 OnStop() 中停止运行态行为；在 OnFini() 中释放初始化阶段资源。</w:t>
      </w:r>
    </w:p>
    <w:p>
      <w:pPr>
        <w:pStyle w:val="ListBullet"/>
      </w:pPr>
      <w:r>
        <w:rPr>
          <w:rFonts w:ascii="Arial" w:hAnsi="Arial" w:eastAsia="Microsoft YaHei"/>
        </w:rPr>
        <w:t>使用 MC_DECLARE_MODULE_FACTORY 导出插件工厂符号。</w:t>
      </w:r>
    </w:p>
    <w:p>
      <w:pPr>
        <w:pStyle w:val="ListBullet"/>
      </w:pPr>
      <w:r>
        <w:rPr>
          <w:rFonts w:ascii="Arial" w:hAnsi="Arial" w:eastAsia="Microsoft YaHei"/>
        </w:rPr>
        <w:t>为模块写配置条目，并通过 ModuleManager 配置测试验证 name/type/library_path/config。</w:t>
      </w:r>
    </w:p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8. 新增能力接口的接入清单</w:t>
      </w:r>
    </w:p>
    <w:p>
      <w:pPr>
        <w:pStyle w:val="ListBullet"/>
      </w:pPr>
      <w:r>
        <w:rPr>
          <w:rFonts w:ascii="Arial" w:hAnsi="Arial" w:eastAsia="Microsoft YaHei"/>
        </w:rPr>
        <w:t>在 include/module_context/&lt;domain&gt;/ 下声明纯接口，例如 IMessageBusService。</w:t>
      </w:r>
    </w:p>
    <w:p>
      <w:pPr>
        <w:pStyle w:val="ListBullet"/>
      </w:pPr>
      <w:r>
        <w:rPr>
          <w:rFonts w:ascii="Arial" w:hAnsi="Arial" w:eastAsia="Microsoft YaHei"/>
        </w:rPr>
        <w:t>为该接口特化 ServiceTypeTraits&lt;T&gt;::Key()，服务键应稳定、可读、带命名空间。</w:t>
      </w:r>
    </w:p>
    <w:p>
      <w:pPr>
        <w:pStyle w:val="ListBullet"/>
      </w:pPr>
      <w:r>
        <w:rPr>
          <w:rFonts w:ascii="Arial" w:hAnsi="Arial" w:eastAsia="Microsoft YaHei"/>
        </w:rPr>
        <w:t>模块实现类继承该能力接口，并由 ServiceRegistry::RegisterKnownServices 识别。</w:t>
      </w:r>
    </w:p>
    <w:p>
      <w:pPr>
        <w:pStyle w:val="ListBullet"/>
      </w:pPr>
      <w:r>
        <w:rPr>
          <w:rFonts w:ascii="Arial" w:hAnsi="Arial" w:eastAsia="Microsoft YaHei"/>
        </w:rPr>
        <w:t>如果同一能力可能多实例，调用方优先使用 GetService&lt;T&gt;(name) 具名查询。</w:t>
      </w:r>
    </w:p>
    <w:p>
      <w:pPr>
        <w:pStyle w:val="ListBullet"/>
      </w:pPr>
      <w:r>
        <w:rPr>
          <w:rFonts w:ascii="Arial" w:hAnsi="Arial" w:eastAsia="Microsoft YaHei"/>
        </w:rPr>
        <w:t>新增测试：单实例唯一查询、多实例唯一查询失败、具名查询成功、类型转换失败。</w:t>
      </w:r>
    </w:p>
    <w:p>
      <w:pPr>
        <w:pStyle w:val="Heading1"/>
      </w:pPr>
      <w:r>
        <w:rPr>
          <w:rFonts w:ascii="Arial" w:hAnsi="Arial" w:eastAsia="Microsoft YaHei"/>
        </w:rPr>
        <w:t>9. 维护时最容易走偏的地方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700"/>
        <w:gridCol w:w="3850"/>
        <w:gridCol w:w="3810"/>
      </w:tblGrid>
      <w:tr>
        <w:trPr>
          <w:tblHeader w:val="true"/>
        </w:trPr>
        <w:tc>
          <w:tcPr>
            <w:tcW w:type="dxa" w:w="170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风险</w:t>
            </w:r>
          </w:p>
        </w:tc>
        <w:tc>
          <w:tcPr>
            <w:tcW w:type="dxa" w:w="385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表现</w:t>
            </w:r>
          </w:p>
        </w:tc>
        <w:tc>
          <w:tcPr>
            <w:tcW w:type="dxa" w:w="3810"/>
            <w:shd w:fill="EAF2F8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1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把模块类型当实例名</w:t>
            </w:r>
          </w:p>
        </w:tc>
        <w:tc>
          <w:tcPr>
            <w:tcW w:type="dxa" w:w="3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Module("rabbitmq_bus") 找不到，因为配置实例名可能是 bus_primary。</w:t>
            </w:r>
          </w:p>
        </w:tc>
        <w:tc>
          <w:tcPr>
            <w:tcW w:type="dxa" w:w="38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接口文档和配置示例始终区分 name 与 type。</w:t>
            </w:r>
          </w:p>
        </w:tc>
      </w:tr>
      <w:tr>
        <w:tc>
          <w:tcPr>
            <w:tcW w:type="dxa" w:w="1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跳过 type 校验</w:t>
            </w:r>
          </w:p>
        </w:tc>
        <w:tc>
          <w:tcPr>
            <w:tcW w:type="dxa" w:w="3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配置错库时可能到启动阶段才失败。</w:t>
            </w:r>
          </w:p>
        </w:tc>
        <w:tc>
          <w:tcPr>
            <w:tcW w:type="dxa" w:w="38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保持装载阶段校验 ModuleType() 与配置 type。</w:t>
            </w:r>
          </w:p>
        </w:tc>
      </w:tr>
      <w:tr>
        <w:tc>
          <w:tcPr>
            <w:tcW w:type="dxa" w:w="1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服务注册过于隐式</w:t>
            </w:r>
          </w:p>
        </w:tc>
        <w:tc>
          <w:tcPr>
            <w:tcW w:type="dxa" w:w="3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新增能力接口后 GetService 找不到。</w:t>
            </w:r>
          </w:p>
        </w:tc>
        <w:tc>
          <w:tcPr>
            <w:tcW w:type="dxa" w:w="38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补 ServiceTypeTraits 特化和 ServiceRegistry 白名单分支。</w:t>
            </w:r>
          </w:p>
        </w:tc>
      </w:tr>
      <w:tr>
        <w:tc>
          <w:tcPr>
            <w:tcW w:type="dxa" w:w="1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Start 失败后直接 Stop 全部模块</w:t>
            </w:r>
          </w:p>
        </w:tc>
        <w:tc>
          <w:tcPr>
            <w:tcW w:type="dxa" w:w="3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未启动模块返回无效状态，掩盖已启动模块的停止问题。</w:t>
            </w:r>
          </w:p>
        </w:tc>
        <w:tc>
          <w:tcPr>
            <w:tcW w:type="dxa" w:w="38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Stop 只处理 Started，Fini 负责剩余资源释放。</w:t>
            </w:r>
          </w:p>
        </w:tc>
      </w:tr>
      <w:tr>
        <w:tc>
          <w:tcPr>
            <w:tcW w:type="dxa" w:w="170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在模块之间直接 dynamic_cast 具体类</w:t>
            </w:r>
          </w:p>
        </w:tc>
        <w:tc>
          <w:tcPr>
            <w:tcW w:type="dxa" w:w="385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模块替换和多实例部署困难。</w:t>
            </w:r>
          </w:p>
        </w:tc>
        <w:tc>
          <w:tcPr>
            <w:tcW w:type="dxa" w:w="3810"/>
            <w:tcMar>
              <w:top w:w="90" w:type="dxa"/>
              <w:start w:w="125" w:type="dxa"/>
              <w:bottom w:w="90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跨模块协作只依赖服务接口。</w:t>
            </w:r>
          </w:p>
        </w:tc>
      </w:tr>
    </w:tbl>
    <w:p/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10. 推荐阅读路径</w:t>
      </w:r>
    </w:p>
    <w:p>
      <w:pPr>
        <w:pStyle w:val="ListBullet"/>
      </w:pPr>
      <w:r>
        <w:rPr>
          <w:rFonts w:ascii="Arial" w:hAnsi="Arial" w:eastAsia="Microsoft YaHei"/>
        </w:rPr>
        <w:t>先读 include/module_context/framework/IContext.h，理解统一入口和服务查询方式。</w:t>
      </w:r>
    </w:p>
    <w:p>
      <w:pPr>
        <w:pStyle w:val="ListBullet"/>
      </w:pPr>
      <w:r>
        <w:rPr>
          <w:rFonts w:ascii="Arial" w:hAnsi="Arial" w:eastAsia="Microsoft YaHei"/>
        </w:rPr>
        <w:t>再读 IModule.h 与 ModuleState.h，确认生命周期职责边界。</w:t>
      </w:r>
    </w:p>
    <w:p>
      <w:pPr>
        <w:pStyle w:val="ListBullet"/>
      </w:pPr>
      <w:r>
        <w:rPr>
          <w:rFonts w:ascii="Arial" w:hAnsi="Arial" w:eastAsia="Microsoft YaHei"/>
        </w:rPr>
        <w:t>读 IModuleManager.h，区分模块管理和业务服务发现。</w:t>
      </w:r>
    </w:p>
    <w:p>
      <w:pPr>
        <w:pStyle w:val="ListBullet"/>
      </w:pPr>
      <w:r>
        <w:rPr>
          <w:rFonts w:ascii="Arial" w:hAnsi="Arial" w:eastAsia="Microsoft YaHei"/>
        </w:rPr>
        <w:t>读 src/framework/ModuleBase.cpp，掌握状态机和钩子包装方式。</w:t>
      </w:r>
    </w:p>
    <w:p>
      <w:pPr>
        <w:pStyle w:val="ListBullet"/>
      </w:pPr>
      <w:r>
        <w:rPr>
          <w:rFonts w:ascii="Arial" w:hAnsi="Arial" w:eastAsia="Microsoft YaHei"/>
        </w:rPr>
        <w:t>读 src/framework/ModuleManager.cpp，重点看配置解析、两阶段提交、顺序驱动和 Stop/Fini。</w:t>
      </w:r>
    </w:p>
    <w:p>
      <w:pPr>
        <w:pStyle w:val="ListBullet"/>
      </w:pPr>
      <w:r>
        <w:rPr>
          <w:rFonts w:ascii="Arial" w:hAnsi="Arial" w:eastAsia="Microsoft YaHei"/>
        </w:rPr>
        <w:t>读 src/framework/ServiceRegistry.cpp，理解能力接口是如何从模块实例上登记出来的。</w:t>
      </w:r>
    </w:p>
    <w:p>
      <w:pPr>
        <w:pStyle w:val="ListBullet"/>
      </w:pPr>
      <w:r>
        <w:rPr>
          <w:rFonts w:ascii="Arial" w:hAnsi="Arial" w:eastAsia="Microsoft YaHei"/>
        </w:rPr>
        <w:t>最后读 tests/module_manager_config_test.cpp，把测试当作可执行规格。</w:t>
      </w:r>
    </w:p>
    <w:p>
      <w:pPr>
        <w:pStyle w:val="Heading1"/>
      </w:pPr>
      <w:r>
        <w:rPr>
          <w:rFonts w:ascii="Arial" w:hAnsi="Arial" w:eastAsia="Microsoft YaHei"/>
        </w:rPr>
        <w:t>11. 自学检查题</w:t>
      </w:r>
    </w:p>
    <w:p>
      <w:pPr>
        <w:pStyle w:val="ListBullet"/>
      </w:pPr>
      <w:r>
        <w:rPr>
          <w:rFonts w:ascii="Arial" w:hAnsi="Arial" w:eastAsia="Microsoft YaHei"/>
        </w:rPr>
        <w:t>为什么 GetService&lt;T&gt;() 需要 ServiceTypeTraits&lt;T&gt;，而不是直接用 typeid(T).name()？</w:t>
      </w:r>
    </w:p>
    <w:p>
      <w:pPr>
        <w:pStyle w:val="ListBullet"/>
      </w:pPr>
      <w:r>
        <w:rPr>
          <w:rFonts w:ascii="Arial" w:hAnsi="Arial" w:eastAsia="Microsoft YaHei"/>
        </w:rPr>
        <w:t>为什么 ModuleManager::LoadModules() 要先 staged，再统一 StoreLoadedModule？</w:t>
      </w:r>
    </w:p>
    <w:p>
      <w:pPr>
        <w:pStyle w:val="ListBullet"/>
      </w:pPr>
      <w:r>
        <w:rPr>
          <w:rFonts w:ascii="Arial" w:hAnsi="Arial" w:eastAsia="Microsoft YaHei"/>
        </w:rPr>
        <w:t>如果一个模块同时实现消息总线和 HTTP 传输能力，ServiceRegistry 应如何登记？</w:t>
      </w:r>
    </w:p>
    <w:p>
      <w:pPr>
        <w:pStyle w:val="ListBullet"/>
      </w:pPr>
      <w:r>
        <w:rPr>
          <w:rFonts w:ascii="Arial" w:hAnsi="Arial" w:eastAsia="Microsoft YaHei"/>
        </w:rPr>
        <w:t>Start 第三个模块失败后，Stop 和 Fini 各自应该处理哪些模块？</w:t>
      </w:r>
    </w:p>
    <w:p>
      <w:pPr>
        <w:pStyle w:val="ListBullet"/>
      </w:pPr>
      <w:r>
        <w:rPr>
          <w:rFonts w:ascii="Arial" w:hAnsi="Arial" w:eastAsia="Microsoft YaHei"/>
        </w:rPr>
        <w:t>新增一个能力接口时，只改模块实现够不够？还需要改哪些位置？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>Module-Context / Framework Layer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8"/>
      </w:rPr>
      <w:t>Module-Context 核心框架知识转化手册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rial" w:hAnsi="Arial" w:eastAsia="Microsoft Ya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