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1F4E79"/>
          <w:sz w:val="44"/>
          <w:rFonts w:ascii="Arial" w:hAnsi="Arial" w:eastAsia="Arial" w:cs="Arial"/>
        </w:rPr>
        <w:t>Module-Context 核心框架知识转化手册</w:t>
      </w:r>
    </w:p>
    <w:p>
      <w:pPr>
        <w:pStyle w:val="Subtitle"/>
      </w:pPr>
      <w:r>
        <w:rPr>
          <w:color w:val="5F5F5F"/>
          <w:sz w:val="24"/>
          <w:rFonts w:ascii="Arial" w:hAnsi="Arial" w:eastAsia="Arial" w:cs="Arial"/>
        </w:rPr>
        <w:t>面向新员工自学、代码维护与架构共识沉淀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510"/>
        <w:gridCol w:w="2574"/>
        <w:gridCol w:w="3276"/>
      </w:tblGrid>
      <w:tr>
        <w:trPr/>
        <w:tc>
          <w:tcPr>
            <w:tcW w:type="dxa" w:w="3510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范围</w:t>
            </w:r>
          </w:p>
        </w:tc>
        <w:tc>
          <w:tcPr>
            <w:tcW w:type="dxa" w:w="2574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版本/依据</w:t>
            </w:r>
          </w:p>
        </w:tc>
        <w:tc>
          <w:tcPr>
            <w:tcW w:type="dxa" w:w="3276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阅读目标</w:t>
            </w:r>
          </w:p>
        </w:tc>
      </w:tr>
      <w:tr>
        <w:trPr/>
        <w:tc>
          <w:tcPr>
            <w:tcW w:type="dxa" w:w="3510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include/module_context/framework、src/framework、include/module_context/plugin、src/plugin</w:t>
            </w:r>
          </w:p>
        </w:tc>
        <w:tc>
          <w:tcPr>
            <w:tcW w:type="dxa" w:w="257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基于当前仓库核心框架层源码、插件 ABI 头文件与测试用例</w:t>
            </w:r>
          </w:p>
        </w:tc>
        <w:tc>
          <w:tcPr>
            <w:tcW w:type="dxa" w:w="32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理解统一上下文、模块管理、模块插件 ABI、能力接口、业务插件服务与生命周期边界</w:t>
            </w:r>
          </w:p>
        </w:tc>
      </w:tr>
    </w:tbl>
    <w:p>
      <w:pPr>
        <w:spacing w:line="259" w:lineRule="auto" w:after="120"/>
      </w:pPr>
      <w:r>
        <w:rPr>
          <w:sz w:val="22"/>
          <w:rFonts w:ascii="Arial" w:hAnsi="Arial" w:eastAsia="Arial" w:cs="Arial"/>
        </w:rPr>
        <w:t>一句话总览：Module-Context 把模块运行时拆成“统一上下文入口、模块管理器、模块插件 ABI、能力接口注册、业务插件服务、状态机生命周期”六个稳定边界，让业务模块可以按配置装载、按顺序启动、按能力协作，而不是互相硬编码依赖。</w:t>
      </w:r>
    </w:p>
    <w:p>
      <w:pPr>
        <w:pStyle w:val="Heading1"/>
        <w:keepNext/>
      </w:pPr>
      <w:r>
        <w:t>1. 架构构想：它想解决什么问题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把模块从主程序中解耦出来：主程序只认识 IContext 和 IModuleManager，不直接 new 具体模块。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把模块实例和业务能力分离：模块是生命周期单位，能力是对外协作接口，一个模块可以暴露多个能力。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把配置变成运行时装配协议：配置声明 name/type/library_path/config，框架负责校验并创建实例。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把生命周期变成可推理的状态机：Init/Start/Stop/Fini 的职责清晰，顺序可预测。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把模块插件 ABI 收窄到 C 风格工厂符号：宿主只依赖固定创建/销毁入口，降低跨动态库耦合。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把业务/算法插件管理封装成服务能力：调用方只依赖 IPluginManagerService，不直接管理算法 DLL。</w:t>
      </w:r>
    </w:p>
    <w:p>
      <w:pPr>
        <w:pStyle w:val="Heading1"/>
        <w:keepNext/>
      </w:pPr>
      <w:r>
        <w:t>2. 核心对象职责图谱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872"/>
        <w:gridCol w:w="2691"/>
        <w:gridCol w:w="4797"/>
      </w:tblGrid>
      <w:tr>
        <w:trPr/>
        <w:tc>
          <w:tcPr>
            <w:tcW w:type="dxa" w:w="1872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设计点</w:t>
            </w:r>
          </w:p>
        </w:tc>
        <w:tc>
          <w:tcPr>
            <w:tcW w:type="dxa" w:w="2691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代码承载</w:t>
            </w:r>
          </w:p>
        </w:tc>
        <w:tc>
          <w:tcPr>
            <w:tcW w:type="dxa" w:w="4797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9"/>
                <w:rFonts w:ascii="Arial" w:hAnsi="Arial" w:eastAsia="Arial" w:cs="Arial"/>
              </w:rPr>
              <w:t>好处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统一上下文入口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IContext / Context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应用层只需要一个入口驱动生命周期和发现服务，减少散落的全局对象。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模块管理器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IModuleManager / ModuleManager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装载、顺序、配置和生命周期集中管理，便于测试和错误定位。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模块插件 ABI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ModuleFactory.h + PluginLoader&lt;IModule&gt;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模块实现可独立编译成动态库，宿主通过固定 C 符号创建和销毁实例。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能力注册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ServiceRegistry + ServiceTypeTraits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调用方按接口找能力，不按模块类型猜实现，支持同能力多实例。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生命周期基类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ModuleBase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状态校验和钩子封装在基类，具体模块只写业务初始化/启动/停止。</w:t>
            </w:r>
          </w:p>
        </w:tc>
      </w:tr>
      <w:tr>
        <w:trPr/>
        <w:tc>
          <w:tcPr>
            <w:tcW w:type="dxa" w:w="18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业务插件服务</w:t>
            </w:r>
          </w:p>
        </w:tc>
        <w:tc>
          <w:tcPr>
            <w:tcW w:type="dxa" w:w="2691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IPluginManagerService / PluginState</w:t>
            </w:r>
          </w:p>
        </w:tc>
        <w:tc>
          <w:tcPr>
            <w:tcW w:type="dxa" w:w="4797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9"/>
                <w:rFonts w:ascii="Arial" w:hAnsi="Arial" w:eastAsia="Arial" w:cs="Arial"/>
              </w:rPr>
              <w:t>把 SEMI 算法插件管理放在服务接口后面，避免业务层感知 DLL 细节。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692"/>
        <w:gridCol w:w="4173"/>
        <w:gridCol w:w="3495"/>
      </w:tblGrid>
      <w:tr>
        <w:trPr/>
        <w:tc>
          <w:tcPr>
            <w:tcW w:type="dxa" w:w="1692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对象</w:t>
            </w:r>
          </w:p>
        </w:tc>
        <w:tc>
          <w:tcPr>
            <w:tcW w:type="dxa" w:w="4173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职责边界</w:t>
            </w:r>
          </w:p>
        </w:tc>
        <w:tc>
          <w:tcPr>
            <w:tcW w:type="dxa" w:w="3495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不该承担的事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IContext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统一门面：暴露模块管理器，驱动 Init/Start/Stop/Fini，按能力查询服务。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不解析配置、不直接保存插件句柄、不关心模块具体类型。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IModuleManager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模块级管理：加载配置、创建模块实例、保存模块配置、驱动生命周期、按实例名查询模块。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不作为业务服务入口，不替代 IContext::GetService。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IModule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模块运行时抽象：提供实例名、类型、版本和生命周期接口。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不表达业务能力本身，业务能力应通过独立服务接口声明。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ModuleBase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默认生命周期状态机：保存上下文，包装 OnInit/OnStart/OnStop/OnFini。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不替具体模块决定资源内容和业务线程模型。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ModuleFactory.h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公开模块插件 ABI 宏：导出 GetPluginApiVersion、CreatePlugin、DestroyPlugin。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不保存插件实例，不参与服务发现，不表达业务算法插件协议。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ServiceRegistry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能力索引：保存服务键、实例名、模块指针之间的映射。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不拥有模块对象，不负责动态库生命周期。</w:t>
            </w:r>
          </w:p>
        </w:tc>
      </w:tr>
      <w:tr>
        <w:trPr/>
        <w:tc>
          <w:tcPr>
            <w:tcW w:type="dxa" w:w="169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IPluginManagerService</w:t>
            </w:r>
          </w:p>
        </w:tc>
        <w:tc>
          <w:tcPr>
            <w:tcW w:type="dxa" w:w="417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业务/算法插件管理能力：按名称查询算法插件状态和类型化接口。</w:t>
            </w:r>
          </w:p>
        </w:tc>
        <w:tc>
          <w:tcPr>
            <w:tcW w:type="dxa" w:w="3495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不加载框架模块，不替代 ModuleManager。</w:t>
            </w:r>
          </w:p>
        </w:tc>
      </w:tr>
    </w:tbl>
    <w:p>
      <w:pPr>
        <w:pStyle w:val="Heading1"/>
        <w:keepNext/>
      </w:pPr>
      <w:r>
        <w:t>3. 运行时主流程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调用方通过 IContext::Instance() 获取默认上下文，并从 ModuleManager() 取得模块管理器。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模块管理器读取 schema_version=2 的配置文件，解析 modules 数组。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每个模块条目先转换为 ModuleConfigSpec，并把相对 library_path 归一化为绝对路径。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模块动态库通过 ModuleFactory.h 导出的固定符号暴露创建/销毁入口。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ModuleManager 使用 PluginLoader 打开动态库，校验 GetPluginApiVersion()，再调用 CreatePlugin() 创建 IModule 实例。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框架注入配置中的 name，并校验运行时 ModuleType() 是否等于配置 type。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批量加载采用两阶段提交：所有模块创建和校验成功后，才写入模块表、顺序表和配置表。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StoreLoadedModule 保存模块句柄，并通过 ServiceRegistry 登记该模块实现的已知服务接口。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Init/Start 按装载顺序执行；Stop/Fini 按逆序执行。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业务调用方通过 IContext::GetService&lt;T&gt;() 取得能力接口，而不是直接依赖模块实现。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t>4. 插件化边界：两个 plugin 不要混淆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768"/>
        <w:gridCol w:w="3120"/>
        <w:gridCol w:w="4472"/>
      </w:tblGrid>
      <w:tr>
        <w:trPr/>
        <w:tc>
          <w:tcPr>
            <w:tcW w:type="dxa" w:w="1768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层次</w:t>
            </w:r>
          </w:p>
        </w:tc>
        <w:tc>
          <w:tcPr>
            <w:tcW w:type="dxa" w:w="3120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入口/对象</w:t>
            </w:r>
          </w:p>
        </w:tc>
        <w:tc>
          <w:tcPr>
            <w:tcW w:type="dxa" w:w="4472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解决的问题</w:t>
            </w:r>
          </w:p>
        </w:tc>
      </w:tr>
      <w:tr>
        <w:trPr/>
        <w:tc>
          <w:tcPr>
            <w:tcW w:type="dxa" w:w="176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模块插件 ABI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include/module_context/plugin/ModuleFactory.h；src/plugin/ModuleFactory.h 为历史转发入口</w:t>
            </w:r>
          </w:p>
        </w:tc>
        <w:tc>
          <w:tcPr>
            <w:tcW w:type="dxa" w:w="44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让任意框架模块以动态库形式被 ModuleManager 加载，约定固定 C 符号和 ABI 版本。</w:t>
            </w:r>
          </w:p>
        </w:tc>
      </w:tr>
      <w:tr>
        <w:trPr/>
        <w:tc>
          <w:tcPr>
            <w:tcW w:type="dxa" w:w="176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模块加载宿主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ModuleManager + foundation::plugin::PluginLoader&lt;IModule&gt;</w:t>
            </w:r>
          </w:p>
        </w:tc>
        <w:tc>
          <w:tcPr>
            <w:tcW w:type="dxa" w:w="44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打开动态库、校验版本、创建 IModule、持有插件句柄并确保销毁函数仍有效。</w:t>
            </w:r>
          </w:p>
        </w:tc>
      </w:tr>
      <w:tr>
        <w:trPr/>
        <w:tc>
          <w:tcPr>
            <w:tcW w:type="dxa" w:w="176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业务/算法插件服务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IPluginManagerService + semiplugin_manager</w:t>
            </w:r>
          </w:p>
        </w:tc>
        <w:tc>
          <w:tcPr>
            <w:tcW w:type="dxa" w:w="447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在一个已加载的框架模块内部继续管理 SEMI 工序插件，向业务代码提供类型化查询。</w:t>
            </w:r>
          </w:p>
        </w:tc>
      </w:tr>
    </w:tbl>
    <w:p>
      <w:pPr>
        <w:spacing w:line="259" w:lineRule="auto" w:after="120"/>
      </w:pPr>
      <w:r>
        <w:rPr>
          <w:sz w:val="22"/>
          <w:rFonts w:ascii="Arial" w:hAnsi="Arial" w:eastAsia="Arial" w:cs="Arial"/>
        </w:rPr>
        <w:t>维护判断：只要是“让框架加载一个 IModule 动态库”，看 ModuleFactory.h 和 ModuleManager；只要是“业务流程里获取某个算法插件对象”，看 IPluginManagerService 和 semiplugin_manager。把这两层混在一起，会导致安装头文件、配置字段和错误定位都变得含糊。</w:t>
      </w:r>
    </w:p>
    <w:p>
      <w:pPr>
        <w:pStyle w:val="Heading1"/>
        <w:keepNext/>
      </w:pPr>
      <w:r>
        <w:t>5. 生命周期语义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352"/>
        <w:gridCol w:w="2808"/>
        <w:gridCol w:w="1976"/>
        <w:gridCol w:w="3224"/>
      </w:tblGrid>
      <w:tr>
        <w:trPr/>
        <w:tc>
          <w:tcPr>
            <w:tcW w:type="dxa" w:w="1352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状态</w:t>
            </w:r>
          </w:p>
        </w:tc>
        <w:tc>
          <w:tcPr>
            <w:tcW w:type="dxa" w:w="2808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进入方式</w:t>
            </w:r>
          </w:p>
        </w:tc>
        <w:tc>
          <w:tcPr>
            <w:tcW w:type="dxa" w:w="1976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允许的下一步</w:t>
            </w:r>
          </w:p>
        </w:tc>
        <w:tc>
          <w:tcPr>
            <w:tcW w:type="dxa" w:w="3224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维护含义</w:t>
            </w:r>
          </w:p>
        </w:tc>
      </w:tr>
      <w:tr>
        <w:trPr/>
        <w:tc>
          <w:tcPr>
            <w:tcW w:type="dxa" w:w="135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Created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插件实例构造完成；可注入实例名。</w:t>
            </w:r>
          </w:p>
        </w:tc>
        <w:tc>
          <w:tcPr>
            <w:tcW w:type="dxa" w:w="19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Init 或 Fini</w:t>
            </w:r>
          </w:p>
        </w:tc>
        <w:tc>
          <w:tcPr>
            <w:tcW w:type="dxa" w:w="32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模块尚未绑定上下文，不应访问服务。</w:t>
            </w:r>
          </w:p>
        </w:tc>
      </w:tr>
      <w:tr>
        <w:trPr/>
        <w:tc>
          <w:tcPr>
            <w:tcW w:type="dxa" w:w="135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Inited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OnInit 成功。</w:t>
            </w:r>
          </w:p>
        </w:tc>
        <w:tc>
          <w:tcPr>
            <w:tcW w:type="dxa" w:w="19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Start 或 Fini</w:t>
            </w:r>
          </w:p>
        </w:tc>
        <w:tc>
          <w:tcPr>
            <w:tcW w:type="dxa" w:w="32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资源准备完成，但业务循环尚未运行。</w:t>
            </w:r>
          </w:p>
        </w:tc>
      </w:tr>
      <w:tr>
        <w:trPr/>
        <w:tc>
          <w:tcPr>
            <w:tcW w:type="dxa" w:w="135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Started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OnStart 成功。</w:t>
            </w:r>
          </w:p>
        </w:tc>
        <w:tc>
          <w:tcPr>
            <w:tcW w:type="dxa" w:w="19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Stop 或 Fini</w:t>
            </w:r>
          </w:p>
        </w:tc>
        <w:tc>
          <w:tcPr>
            <w:tcW w:type="dxa" w:w="32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模块正在提供运行态能力。</w:t>
            </w:r>
          </w:p>
        </w:tc>
      </w:tr>
      <w:tr>
        <w:trPr/>
        <w:tc>
          <w:tcPr>
            <w:tcW w:type="dxa" w:w="135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Stopped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OnStop 成功。</w:t>
            </w:r>
          </w:p>
        </w:tc>
        <w:tc>
          <w:tcPr>
            <w:tcW w:type="dxa" w:w="19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Start 或 Fini</w:t>
            </w:r>
          </w:p>
        </w:tc>
        <w:tc>
          <w:tcPr>
            <w:tcW w:type="dxa" w:w="32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运行态资源已停止，初始化资源仍可复用。</w:t>
            </w:r>
          </w:p>
        </w:tc>
      </w:tr>
      <w:tr>
        <w:trPr/>
        <w:tc>
          <w:tcPr>
            <w:tcW w:type="dxa" w:w="135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Fini</w:t>
            </w:r>
          </w:p>
        </w:tc>
        <w:tc>
          <w:tcPr>
            <w:tcW w:type="dxa" w:w="280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OnFini 完成或框架完成终态清理。</w:t>
            </w:r>
          </w:p>
        </w:tc>
        <w:tc>
          <w:tcPr>
            <w:tcW w:type="dxa" w:w="1976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Init</w:t>
            </w:r>
          </w:p>
        </w:tc>
        <w:tc>
          <w:tcPr>
            <w:tcW w:type="dxa" w:w="32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模块资源已释放；若重新使用，需要重新初始化。</w:t>
            </w:r>
          </w:p>
        </w:tc>
      </w:tr>
    </w:tbl>
    <w:p>
      <w:pPr>
        <w:spacing w:line="259" w:lineRule="auto" w:after="120"/>
      </w:pPr>
      <w:r>
        <w:rPr>
          <w:sz w:val="22"/>
          <w:rFonts w:ascii="Arial" w:hAnsi="Arial" w:eastAsia="Arial" w:cs="Arial"/>
        </w:rPr>
        <w:t>关键维护点：ModuleManager::Stop() 只停止已经到达 Started 的模块。这样在 Start 部分失败后，尚未启动的模块不会产生无效状态错误；它们的初始化资源由 Fini() 统一释放。</w:t>
      </w:r>
    </w:p>
    <w:p>
      <w:pPr>
        <w:pStyle w:val="Heading1"/>
        <w:keepNext/>
      </w:pPr>
      <w:r>
        <w:t>6. 为什么要“模块”和“能力”分离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模块是部署和生命周期单位，能力是业务协作接口。把两者混在一起，会让调用方必须知道谁实现了什么。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ServiceTypeTraits 把 C++ 接口类型映射到稳定服务键，ServiceRegistry 再把服务键映射到具名模块实例。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同一个能力可以有多个实例，例如 primary/backup 两个消息总线；调用方可选择具名查询，也可在单实例场景使用唯一查询。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这种方式天然支持模块替换：只要新模块实现同一个服务接口，调用方无需改业务代码。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t>7. 配置协议与两阶段提交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614"/>
        <w:gridCol w:w="3443"/>
        <w:gridCol w:w="4303"/>
      </w:tblGrid>
      <w:tr>
        <w:trPr/>
        <w:tc>
          <w:tcPr>
            <w:tcW w:type="dxa" w:w="1614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配置字段</w:t>
            </w:r>
          </w:p>
        </w:tc>
        <w:tc>
          <w:tcPr>
            <w:tcW w:type="dxa" w:w="3443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语义</w:t>
            </w:r>
          </w:p>
        </w:tc>
        <w:tc>
          <w:tcPr>
            <w:tcW w:type="dxa" w:w="4303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8"/>
                <w:rFonts w:ascii="Arial" w:hAnsi="Arial" w:eastAsia="Arial" w:cs="Arial"/>
              </w:rPr>
              <w:t>框架校验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schema_version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配置 schema 版本，当前为 2。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必须存在且等于框架支持版本。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modules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模块声明数组。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必须是数组，每个元素必须是对象。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name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模块实例名。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必须是非空字符串，并且同一配置内不能重复。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type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插件声明的模块类型名。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必须是非空字符串，并与运行时 ModuleType() 匹配。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library_path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插件动态库路径。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必须是非空字符串；相对路径按配置文件目录归一化。</w:t>
            </w:r>
          </w:p>
        </w:tc>
      </w:tr>
      <w:tr>
        <w:trPr/>
        <w:tc>
          <w:tcPr>
            <w:tcW w:type="dxa" w:w="161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config</w:t>
            </w:r>
          </w:p>
        </w:tc>
        <w:tc>
          <w:tcPr>
            <w:tcW w:type="dxa" w:w="344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传给模块读取的实例配置。</w:t>
            </w:r>
          </w:p>
        </w:tc>
        <w:tc>
          <w:tcPr>
            <w:tcW w:type="dxa" w:w="4303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8"/>
                <w:rFonts w:ascii="Arial" w:hAnsi="Arial" w:eastAsia="Arial" w:cs="Arial"/>
              </w:rPr>
              <w:t>可选；若存在必须是对象。</w:t>
            </w:r>
          </w:p>
        </w:tc>
      </w:tr>
    </w:tbl>
    <w:p>
      <w:pPr>
        <w:spacing w:line="259" w:lineRule="auto" w:after="120"/>
      </w:pPr>
      <w:r>
        <w:rPr>
          <w:sz w:val="22"/>
          <w:rFonts w:ascii="Arial" w:hAnsi="Arial" w:eastAsia="Arial" w:cs="Arial"/>
        </w:rPr>
        <w:t>两阶段提交的价值：批量加载时先把所有模块创建到 staged_modules，全部成功后才写入正式容器。这样配置里某个模块失败时，管理器不会留下半装载状态，后续排查更直接。</w:t>
      </w:r>
    </w:p>
    <w:p>
      <w:pPr>
        <w:pStyle w:val="Heading1"/>
        <w:keepNext/>
      </w:pPr>
      <w:r>
        <w:t>8. 新增模块的接入清单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继承 ModuleBase，并实现 ModuleType()、ModuleVersion()。ModuleType() 必须和配置 type 保持一致。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在 OnInit() 中读取 ModuleConfig(ModuleName())，准备资源和依赖；不要启动长时间运行的线程。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在 OnStart() 中启动运行态行为，例如连接、订阅、线程或定时器。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在 OnStop() 中停止运行态行为；在 OnFini() 中释放初始化阶段资源。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在实现文件末尾包含 module_context/plugin/ModuleFactory.h，并使用 MC_DECLARE_MODULE_FACTORY 导出模块插件工厂符号。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为模块写配置条目，并通过 ModuleManager 配置测试验证 name/type/library_path/config。</w:t>
      </w:r>
    </w:p>
    <w:p>
      <w:pPr>
        <w:pStyle w:val="Heading1"/>
        <w:keepNext/>
      </w:pPr>
      <w:r>
        <w:t>9. 新增能力接口的接入清单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在 include/module_context/&lt;domain&gt;/ 下声明纯接口，例如 IMessageBusService。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为该接口特化 ServiceTypeTraits&lt;T&gt;::Key()，服务键应稳定、可读、带命名空间。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模块实现类继承该能力接口，并由 ServiceRegistry::RegisterKnownServices 识别。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如果同一能力可能多实例，调用方优先使用 GetService&lt;T&gt;(name) 具名查询。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新增测试：单实例唯一查询、多实例唯一查询失败、具名查询成功、类型转换失败。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t>10. 维护时最容易走偏的地方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82"/>
        <w:gridCol w:w="3524"/>
        <w:gridCol w:w="3854"/>
      </w:tblGrid>
      <w:tr>
        <w:trPr/>
        <w:tc>
          <w:tcPr>
            <w:tcW w:type="dxa" w:w="1982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7"/>
                <w:rFonts w:ascii="Arial" w:hAnsi="Arial" w:eastAsia="Arial" w:cs="Arial"/>
              </w:rPr>
              <w:t>风险</w:t>
            </w:r>
          </w:p>
        </w:tc>
        <w:tc>
          <w:tcPr>
            <w:tcW w:type="dxa" w:w="3524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7"/>
                <w:rFonts w:ascii="Arial" w:hAnsi="Arial" w:eastAsia="Arial" w:cs="Arial"/>
              </w:rPr>
              <w:t>表现</w:t>
            </w:r>
          </w:p>
        </w:tc>
        <w:tc>
          <w:tcPr>
            <w:tcW w:type="dxa" w:w="3854"/>
            <w:shd w:fill="EEF3F8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/>
                <w:color w:val="1F4E79"/>
                <w:sz w:val="17"/>
                <w:rFonts w:ascii="Arial" w:hAnsi="Arial" w:eastAsia="Arial" w:cs="Arial"/>
              </w:rPr>
              <w:t>建议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把模块类型当实例名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Module("rabbitmq_bus") 找不到，因为配置实例名可能是 bus_primary。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接口文档和配置示例始终区分 name 与 type。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模块 ABI 头放在私有 src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安装后外部插件作者无法 include 工厂宏，只能复制仓内私有头。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ModuleFactory.h 属于公开协议，应从 include/module_context/plugin 暴露。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混淆两种插件层次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把框架模块加载问题误判成算法插件问题，或反过来。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模块插件看 ModuleManager/ModuleFactory；算法插件看 IPluginManagerService/semiplugin_manager。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跳过 type 校验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配置错库时可能到启动阶段才失败。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保持装载阶段校验 ModuleType() 与配置 type。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服务注册过于隐式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新增能力接口后 GetService 找不到。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补 ServiceTypeTraits 特化和 ServiceRegistry 白名单分支。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Start 失败后直接 Stop 全部模块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未启动模块返回无效状态，掩盖已启动模块的停止问题。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Stop 只处理 Started，Fini 负责剩余资源释放。</w:t>
            </w:r>
          </w:p>
        </w:tc>
      </w:tr>
      <w:tr>
        <w:trPr/>
        <w:tc>
          <w:tcPr>
            <w:tcW w:type="dxa" w:w="1982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在模块之间直接 dynamic_cast 具体类</w:t>
            </w:r>
          </w:p>
        </w:tc>
        <w:tc>
          <w:tcPr>
            <w:tcW w:type="dxa" w:w="352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模块替换和多实例部署困难。</w:t>
            </w:r>
          </w:p>
        </w:tc>
        <w:tc>
          <w:tcPr>
            <w:tcW w:type="dxa" w:w="3854"/>
            <w:vAlign w:val="center"/>
            <w:tcMar>
              <w:top w:w="100" w:type="dxa"/>
              <w:bottom w:w="100" w:type="dxa"/>
              <w:start w:w="13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b w:val="0"/>
                <w:sz w:val="17"/>
                <w:rFonts w:ascii="Arial" w:hAnsi="Arial" w:eastAsia="Arial" w:cs="Arial"/>
              </w:rPr>
              <w:t>跨模块协作只依赖服务接口。</w:t>
            </w:r>
          </w:p>
        </w:tc>
      </w:tr>
    </w:tbl>
    <w:p>
      <w:pPr>
        <w:pStyle w:val="Heading1"/>
        <w:keepNext/>
      </w:pPr>
      <w:r>
        <w:t>11. 推荐阅读路径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先读 include/module_context/framework/IContext.h，理解统一入口和服务查询方式。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再读 IModule.h 与 ModuleState.h，确认生命周期职责边界。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include/module_context/plugin/ModuleFactory.h，理解框架模块插件需要导出的固定 ABI。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IModuleManager.h，区分模块管理和业务服务发现。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include/module_context/plugin/IPluginManagerService.h 与 Types.h，理解业务/算法插件服务和模块插件 ABI 的分层。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src/plugin/ModuleFactory.h，知道它只是历史 include 路径的兼容转发头。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src/framework/ModuleBase.cpp，掌握状态机和钩子包装方式。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src/framework/ModuleManager.cpp，重点看配置解析、两阶段提交、插件 ABI 加载、顺序驱动和 Stop/Fini。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读 src/framework/ServiceRegistry.cpp，理解能力接口是如何从模块实例上登记出来的。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最后读 tests/module_manager_config_test.cpp，把测试当作可执行规格。</w:t>
      </w:r>
    </w:p>
    <w:p>
      <w:pPr>
        <w:pStyle w:val="Heading1"/>
        <w:keepNext/>
      </w:pPr>
      <w:r>
        <w:t>12. 自学检查题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为什么 GetService&lt;T&gt;() 需要 ServiceTypeTraits&lt;T&gt;，而不是直接用 typeid(T).name()？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为什么 ModuleManager::LoadModules() 要先 staged，再统一 StoreLoadedModule？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ModuleFactory.h 导出的三个 C 符号各自解决什么问题？为什么销毁也要由插件导出？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IPluginManagerService 管理的是哪一层插件？它和 ModuleManager 的边界是什么？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如果一个模块同时实现消息总线和 HTTP 传输能力，ServiceRegistry 应如何登记？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Start 第三个模块失败后，Stop 和 Fini 各自应该处理哪些模块？</w:t>
      </w:r>
    </w:p>
    <w:p>
      <w:pPr>
        <w:pStyle w:val="ListBullet"/>
        <w:spacing w:after="120"/>
        <w:ind w:left="720" w:hanging="360"/>
      </w:pPr>
      <w:r>
        <w:rPr>
          <w:sz w:val="22"/>
          <w:rFonts w:ascii="Arial" w:hAnsi="Arial" w:eastAsia="Arial" w:cs="Arial"/>
        </w:rPr>
        <w:t>新增一个能力接口时，只改模块实现够不够？还需要改哪些位置？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40" w:bottom="1224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5F5F"/>
        <w:sz w:val="18"/>
        <w:rFonts w:ascii="Arial" w:hAnsi="Arial" w:eastAsia="Arial" w:cs="Arial"/>
      </w:rPr>
      <w:t>内部学习资料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F5F5F"/>
        <w:sz w:val="18"/>
        <w:rFonts w:ascii="Arial" w:hAnsi="Arial" w:eastAsia="Arial" w:cs="Arial"/>
      </w:rPr>
      <w:t>Module-Context 核心框架知识转化手册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 w:cs="Arial"/>
      <w:b w:val="0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2D2D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2D2D2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 w:cs="Arial"/>
      <w:b w:val="0"/>
      <w:i/>
      <w:iCs/>
      <w:color w:val="5F5F5F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b w:val="0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