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89B0B2">
      <w:pPr>
        <w:spacing w:line="348" w:lineRule="auto"/>
        <w:jc w:val="center"/>
        <w:rPr>
          <w:rFonts w:eastAsia="仿宋"/>
          <w:b/>
          <w:sz w:val="32"/>
          <w:szCs w:val="32"/>
        </w:rPr>
      </w:pPr>
      <w:r>
        <w:rPr>
          <w:rFonts w:hint="eastAsia" w:eastAsia="仿宋"/>
          <w:b/>
          <w:sz w:val="32"/>
          <w:szCs w:val="32"/>
        </w:rPr>
        <w:t>年度采购框架</w:t>
      </w:r>
      <w:r>
        <w:rPr>
          <w:rFonts w:eastAsia="仿宋"/>
          <w:b/>
          <w:sz w:val="32"/>
          <w:szCs w:val="32"/>
        </w:rPr>
        <w:t>合同</w:t>
      </w:r>
    </w:p>
    <w:p w14:paraId="6659D66A">
      <w:pPr>
        <w:spacing w:line="348" w:lineRule="auto"/>
        <w:jc w:val="center"/>
        <w:rPr>
          <w:rFonts w:eastAsia="仿宋"/>
          <w:b/>
          <w:sz w:val="32"/>
          <w:szCs w:val="32"/>
        </w:rPr>
      </w:pPr>
    </w:p>
    <w:tbl>
      <w:tblPr>
        <w:tblStyle w:val="6"/>
        <w:tblW w:w="0" w:type="auto"/>
        <w:jc w:val="center"/>
        <w:tblLayout w:type="autofit"/>
        <w:tblCellMar>
          <w:top w:w="0" w:type="dxa"/>
          <w:left w:w="108" w:type="dxa"/>
          <w:bottom w:w="0" w:type="dxa"/>
          <w:right w:w="108" w:type="dxa"/>
        </w:tblCellMar>
      </w:tblPr>
      <w:tblGrid>
        <w:gridCol w:w="4360"/>
        <w:gridCol w:w="4360"/>
      </w:tblGrid>
      <w:tr w14:paraId="5120747F">
        <w:tblPrEx>
          <w:tblCellMar>
            <w:top w:w="0" w:type="dxa"/>
            <w:left w:w="108" w:type="dxa"/>
            <w:bottom w:w="0" w:type="dxa"/>
            <w:right w:w="108" w:type="dxa"/>
          </w:tblCellMar>
        </w:tblPrEx>
        <w:trPr>
          <w:jc w:val="center"/>
        </w:trPr>
        <w:tc>
          <w:tcPr>
            <w:tcW w:w="4621" w:type="dxa"/>
          </w:tcPr>
          <w:p w14:paraId="2A115CDA">
            <w:pPr>
              <w:spacing w:line="348" w:lineRule="auto"/>
              <w:jc w:val="left"/>
              <w:rPr>
                <w:rFonts w:eastAsia="仿宋"/>
                <w:sz w:val="24"/>
              </w:rPr>
            </w:pPr>
            <w:r>
              <w:rPr>
                <w:rFonts w:eastAsia="仿宋"/>
                <w:sz w:val="24"/>
              </w:rPr>
              <w:t>合同编号</w:t>
            </w:r>
            <w:r>
              <w:rPr>
                <w:rFonts w:hint="eastAsia" w:eastAsia="仿宋"/>
                <w:sz w:val="24"/>
              </w:rPr>
              <w:t>：{{r contractNo }}</w:t>
            </w:r>
          </w:p>
        </w:tc>
        <w:tc>
          <w:tcPr>
            <w:tcW w:w="4621" w:type="dxa"/>
          </w:tcPr>
          <w:p w14:paraId="3419C317">
            <w:pPr>
              <w:spacing w:line="348" w:lineRule="auto"/>
              <w:jc w:val="left"/>
              <w:rPr>
                <w:rFonts w:eastAsia="仿宋"/>
                <w:sz w:val="24"/>
              </w:rPr>
            </w:pPr>
            <w:r>
              <w:rPr>
                <w:rFonts w:eastAsia="仿宋"/>
                <w:sz w:val="24"/>
              </w:rPr>
              <w:t>签订地点：</w:t>
            </w:r>
            <w:r>
              <w:rPr>
                <w:rFonts w:hint="eastAsia" w:eastAsia="仿宋"/>
                <w:sz w:val="24"/>
              </w:rPr>
              <w:t>杭州市余杭区</w:t>
            </w:r>
          </w:p>
        </w:tc>
      </w:tr>
      <w:tr w14:paraId="49A0EE72">
        <w:tblPrEx>
          <w:tblCellMar>
            <w:top w:w="0" w:type="dxa"/>
            <w:left w:w="108" w:type="dxa"/>
            <w:bottom w:w="0" w:type="dxa"/>
            <w:right w:w="108" w:type="dxa"/>
          </w:tblCellMar>
        </w:tblPrEx>
        <w:trPr>
          <w:jc w:val="center"/>
        </w:trPr>
        <w:tc>
          <w:tcPr>
            <w:tcW w:w="4621" w:type="dxa"/>
          </w:tcPr>
          <w:p w14:paraId="5AD992B4">
            <w:pPr>
              <w:spacing w:line="348" w:lineRule="auto"/>
              <w:jc w:val="left"/>
              <w:rPr>
                <w:rFonts w:eastAsia="仿宋"/>
                <w:sz w:val="24"/>
              </w:rPr>
            </w:pPr>
            <w:r>
              <w:rPr>
                <w:rFonts w:eastAsia="仿宋"/>
                <w:sz w:val="24"/>
              </w:rPr>
              <w:t>签订日期</w:t>
            </w:r>
            <w:r>
              <w:rPr>
                <w:rFonts w:hint="eastAsia" w:eastAsia="仿宋"/>
                <w:sz w:val="24"/>
              </w:rPr>
              <w:t>：{{r signYear }}年{{r signMonth }}月{{r signDay }}日</w:t>
            </w:r>
          </w:p>
        </w:tc>
        <w:tc>
          <w:tcPr>
            <w:tcW w:w="4621" w:type="dxa"/>
          </w:tcPr>
          <w:p w14:paraId="1A88FDD0">
            <w:pPr>
              <w:spacing w:line="348" w:lineRule="auto"/>
              <w:ind w:firstLine="1920" w:firstLineChars="800"/>
              <w:jc w:val="left"/>
              <w:rPr>
                <w:rFonts w:eastAsia="仿宋"/>
                <w:sz w:val="24"/>
              </w:rPr>
            </w:pPr>
          </w:p>
        </w:tc>
      </w:tr>
    </w:tbl>
    <w:p w14:paraId="52CADB19">
      <w:pPr>
        <w:spacing w:line="348" w:lineRule="auto"/>
        <w:ind w:right="210"/>
        <w:jc w:val="right"/>
        <w:rPr>
          <w:rFonts w:eastAsia="仿宋"/>
          <w:sz w:val="24"/>
        </w:rPr>
      </w:pPr>
      <w:r>
        <w:rPr>
          <w:rFonts w:eastAsia="仿宋"/>
          <w:sz w:val="24"/>
        </w:rPr>
        <w:t xml:space="preserve">                                                              </w:t>
      </w:r>
    </w:p>
    <w:tbl>
      <w:tblPr>
        <w:tblStyle w:val="6"/>
        <w:tblW w:w="95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0" w:type="dxa"/>
          <w:left w:w="108" w:type="dxa"/>
          <w:bottom w:w="0" w:type="dxa"/>
          <w:right w:w="108" w:type="dxa"/>
        </w:tblCellMar>
      </w:tblPr>
      <w:tblGrid>
        <w:gridCol w:w="5365"/>
        <w:gridCol w:w="4160"/>
      </w:tblGrid>
      <w:tr w14:paraId="15167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5365" w:type="dxa"/>
            <w:tcBorders>
              <w:top w:val="nil"/>
              <w:left w:val="nil"/>
              <w:bottom w:val="nil"/>
              <w:right w:val="nil"/>
            </w:tcBorders>
            <w:shd w:val="clear" w:color="auto" w:fill="FFFFFF"/>
          </w:tcPr>
          <w:p w14:paraId="2EFF6E27">
            <w:pPr>
              <w:spacing w:line="348" w:lineRule="auto"/>
              <w:rPr>
                <w:rFonts w:eastAsia="仿宋"/>
                <w:sz w:val="24"/>
              </w:rPr>
            </w:pPr>
            <w:r>
              <w:rPr>
                <w:rFonts w:eastAsia="仿宋"/>
                <w:b/>
                <w:sz w:val="24"/>
              </w:rPr>
              <w:t>需方（甲方）</w:t>
            </w:r>
            <w:r>
              <w:rPr>
                <w:rFonts w:eastAsia="仿宋"/>
                <w:sz w:val="24"/>
              </w:rPr>
              <w:t>：</w:t>
            </w:r>
            <w:r>
              <w:rPr>
                <w:rFonts w:hint="eastAsia" w:eastAsia="仿宋"/>
                <w:sz w:val="24"/>
              </w:rPr>
              <w:t>浙江沃乐科技股份有限公司</w:t>
            </w:r>
          </w:p>
          <w:p w14:paraId="248D5EF3">
            <w:pPr>
              <w:spacing w:line="348" w:lineRule="auto"/>
              <w:rPr>
                <w:rFonts w:eastAsia="仿宋"/>
                <w:sz w:val="24"/>
              </w:rPr>
            </w:pPr>
            <w:r>
              <w:rPr>
                <w:rFonts w:hint="eastAsia" w:eastAsia="仿宋"/>
                <w:sz w:val="24"/>
              </w:rPr>
              <w:t>联系</w:t>
            </w:r>
            <w:r>
              <w:rPr>
                <w:rFonts w:eastAsia="仿宋"/>
                <w:sz w:val="24"/>
              </w:rPr>
              <w:t>地址：</w:t>
            </w:r>
            <w:r>
              <w:rPr>
                <w:rFonts w:hint="eastAsia" w:eastAsia="仿宋"/>
                <w:sz w:val="24"/>
              </w:rPr>
              <w:t>浙江省杭州市余杭区仓前街道仓兴街397号18幢5层</w:t>
            </w:r>
          </w:p>
          <w:p w14:paraId="30D25004">
            <w:pPr>
              <w:spacing w:line="348" w:lineRule="auto"/>
              <w:rPr>
                <w:rFonts w:eastAsia="仿宋"/>
                <w:sz w:val="24"/>
              </w:rPr>
            </w:pPr>
            <w:r>
              <w:rPr>
                <w:rFonts w:eastAsia="仿宋"/>
                <w:sz w:val="24"/>
              </w:rPr>
              <w:t>开户银行：</w:t>
            </w:r>
            <w:r>
              <w:rPr>
                <w:rFonts w:hint="eastAsia" w:eastAsia="仿宋"/>
                <w:sz w:val="24"/>
              </w:rPr>
              <w:t>上海浦东发展银行股份有限公司杭州余杭支行</w:t>
            </w:r>
          </w:p>
          <w:p w14:paraId="7F8FD320">
            <w:pPr>
              <w:spacing w:line="348" w:lineRule="auto"/>
              <w:rPr>
                <w:rFonts w:eastAsia="仿宋"/>
                <w:sz w:val="24"/>
              </w:rPr>
            </w:pPr>
            <w:r>
              <w:rPr>
                <w:rFonts w:hint="eastAsia" w:eastAsia="仿宋"/>
                <w:sz w:val="24"/>
              </w:rPr>
              <w:t>银行账号</w:t>
            </w:r>
            <w:r>
              <w:rPr>
                <w:rFonts w:eastAsia="仿宋"/>
                <w:sz w:val="24"/>
              </w:rPr>
              <w:t xml:space="preserve">：95260078801100000902 </w:t>
            </w:r>
          </w:p>
          <w:p w14:paraId="207BD582">
            <w:pPr>
              <w:spacing w:line="348" w:lineRule="auto"/>
              <w:rPr>
                <w:rFonts w:eastAsia="仿宋"/>
                <w:sz w:val="24"/>
              </w:rPr>
            </w:pPr>
            <w:r>
              <w:rPr>
                <w:rFonts w:eastAsia="仿宋"/>
                <w:sz w:val="24"/>
              </w:rPr>
              <w:t>税号： 91330110MA2HYAEK1T(1/1)</w:t>
            </w:r>
          </w:p>
          <w:p w14:paraId="1E254B46">
            <w:pPr>
              <w:snapToGrid w:val="0"/>
              <w:spacing w:line="348" w:lineRule="auto"/>
              <w:ind w:left="5400" w:right="-334" w:rightChars="-159" w:hanging="5400" w:hangingChars="2250"/>
              <w:rPr>
                <w:rFonts w:eastAsia="仿宋"/>
                <w:sz w:val="24"/>
              </w:rPr>
            </w:pPr>
            <w:r>
              <w:rPr>
                <w:rFonts w:eastAsia="仿宋"/>
                <w:sz w:val="24"/>
              </w:rPr>
              <w:t xml:space="preserve">电话（Tel）： </w:t>
            </w:r>
          </w:p>
          <w:p w14:paraId="32FAF4DB">
            <w:pPr>
              <w:snapToGrid w:val="0"/>
              <w:spacing w:line="348" w:lineRule="auto"/>
              <w:ind w:left="5400" w:right="-334" w:rightChars="-159" w:hanging="5400" w:hangingChars="2250"/>
              <w:rPr>
                <w:rFonts w:eastAsia="仿宋"/>
                <w:sz w:val="24"/>
              </w:rPr>
            </w:pPr>
            <w:r>
              <w:rPr>
                <w:rFonts w:eastAsia="仿宋"/>
                <w:sz w:val="24"/>
              </w:rPr>
              <w:t xml:space="preserve">传真（Fax）： </w:t>
            </w:r>
          </w:p>
        </w:tc>
        <w:tc>
          <w:tcPr>
            <w:tcW w:w="4160" w:type="dxa"/>
            <w:tcBorders>
              <w:top w:val="nil"/>
              <w:left w:val="nil"/>
              <w:bottom w:val="nil"/>
              <w:right w:val="nil"/>
            </w:tcBorders>
            <w:shd w:val="clear" w:color="auto" w:fill="FFFFFF"/>
          </w:tcPr>
          <w:p w14:paraId="306ACA28">
            <w:pPr>
              <w:spacing w:line="348" w:lineRule="auto"/>
              <w:rPr>
                <w:rFonts w:eastAsia="仿宋"/>
                <w:sz w:val="24"/>
              </w:rPr>
            </w:pPr>
            <w:r>
              <w:rPr>
                <w:rFonts w:eastAsia="仿宋"/>
                <w:b/>
                <w:sz w:val="24"/>
              </w:rPr>
              <w:t>供方（乙方）</w:t>
            </w:r>
            <w:r>
              <w:rPr>
                <w:rFonts w:eastAsia="仿宋"/>
                <w:sz w:val="24"/>
              </w:rPr>
              <w:t>：{{r supplierName }}</w:t>
            </w:r>
          </w:p>
          <w:p w14:paraId="6952E34F">
            <w:pPr>
              <w:spacing w:line="348" w:lineRule="auto"/>
              <w:rPr>
                <w:rFonts w:eastAsia="仿宋"/>
                <w:sz w:val="24"/>
              </w:rPr>
            </w:pPr>
            <w:r>
              <w:rPr>
                <w:rFonts w:hint="eastAsia" w:eastAsia="仿宋"/>
                <w:sz w:val="24"/>
              </w:rPr>
              <w:t xml:space="preserve">地址：{{r supplierAddress }} </w:t>
            </w:r>
          </w:p>
          <w:p w14:paraId="6E46B319">
            <w:pPr>
              <w:spacing w:line="348" w:lineRule="auto"/>
              <w:rPr>
                <w:rFonts w:eastAsia="仿宋"/>
                <w:sz w:val="24"/>
              </w:rPr>
            </w:pPr>
            <w:r>
              <w:rPr>
                <w:rFonts w:hint="eastAsia" w:eastAsia="仿宋"/>
                <w:sz w:val="24"/>
              </w:rPr>
              <w:t>银行帐号：{{r supplierAccount }}</w:t>
            </w:r>
          </w:p>
          <w:p w14:paraId="6D66880A">
            <w:pPr>
              <w:spacing w:line="348" w:lineRule="auto"/>
              <w:rPr>
                <w:rFonts w:eastAsia="仿宋"/>
                <w:sz w:val="24"/>
              </w:rPr>
            </w:pPr>
            <w:r>
              <w:rPr>
                <w:rFonts w:hint="eastAsia" w:eastAsia="仿宋"/>
                <w:sz w:val="24"/>
              </w:rPr>
              <w:t>税号：{{r supplierTaxNo }}</w:t>
            </w:r>
          </w:p>
          <w:p w14:paraId="0007EE8F">
            <w:pPr>
              <w:spacing w:line="348" w:lineRule="auto"/>
              <w:rPr>
                <w:rFonts w:eastAsia="仿宋"/>
                <w:sz w:val="24"/>
              </w:rPr>
            </w:pPr>
            <w:r>
              <w:rPr>
                <w:rFonts w:hint="eastAsia" w:eastAsia="仿宋"/>
                <w:sz w:val="24"/>
              </w:rPr>
              <w:t>电话（Tel）：{{r supplierPhone }}</w:t>
            </w:r>
          </w:p>
          <w:p w14:paraId="317277C6">
            <w:pPr>
              <w:spacing w:line="348" w:lineRule="auto"/>
              <w:rPr>
                <w:rFonts w:eastAsia="仿宋"/>
                <w:sz w:val="24"/>
              </w:rPr>
            </w:pPr>
            <w:r>
              <w:rPr>
                <w:rFonts w:hint="eastAsia" w:eastAsia="仿宋"/>
                <w:sz w:val="24"/>
              </w:rPr>
              <w:t>传真（Fax）：{{r supplierFax }}</w:t>
            </w:r>
          </w:p>
          <w:p w14:paraId="60EF22F5">
            <w:pPr>
              <w:spacing w:line="348" w:lineRule="auto"/>
              <w:rPr>
                <w:rFonts w:eastAsia="仿宋"/>
                <w:b/>
                <w:sz w:val="24"/>
              </w:rPr>
            </w:pPr>
            <w:r>
              <w:rPr>
                <w:rFonts w:hint="eastAsia" w:eastAsia="仿宋"/>
                <w:sz w:val="24"/>
              </w:rPr>
              <w:t>联系人：{{r supplierRepresentativeName }}</w:t>
            </w:r>
          </w:p>
        </w:tc>
      </w:tr>
    </w:tbl>
    <w:p w14:paraId="4B579D88">
      <w:pPr>
        <w:spacing w:line="420" w:lineRule="exact"/>
        <w:rPr>
          <w:rFonts w:hint="eastAsia" w:ascii="宋体" w:hAnsi="宋体" w:cs="宋体"/>
          <w:lang w:val="zh-CN"/>
        </w:rPr>
      </w:pPr>
    </w:p>
    <w:p w14:paraId="5B9C8758">
      <w:pPr>
        <w:autoSpaceDE w:val="0"/>
        <w:autoSpaceDN w:val="0"/>
        <w:adjustRightInd w:val="0"/>
        <w:spacing w:line="360" w:lineRule="auto"/>
        <w:ind w:firstLine="480" w:firstLineChars="200"/>
        <w:rPr>
          <w:rFonts w:hint="eastAsia" w:ascii="仿宋" w:hAnsi="仿宋" w:eastAsia="仿宋" w:cs="仿宋"/>
          <w:sz w:val="24"/>
        </w:rPr>
      </w:pPr>
      <w:r>
        <w:t>为提高规模采购效益，明确双方在合作中的权利和义务，根据《中华人民共和国民法典》等相关法律法规规定，就甲方向乙方采购{{r purchaseSubject }}（下称“货物”）事宜， 双方本着长期合作、互惠互利的原则，经友好协商签署本采购框架合同（下称“本合同”），以资共同遵守。</w:t>
      </w:r>
    </w:p>
    <w:p w14:paraId="476B9E1D">
      <w:pPr>
        <w:numPr>
          <w:ilvl w:val="0"/>
          <w:numId w:val="1"/>
        </w:numPr>
        <w:spacing w:line="360" w:lineRule="auto"/>
        <w:ind w:firstLine="482" w:firstLineChars="200"/>
      </w:pPr>
      <w:r>
        <w:rPr>
          <w:rFonts w:hint="eastAsia" w:ascii="仿宋" w:hAnsi="仿宋" w:eastAsia="仿宋" w:cs="仿宋"/>
          <w:b/>
          <w:sz w:val="24"/>
        </w:rPr>
        <w:t>采购货物及价格</w:t>
      </w:r>
    </w:p>
    <w:p w14:paraId="553ED611">
      <w:pPr>
        <w:numPr>
          <w:ilvl w:val="0"/>
          <w:numId w:val="2"/>
        </w:numPr>
        <w:autoSpaceDE w:val="0"/>
        <w:autoSpaceDN w:val="0"/>
        <w:adjustRightInd w:val="0"/>
        <w:spacing w:line="360" w:lineRule="auto"/>
        <w:ind w:firstLine="480" w:firstLineChars="200"/>
        <w:rPr>
          <w:rFonts w:hint="eastAsia" w:ascii="仿宋" w:hAnsi="仿宋" w:eastAsia="仿宋" w:cs="仿宋"/>
          <w:sz w:val="24"/>
          <w:lang w:val="zh-CN"/>
        </w:rPr>
      </w:pPr>
      <w:r>
        <w:rPr>
          <w:rFonts w:hint="eastAsia" w:ascii="仿宋" w:hAnsi="仿宋" w:eastAsia="仿宋" w:cs="仿宋"/>
          <w:sz w:val="24"/>
          <w:lang w:val="zh-CN"/>
        </w:rPr>
        <w:t>本合同为框架合同，甲方所需货物清单</w:t>
      </w:r>
      <w:r>
        <w:rPr>
          <w:rFonts w:hint="eastAsia" w:ascii="仿宋" w:hAnsi="仿宋" w:eastAsia="仿宋" w:cs="仿宋"/>
          <w:sz w:val="24"/>
        </w:rPr>
        <w:t>以双方每次确认的《采购</w:t>
      </w:r>
      <w:r>
        <w:rPr>
          <w:rFonts w:hint="eastAsia" w:ascii="仿宋" w:hAnsi="仿宋" w:eastAsia="仿宋" w:cs="仿宋"/>
          <w:sz w:val="24"/>
          <w:lang w:val="zh-CN"/>
        </w:rPr>
        <w:t>订单》（</w:t>
      </w:r>
      <w:r>
        <w:rPr>
          <w:rFonts w:hint="eastAsia" w:ascii="仿宋" w:hAnsi="仿宋" w:eastAsia="仿宋" w:cs="仿宋"/>
          <w:sz w:val="24"/>
        </w:rPr>
        <w:t>附件一）</w:t>
      </w:r>
      <w:r>
        <w:rPr>
          <w:rFonts w:hint="eastAsia" w:ascii="仿宋" w:hAnsi="仿宋" w:eastAsia="仿宋" w:cs="仿宋"/>
          <w:sz w:val="24"/>
          <w:lang w:val="zh-CN"/>
        </w:rPr>
        <w:t>为准，乙方</w:t>
      </w:r>
      <w:r>
        <w:rPr>
          <w:rFonts w:hint="eastAsia" w:ascii="仿宋" w:hAnsi="仿宋" w:eastAsia="仿宋" w:cs="仿宋"/>
          <w:sz w:val="24"/>
          <w:lang w:val="en-US" w:eastAsia="zh-CN"/>
        </w:rPr>
        <w:t>若因此产生</w:t>
      </w:r>
      <w:r>
        <w:rPr>
          <w:rFonts w:hint="eastAsia" w:ascii="仿宋" w:hAnsi="仿宋" w:eastAsia="仿宋" w:cs="仿宋"/>
          <w:sz w:val="24"/>
          <w:lang w:val="zh-CN"/>
        </w:rPr>
        <w:t>备货、库存</w:t>
      </w:r>
      <w:r>
        <w:rPr>
          <w:rFonts w:hint="eastAsia" w:ascii="仿宋" w:hAnsi="仿宋" w:eastAsia="仿宋" w:cs="仿宋"/>
          <w:sz w:val="24"/>
        </w:rPr>
        <w:t>等</w:t>
      </w:r>
      <w:r>
        <w:rPr>
          <w:rFonts w:hint="eastAsia" w:ascii="仿宋" w:hAnsi="仿宋" w:eastAsia="仿宋" w:cs="仿宋"/>
          <w:sz w:val="24"/>
          <w:lang w:val="zh-CN"/>
        </w:rPr>
        <w:t>情况与</w:t>
      </w:r>
      <w:r>
        <w:rPr>
          <w:rFonts w:hint="eastAsia" w:ascii="仿宋" w:hAnsi="仿宋" w:eastAsia="仿宋" w:cs="仿宋"/>
          <w:sz w:val="24"/>
        </w:rPr>
        <w:t>甲方无涉</w:t>
      </w:r>
      <w:r>
        <w:rPr>
          <w:rFonts w:hint="eastAsia" w:ascii="仿宋" w:hAnsi="仿宋" w:eastAsia="仿宋" w:cs="仿宋"/>
          <w:sz w:val="24"/>
          <w:lang w:val="zh-CN"/>
        </w:rPr>
        <w:t>。</w:t>
      </w:r>
    </w:p>
    <w:p w14:paraId="60679280">
      <w:pPr>
        <w:numPr>
          <w:ilvl w:val="0"/>
          <w:numId w:val="2"/>
        </w:numPr>
        <w:autoSpaceDE w:val="0"/>
        <w:autoSpaceDN w:val="0"/>
        <w:adjustRightInd w:val="0"/>
        <w:spacing w:line="360" w:lineRule="auto"/>
        <w:ind w:firstLine="480" w:firstLineChars="200"/>
        <w:rPr>
          <w:rFonts w:hint="eastAsia" w:ascii="仿宋" w:hAnsi="仿宋" w:eastAsia="仿宋" w:cs="仿宋"/>
          <w:sz w:val="24"/>
          <w:lang w:val="zh-CN"/>
        </w:rPr>
      </w:pPr>
      <w:r>
        <w:rPr>
          <w:rFonts w:hint="eastAsia" w:ascii="仿宋" w:hAnsi="仿宋" w:eastAsia="仿宋" w:cs="仿宋"/>
          <w:sz w:val="24"/>
          <w:lang w:val="zh-CN"/>
        </w:rPr>
        <w:t>产品的价格以双方</w:t>
      </w:r>
      <w:r>
        <w:rPr>
          <w:rFonts w:hint="eastAsia" w:ascii="仿宋" w:hAnsi="仿宋" w:eastAsia="仿宋" w:cs="仿宋"/>
          <w:sz w:val="24"/>
        </w:rPr>
        <w:t>确定的年度协议价（附件二）</w:t>
      </w:r>
      <w:r>
        <w:rPr>
          <w:rFonts w:hint="eastAsia" w:ascii="仿宋" w:hAnsi="仿宋" w:eastAsia="仿宋" w:cs="仿宋"/>
          <w:sz w:val="24"/>
          <w:lang w:val="zh-CN"/>
        </w:rPr>
        <w:t>为准，此采购协议价为年度固定价，</w:t>
      </w:r>
      <w:r>
        <w:rPr>
          <w:rFonts w:hint="eastAsia" w:ascii="仿宋" w:hAnsi="仿宋" w:eastAsia="仿宋" w:cs="仿宋"/>
          <w:sz w:val="24"/>
          <w:lang w:val="en-US" w:eastAsia="zh-CN"/>
        </w:rPr>
        <w:t>自本协议生效之日起</w:t>
      </w:r>
      <w:r>
        <w:rPr>
          <w:rFonts w:hint="eastAsia" w:ascii="仿宋" w:hAnsi="仿宋" w:eastAsia="仿宋" w:cs="仿宋"/>
          <w:sz w:val="24"/>
          <w:lang w:val="zh-CN"/>
        </w:rPr>
        <w:t>，除非甲乙双方书面同意，否则不能更改。</w:t>
      </w:r>
    </w:p>
    <w:p w14:paraId="434AA99A">
      <w:pPr>
        <w:numPr>
          <w:ilvl w:val="0"/>
          <w:numId w:val="2"/>
        </w:numPr>
        <w:autoSpaceDE w:val="0"/>
        <w:autoSpaceDN w:val="0"/>
        <w:adjustRightInd w:val="0"/>
        <w:spacing w:line="360" w:lineRule="auto"/>
        <w:ind w:firstLine="480" w:firstLineChars="200"/>
        <w:rPr>
          <w:rFonts w:hint="eastAsia" w:ascii="仿宋" w:hAnsi="仿宋" w:eastAsia="仿宋" w:cs="仿宋"/>
          <w:sz w:val="24"/>
          <w:lang w:val="zh-CN"/>
        </w:rPr>
      </w:pPr>
      <w:r>
        <w:rPr>
          <w:rFonts w:hint="eastAsia" w:ascii="仿宋" w:hAnsi="仿宋" w:eastAsia="仿宋" w:cs="仿宋"/>
          <w:sz w:val="24"/>
          <w:lang w:val="zh-CN"/>
        </w:rPr>
        <w:t>乙方向甲方</w:t>
      </w:r>
      <w:r>
        <w:rPr>
          <w:rFonts w:hint="eastAsia" w:ascii="仿宋" w:hAnsi="仿宋" w:eastAsia="仿宋" w:cs="仿宋"/>
          <w:sz w:val="24"/>
        </w:rPr>
        <w:t>提供</w:t>
      </w:r>
      <w:r>
        <w:rPr>
          <w:rFonts w:hint="eastAsia" w:ascii="仿宋" w:hAnsi="仿宋" w:eastAsia="仿宋" w:cs="仿宋"/>
          <w:sz w:val="24"/>
          <w:lang w:val="zh-CN"/>
        </w:rPr>
        <w:t>货物</w:t>
      </w:r>
      <w:r>
        <w:rPr>
          <w:rFonts w:hint="eastAsia" w:ascii="仿宋" w:hAnsi="仿宋" w:eastAsia="仿宋" w:cs="仿宋"/>
          <w:sz w:val="24"/>
        </w:rPr>
        <w:t>的同时需履行</w:t>
      </w:r>
      <w:r>
        <w:rPr>
          <w:rFonts w:hint="eastAsia" w:ascii="仿宋" w:hAnsi="仿宋" w:eastAsia="仿宋" w:cs="仿宋"/>
          <w:sz w:val="24"/>
          <w:lang w:val="zh-CN"/>
        </w:rPr>
        <w:t>以下</w:t>
      </w:r>
      <w:r>
        <w:rPr>
          <w:rFonts w:hint="eastAsia" w:ascii="仿宋" w:hAnsi="仿宋" w:eastAsia="仿宋" w:cs="仿宋"/>
          <w:sz w:val="24"/>
        </w:rPr>
        <w:t>义务</w:t>
      </w:r>
      <w:r>
        <w:rPr>
          <w:rFonts w:hint="eastAsia" w:ascii="仿宋" w:hAnsi="仿宋" w:eastAsia="仿宋" w:cs="仿宋"/>
          <w:sz w:val="24"/>
          <w:lang w:val="zh-CN"/>
        </w:rPr>
        <w:t>：培训、安装、测试验收、质保期服务、质保期后服务等（如涉及）。</w:t>
      </w:r>
    </w:p>
    <w:p w14:paraId="5F20611A">
      <w:pPr>
        <w:numPr>
          <w:ilvl w:val="0"/>
          <w:numId w:val="2"/>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lang w:val="zh-CN"/>
        </w:rPr>
        <w:t>乙方必须按照《</w:t>
      </w:r>
      <w:r>
        <w:rPr>
          <w:rFonts w:hint="eastAsia" w:ascii="仿宋" w:hAnsi="仿宋" w:eastAsia="仿宋" w:cs="仿宋"/>
          <w:sz w:val="24"/>
        </w:rPr>
        <w:t>采购订单</w:t>
      </w:r>
      <w:r>
        <w:rPr>
          <w:rFonts w:hint="eastAsia" w:ascii="仿宋" w:hAnsi="仿宋" w:eastAsia="仿宋" w:cs="仿宋"/>
          <w:sz w:val="24"/>
          <w:lang w:val="zh-CN"/>
        </w:rPr>
        <w:t>》向甲方提供规定货物，不得擅自更改货物的品牌、规格型号等。</w:t>
      </w:r>
    </w:p>
    <w:p w14:paraId="49AC68B8">
      <w:pPr>
        <w:numPr>
          <w:ilvl w:val="0"/>
          <w:numId w:val="2"/>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采购订单》中的货物价格是乙方在规定的地点交货并且完全正确履行其他全部合同义务的价格，已包括将货物送至甲方指定地点产生或与之相关的所有费用，包括但不限于人工费、原材料费、设计费、制作加工费、仓储费、运输费、损耗费、保险费、装运费（至甲方指定地点）、管理费、利润、税金、风险费、培训费、技术指导费、维保费、政府部门检测相关费用等全部费用。</w:t>
      </w:r>
    </w:p>
    <w:p w14:paraId="5A62C906">
      <w:pPr>
        <w:autoSpaceDE w:val="0"/>
        <w:autoSpaceDN w:val="0"/>
        <w:adjustRightInd w:val="0"/>
        <w:spacing w:line="360" w:lineRule="auto"/>
        <w:rPr>
          <w:rFonts w:hint="eastAsia" w:ascii="仿宋" w:hAnsi="仿宋" w:eastAsia="仿宋" w:cs="仿宋"/>
          <w:sz w:val="24"/>
        </w:rPr>
      </w:pPr>
      <w:r>
        <w:rPr>
          <w:rFonts w:hint="eastAsia" w:ascii="仿宋" w:hAnsi="仿宋" w:eastAsia="仿宋" w:cs="仿宋"/>
          <w:sz w:val="24"/>
        </w:rPr>
        <w:t xml:space="preserve">    若在货物采购过程中，相关增值税税率发生变化的，则货物价格中的不含税金额保持不变，增值税税率及税额相应调整。</w:t>
      </w:r>
    </w:p>
    <w:p w14:paraId="7077C9AA">
      <w:pPr>
        <w:numPr>
          <w:ilvl w:val="0"/>
          <w:numId w:val="2"/>
        </w:numPr>
        <w:autoSpaceDE w:val="0"/>
        <w:autoSpaceDN w:val="0"/>
        <w:adjustRightInd w:val="0"/>
        <w:spacing w:line="360" w:lineRule="auto"/>
        <w:ind w:firstLine="480" w:firstLineChars="200"/>
        <w:rPr>
          <w:rFonts w:hint="eastAsia" w:ascii="仿宋" w:hAnsi="仿宋" w:eastAsia="仿宋" w:cs="仿宋"/>
          <w:b/>
          <w:sz w:val="24"/>
        </w:rPr>
      </w:pPr>
      <w:r>
        <w:rPr>
          <w:rFonts w:hint="eastAsia" w:ascii="仿宋" w:hAnsi="仿宋" w:eastAsia="仿宋" w:cs="仿宋"/>
          <w:sz w:val="24"/>
        </w:rPr>
        <w:t>乙方所能供应货物，甲方亦有权在其他供应商中进行比较采购。乙方承诺向甲方提供最优惠的具有竞争性的最低价格，</w:t>
      </w:r>
      <w:r>
        <w:rPr>
          <w:rFonts w:hint="eastAsia" w:ascii="仿宋" w:hAnsi="仿宋" w:eastAsia="仿宋" w:cs="仿宋"/>
          <w:color w:val="FF0000"/>
          <w:sz w:val="24"/>
        </w:rPr>
        <w:t>在同一时期及相似的供货量情况下，如果乙方以更低的价格供应其他客户或有其他供应商提供更低的价格</w:t>
      </w:r>
      <w:r>
        <w:rPr>
          <w:rFonts w:hint="eastAsia" w:ascii="仿宋" w:hAnsi="仿宋" w:eastAsia="仿宋" w:cs="仿宋"/>
          <w:color w:val="FF0000"/>
          <w:sz w:val="24"/>
          <w:lang w:val="en-US" w:eastAsia="zh-CN"/>
        </w:rPr>
        <w:t>时</w:t>
      </w:r>
      <w:r>
        <w:rPr>
          <w:rFonts w:hint="eastAsia" w:ascii="仿宋" w:hAnsi="仿宋" w:eastAsia="仿宋" w:cs="仿宋"/>
          <w:color w:val="FF0000"/>
          <w:sz w:val="24"/>
        </w:rPr>
        <w:t>，则甲方有权</w:t>
      </w:r>
      <w:r>
        <w:rPr>
          <w:rFonts w:hint="eastAsia" w:ascii="仿宋" w:hAnsi="仿宋" w:eastAsia="仿宋" w:cs="仿宋"/>
          <w:color w:val="FF0000"/>
          <w:sz w:val="24"/>
          <w:lang w:val="en-US" w:eastAsia="zh-CN"/>
        </w:rPr>
        <w:t>要求乙方</w:t>
      </w:r>
      <w:r>
        <w:rPr>
          <w:rFonts w:hint="eastAsia" w:ascii="仿宋" w:hAnsi="仿宋" w:eastAsia="仿宋" w:cs="仿宋"/>
          <w:color w:val="FF0000"/>
          <w:sz w:val="24"/>
        </w:rPr>
        <w:t>按照更低的价格最终结算，或单方解除本合同，向其他供方采购。</w:t>
      </w:r>
    </w:p>
    <w:p w14:paraId="73A2DCEE">
      <w:pPr>
        <w:numPr>
          <w:ilvl w:val="0"/>
          <w:numId w:val="1"/>
        </w:numPr>
        <w:spacing w:line="360" w:lineRule="auto"/>
        <w:ind w:firstLine="482" w:firstLineChars="200"/>
        <w:rPr>
          <w:rFonts w:hint="eastAsia" w:ascii="仿宋" w:hAnsi="仿宋" w:eastAsia="仿宋" w:cs="仿宋"/>
          <w:b/>
          <w:sz w:val="24"/>
        </w:rPr>
      </w:pPr>
      <w:r>
        <w:rPr>
          <w:rFonts w:hint="eastAsia" w:ascii="仿宋" w:hAnsi="仿宋" w:eastAsia="仿宋" w:cs="仿宋"/>
          <w:b/>
          <w:sz w:val="24"/>
        </w:rPr>
        <w:t>采购订单</w:t>
      </w:r>
    </w:p>
    <w:p w14:paraId="1353D936">
      <w:pPr>
        <w:numPr>
          <w:ilvl w:val="0"/>
          <w:numId w:val="3"/>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本合同生效后，甲方即可不定时向乙方发送《采购订单》进行采购，《采购订单》为本合同组成部分，与本合同正文具有同等法律效力。</w:t>
      </w:r>
    </w:p>
    <w:p w14:paraId="03CE7CC1">
      <w:pPr>
        <w:numPr>
          <w:ilvl w:val="0"/>
          <w:numId w:val="3"/>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乙方应在《采购订单》规定的时间内做出响应，以签字/盖章/邮件/电子信息等形式进行确认。若乙方未在规定时间内明确表示拒绝响应，该《采购订单》对乙方生效，乙方不能交货或迟延交货的，应承担违约责任。</w:t>
      </w:r>
    </w:p>
    <w:p w14:paraId="1A2BEE60">
      <w:pPr>
        <w:numPr>
          <w:ilvl w:val="0"/>
          <w:numId w:val="3"/>
        </w:numPr>
        <w:autoSpaceDE w:val="0"/>
        <w:autoSpaceDN w:val="0"/>
        <w:adjustRightInd w:val="0"/>
        <w:spacing w:line="360" w:lineRule="auto"/>
        <w:ind w:firstLine="480" w:firstLineChars="200"/>
        <w:rPr>
          <w:rFonts w:hint="eastAsia" w:ascii="仿宋" w:hAnsi="仿宋" w:eastAsia="仿宋" w:cs="仿宋"/>
          <w:b/>
          <w:sz w:val="24"/>
        </w:rPr>
      </w:pPr>
      <w:r>
        <w:rPr>
          <w:rFonts w:hint="eastAsia" w:ascii="仿宋" w:hAnsi="仿宋" w:eastAsia="仿宋" w:cs="仿宋"/>
          <w:sz w:val="24"/>
        </w:rPr>
        <w:t>无正当理由，乙方不得拒绝接受甲方的《采购订单》。若乙方拒绝履行甲方发出的《采购订单》，乙方应以书面形式说明理由，并根据甲方要求提供相应的证据材料，经甲方同意不视为违约，否则视为违约。</w:t>
      </w:r>
    </w:p>
    <w:p w14:paraId="3C071E8A">
      <w:pPr>
        <w:numPr>
          <w:ilvl w:val="0"/>
          <w:numId w:val="1"/>
        </w:numPr>
        <w:spacing w:line="360" w:lineRule="auto"/>
        <w:ind w:firstLine="482" w:firstLineChars="200"/>
        <w:rPr>
          <w:rFonts w:hint="eastAsia" w:ascii="仿宋" w:hAnsi="仿宋" w:eastAsia="仿宋" w:cs="仿宋"/>
          <w:sz w:val="24"/>
        </w:rPr>
      </w:pPr>
      <w:r>
        <w:rPr>
          <w:rFonts w:hint="eastAsia" w:ascii="仿宋" w:hAnsi="仿宋" w:eastAsia="仿宋" w:cs="仿宋"/>
          <w:b/>
          <w:sz w:val="24"/>
        </w:rPr>
        <w:t>合同期限</w:t>
      </w:r>
    </w:p>
    <w:p w14:paraId="7D7E9F90">
      <w:pPr>
        <w:spacing w:line="360" w:lineRule="auto"/>
        <w:ind w:firstLine="480" w:firstLineChars="200"/>
        <w:rPr>
          <w:rFonts w:hint="eastAsia" w:ascii="仿宋" w:hAnsi="仿宋" w:eastAsia="仿宋" w:cs="仿宋"/>
          <w:sz w:val="24"/>
        </w:rPr>
      </w:pPr>
      <w:r>
        <w:t>本合同有效期为期【{{r contractTermYears }}】年，自{{r contractStartDate }}起至{{r contractEndDate }}止，有效期届满前一个月，双方可以协商是否续签合同的相关事宜。</w:t>
      </w:r>
    </w:p>
    <w:p w14:paraId="05A62B45">
      <w:pPr>
        <w:numPr>
          <w:ilvl w:val="0"/>
          <w:numId w:val="1"/>
        </w:numPr>
        <w:spacing w:line="360" w:lineRule="auto"/>
        <w:ind w:firstLine="482" w:firstLineChars="200"/>
        <w:rPr>
          <w:rFonts w:hint="eastAsia" w:ascii="仿宋" w:hAnsi="仿宋" w:eastAsia="仿宋" w:cs="仿宋"/>
          <w:b/>
          <w:sz w:val="24"/>
        </w:rPr>
      </w:pPr>
      <w:r>
        <w:rPr>
          <w:rFonts w:hint="eastAsia" w:ascii="仿宋" w:hAnsi="仿宋" w:eastAsia="仿宋" w:cs="仿宋"/>
          <w:b/>
          <w:sz w:val="24"/>
        </w:rPr>
        <w:t>交货与运输</w:t>
      </w:r>
    </w:p>
    <w:p w14:paraId="59FE90CE">
      <w:pPr>
        <w:numPr>
          <w:ilvl w:val="0"/>
          <w:numId w:val="4"/>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乙方应严格按照《采购订单》的内容履行交货义务。乙方在交货时，须提供送货单、货物合格证或质量检验报告、质量承诺书、相关质量证明文件以及合同要求提供的其他文件，如原产地证明，进口报关证明等凭证。送货单上须明确注明甲方货物编码、货物名称、品牌、型号、数量、单位等基础信息。</w:t>
      </w:r>
    </w:p>
    <w:p w14:paraId="6184548A">
      <w:pPr>
        <w:numPr>
          <w:ilvl w:val="0"/>
          <w:numId w:val="4"/>
        </w:numPr>
        <w:autoSpaceDE w:val="0"/>
        <w:autoSpaceDN w:val="0"/>
        <w:adjustRightInd w:val="0"/>
        <w:spacing w:line="360" w:lineRule="auto"/>
        <w:ind w:firstLine="480" w:firstLineChars="200"/>
        <w:rPr>
          <w:rFonts w:hint="eastAsia" w:ascii="仿宋" w:hAnsi="仿宋" w:eastAsia="仿宋" w:cs="仿宋"/>
          <w:sz w:val="24"/>
        </w:rPr>
      </w:pPr>
      <w:r>
        <w:t>双方约定，乙方向甲方交付货物的常规货期为 【{{r deliveryDays }}】个工作日。若《采购订单》中指定的货期与常规货期不一致，以《采购订单》约定为准。</w:t>
      </w:r>
    </w:p>
    <w:p w14:paraId="7AA3A8F4">
      <w:pPr>
        <w:numPr>
          <w:ilvl w:val="0"/>
          <w:numId w:val="4"/>
        </w:numPr>
        <w:autoSpaceDE w:val="0"/>
        <w:autoSpaceDN w:val="0"/>
        <w:adjustRightInd w:val="0"/>
        <w:spacing w:line="360" w:lineRule="auto"/>
        <w:ind w:firstLine="480" w:firstLineChars="200"/>
        <w:rPr>
          <w:rFonts w:hint="eastAsia" w:ascii="仿宋" w:hAnsi="仿宋" w:eastAsia="仿宋" w:cs="仿宋"/>
          <w:sz w:val="24"/>
        </w:rPr>
      </w:pPr>
      <w:r>
        <w:t>双方确认，本合同项下的运输方式为 {{r transportMethod }} ，在发货【{{r shipmentNoticeHours }}】小时之前，乙方应将发货清单和装箱清单、货物运输公司、运输方式（如汽运/快递等）、运输车辆车牌、运输司机姓名及其联系方式、预计到货日期等书面告知甲方（如采用物流方式，乙方应在货物发出后立即将物流单号、预计到货时间等告知甲方）。乙方逾期通知或未通知造成甲方迟延接收货物的，甲方对此不承担责任。</w:t>
      </w:r>
    </w:p>
    <w:p w14:paraId="548FC9B6">
      <w:pPr>
        <w:numPr>
          <w:ilvl w:val="0"/>
          <w:numId w:val="4"/>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乙方如提前交货或部分交货的，应提前24小时向甲方提出书面申请并征得甲方书面同意，否则甲方有权拒收。</w:t>
      </w:r>
    </w:p>
    <w:p w14:paraId="3C1B467D">
      <w:pPr>
        <w:numPr>
          <w:ilvl w:val="0"/>
          <w:numId w:val="4"/>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如果乙方预期将会发生交货延迟，应提前一周内通知甲方，同时详细说明理由，并提供相应的证明文件，乙方的通知不能免除其违约的责任。</w:t>
      </w:r>
    </w:p>
    <w:p w14:paraId="623804DD">
      <w:pPr>
        <w:numPr>
          <w:ilvl w:val="0"/>
          <w:numId w:val="4"/>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当甲方要求乙方提前交货时，乙方应采取必要的措施满足交货要求，若确实无法满足，应在收到甲方提出的要求后24小时内以书面形式向甲方告知最早的交货时间和数量。</w:t>
      </w:r>
    </w:p>
    <w:p w14:paraId="02C2801C">
      <w:pPr>
        <w:numPr>
          <w:ilvl w:val="0"/>
          <w:numId w:val="4"/>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乙方应将货物运至甲方指定的交货地点交付给甲方，货物交付给甲方前产生的所有费用均由乙方承担，包括但不限于运输、包装，保险等相关费用；乙方的交货日期为甲方收货的日期，货物风险自甲方签收之日起转移。</w:t>
      </w:r>
    </w:p>
    <w:p w14:paraId="6B76A3E6">
      <w:pPr>
        <w:numPr>
          <w:ilvl w:val="0"/>
          <w:numId w:val="4"/>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乙方向甲方交货数量少于甲方《采购订单》数量，乙方应在限定期限内补足。</w:t>
      </w:r>
    </w:p>
    <w:p w14:paraId="18788B59">
      <w:pPr>
        <w:numPr>
          <w:ilvl w:val="0"/>
          <w:numId w:val="4"/>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乙方为满足甲方需求，有义务根据甲方的需求计划预测，保持适量的安全库存,满足甲方的需求计划。</w:t>
      </w:r>
    </w:p>
    <w:p w14:paraId="3BDC7816">
      <w:pPr>
        <w:numPr>
          <w:ilvl w:val="0"/>
          <w:numId w:val="1"/>
        </w:numPr>
        <w:spacing w:line="360" w:lineRule="auto"/>
        <w:ind w:firstLine="482" w:firstLineChars="200"/>
        <w:rPr>
          <w:rFonts w:hint="eastAsia" w:ascii="仿宋" w:hAnsi="仿宋" w:eastAsia="仿宋" w:cs="仿宋"/>
          <w:b/>
          <w:sz w:val="24"/>
        </w:rPr>
      </w:pPr>
      <w:r>
        <w:rPr>
          <w:rFonts w:hint="eastAsia" w:ascii="仿宋" w:hAnsi="仿宋" w:eastAsia="仿宋" w:cs="仿宋"/>
          <w:b/>
          <w:sz w:val="24"/>
        </w:rPr>
        <w:t>质量标准及货物包装</w:t>
      </w:r>
    </w:p>
    <w:p w14:paraId="6A9BCC04">
      <w:pPr>
        <w:numPr>
          <w:ilvl w:val="0"/>
          <w:numId w:val="5"/>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质量标准：乙方向甲方供应的货物应符合：</w:t>
      </w:r>
    </w:p>
    <w:p w14:paraId="1F21336A">
      <w:pPr>
        <w:spacing w:line="360" w:lineRule="auto"/>
        <w:ind w:firstLine="480" w:firstLineChars="200"/>
        <w:rPr>
          <w:rFonts w:hint="eastAsia" w:ascii="仿宋" w:hAnsi="仿宋" w:eastAsia="仿宋" w:cs="仿宋"/>
          <w:sz w:val="24"/>
          <w:u w:val="single"/>
        </w:rPr>
      </w:pPr>
      <w:r>
        <w:rPr>
          <w:rFonts w:hint="eastAsia" w:ascii="仿宋" w:hAnsi="仿宋" w:eastAsia="仿宋" w:cs="仿宋"/>
          <w:sz w:val="24"/>
        </w:rPr>
        <w:t>☑国家标准；</w:t>
      </w:r>
    </w:p>
    <w:p w14:paraId="79F7BEE8">
      <w:pPr>
        <w:spacing w:line="360" w:lineRule="auto"/>
        <w:ind w:firstLine="480" w:firstLineChars="200"/>
        <w:rPr>
          <w:rFonts w:hint="eastAsia" w:ascii="仿宋" w:hAnsi="仿宋" w:eastAsia="仿宋" w:cs="仿宋"/>
          <w:sz w:val="24"/>
        </w:rPr>
      </w:pPr>
      <w:r>
        <w:rPr>
          <w:rFonts w:hint="eastAsia" w:ascii="仿宋" w:hAnsi="仿宋" w:eastAsia="仿宋" w:cs="仿宋"/>
          <w:sz w:val="24"/>
        </w:rPr>
        <w:t>☑行业标准；</w:t>
      </w:r>
    </w:p>
    <w:p w14:paraId="4995368A">
      <w:pPr>
        <w:spacing w:line="360" w:lineRule="auto"/>
        <w:ind w:firstLine="480" w:firstLineChars="200"/>
        <w:rPr>
          <w:rFonts w:hint="eastAsia" w:ascii="仿宋" w:hAnsi="仿宋" w:eastAsia="仿宋" w:cs="仿宋"/>
          <w:sz w:val="24"/>
        </w:rPr>
      </w:pPr>
      <w:r>
        <w:rPr>
          <w:rFonts w:hint="eastAsia" w:ascii="仿宋" w:hAnsi="仿宋" w:eastAsia="仿宋" w:cs="仿宋"/>
          <w:sz w:val="24"/>
        </w:rPr>
        <w:t>☑双方确定的相关技术、质量标准。双方确定的相关技术、质量标准经双方签字盖章确认后亦为本合同内容，与本合同具有同等法律效力。</w:t>
      </w:r>
    </w:p>
    <w:p w14:paraId="18FF23C6">
      <w:pPr>
        <w:spacing w:line="360" w:lineRule="auto"/>
        <w:ind w:firstLine="480" w:firstLineChars="200"/>
        <w:rPr>
          <w:rFonts w:hint="eastAsia" w:ascii="仿宋" w:hAnsi="仿宋" w:eastAsia="仿宋" w:cs="仿宋"/>
          <w:sz w:val="24"/>
        </w:rPr>
      </w:pPr>
      <w:r>
        <w:rPr>
          <w:rFonts w:hint="eastAsia" w:ascii="仿宋" w:hAnsi="仿宋" w:eastAsia="仿宋" w:cs="仿宋"/>
          <w:sz w:val="24"/>
        </w:rPr>
        <w:t>☑按样品交验。乙方如需要变更标准样品（包括但不限于材料、制造厂、产地、以及零件设计等），应于变更前一个月以书面形式向甲方提出书面申请，并同时将新的标准样品提供给甲方验证，经甲方书面确认后方可能变更。甲方亦可根据实际生产经营需要随时要求乙方变更标准样品，乙方无正当理由不得拒绝。</w:t>
      </w:r>
    </w:p>
    <w:p w14:paraId="2D3A42E2">
      <w:pPr>
        <w:spacing w:line="360" w:lineRule="auto"/>
        <w:rPr>
          <w:rFonts w:hint="eastAsia" w:ascii="仿宋" w:hAnsi="仿宋" w:eastAsia="仿宋" w:cs="仿宋"/>
          <w:sz w:val="24"/>
        </w:rPr>
      </w:pPr>
      <w:r>
        <w:rPr>
          <w:rFonts w:hint="eastAsia" w:ascii="仿宋" w:hAnsi="仿宋" w:eastAsia="仿宋" w:cs="仿宋"/>
          <w:sz w:val="24"/>
        </w:rPr>
        <w:t>对同一项目的质量参数规定不一致时，验收时以较高质量标准为准。</w:t>
      </w:r>
    </w:p>
    <w:p w14:paraId="1EAF2C47">
      <w:pPr>
        <w:numPr>
          <w:ilvl w:val="0"/>
          <w:numId w:val="5"/>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货物包装：乙方货物包装应严格按照甲方所指定的包装标准和规定执行，国外项目要满足出口货物包装要求，甲方没有明确规定包装标准的，乙方应按照符合货物防漏、防潮、防震、防腐、防粗鲁搬运、能满足长途运输、足以保障货物安全及多次装卸之需要进行包装，并符合货物在购买、运输、销售、仓储、使用过程中所涉及的国家及地方政府主管部门对包装物颁布的包装标准及管制要求，包装物不计价、不回收。</w:t>
      </w:r>
    </w:p>
    <w:p w14:paraId="44AA3E79">
      <w:pPr>
        <w:numPr>
          <w:ilvl w:val="0"/>
          <w:numId w:val="5"/>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乙方向甲方供应的货物应符合国家环保相关的法律法规及甲方环保、安全、卫生要求。如因货物因素对甲方或购买、使用甲方货物的第三方造成人身伤害或经济损失的由乙方承担全部责任。</w:t>
      </w:r>
    </w:p>
    <w:p w14:paraId="4142B007">
      <w:pPr>
        <w:numPr>
          <w:ilvl w:val="0"/>
          <w:numId w:val="5"/>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乙方为甲方供应的货物必须符合国家强制性规定的要求，如甲方要求乙方提供相关零部件的国家或国际认证证书，乙方必须保持证书的有效性、证书和零部件的相符性。</w:t>
      </w:r>
    </w:p>
    <w:p w14:paraId="480AF55B">
      <w:pPr>
        <w:numPr>
          <w:ilvl w:val="0"/>
          <w:numId w:val="5"/>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甲方有权要求乙方按不同送货地点分开打包送货，乙方不得因此提出任何费用要求。</w:t>
      </w:r>
    </w:p>
    <w:p w14:paraId="22C127DE">
      <w:pPr>
        <w:numPr>
          <w:ilvl w:val="0"/>
          <w:numId w:val="5"/>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乙方应按照甲方要求，建立有效的质量保障体系，作为全面履约的一部分，质量保障体系包括使用可行的质量控制、检测手段和记录，以保证提供的货物是合格的，甲方有权随时对此进行检查考核。对于检测与考核不合格的，甲方有权立即终止已生效的合同并停止下单，直至乙方完成整改，达到甲方的要求为止；若连续两次整改不达标，甲方有权解除本合同。</w:t>
      </w:r>
    </w:p>
    <w:p w14:paraId="074A6E07">
      <w:pPr>
        <w:numPr>
          <w:ilvl w:val="0"/>
          <w:numId w:val="1"/>
        </w:numPr>
        <w:spacing w:line="360" w:lineRule="auto"/>
        <w:ind w:firstLine="482" w:firstLineChars="200"/>
        <w:rPr>
          <w:rFonts w:hint="eastAsia" w:ascii="仿宋" w:hAnsi="仿宋" w:eastAsia="仿宋" w:cs="仿宋"/>
          <w:b/>
          <w:sz w:val="24"/>
        </w:rPr>
      </w:pPr>
      <w:r>
        <w:rPr>
          <w:rFonts w:hint="eastAsia" w:ascii="仿宋" w:hAnsi="仿宋" w:eastAsia="仿宋" w:cs="仿宋"/>
          <w:b/>
          <w:sz w:val="24"/>
        </w:rPr>
        <w:t>验收</w:t>
      </w:r>
    </w:p>
    <w:p w14:paraId="418811AA">
      <w:pPr>
        <w:numPr>
          <w:ilvl w:val="0"/>
          <w:numId w:val="6"/>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交货准确：乙方每次交货的规格型号与数量或重量必须是100%准确，不允许送货品牌、规格型号、数量等信息与订单不一。</w:t>
      </w:r>
    </w:p>
    <w:p w14:paraId="77A3AF89">
      <w:pPr>
        <w:numPr>
          <w:ilvl w:val="0"/>
          <w:numId w:val="7"/>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初步验收：货物运抵交货地点后，由甲方对（包括但不限于）收货数量是否相符、货物包装、外观、品牌、型号、规格及相关技术资料完整性等进行初步验收。乙方有样品封存于甲方的，验收时按样品（包括品牌、商标、规格、型号等）比照验收。若初步验收时发现货物数量、外观、品牌、规格、型号、提交的相关技术资料等不符合本合同之约定，乙方应在收到甲方异议之日起5日内补足或更换完成，并承担由于补、换所产生的全部费用。初步验收合格后，甲方指定签收人员将在《送货单》上签字，作为结算依据之一，《送货单》的签署仅表明甲方对该批货物的外观、数量、品牌、型号、规格等的验收，并不包括对隐蔽性的、通过外观检验所不能发现的任何质量或性能的验收，不排除乙方对货物质量的责任承担。</w:t>
      </w:r>
    </w:p>
    <w:p w14:paraId="1F4A8166">
      <w:pPr>
        <w:numPr>
          <w:ilvl w:val="0"/>
          <w:numId w:val="7"/>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质量验收：甲方在收到乙方交付的货物后应依据第五条质量标准对货物进行检验，检验程序按照甲方品质管理部门规定的验收程序执行。如甲方发现货物存在质量、性能问题或不符合合同约定的，乙方应在甲方通知的合理期限内无偿予以补、换以及整改，并承担因此产生的一切费用，因此导致迟延交货、工程延误的，乙方应当承担合同约定的违约责任。乙方拒绝履行上述义务，或补换、整改后仍未解决问题的，甲方有权视问题严重程度采取折价支付、退换货乃至单方解除本合同。</w:t>
      </w:r>
    </w:p>
    <w:p w14:paraId="07207894">
      <w:pPr>
        <w:spacing w:line="360" w:lineRule="auto"/>
        <w:ind w:firstLine="482" w:firstLineChars="200"/>
        <w:rPr>
          <w:rFonts w:hint="eastAsia" w:ascii="仿宋" w:hAnsi="仿宋" w:eastAsia="仿宋" w:cs="仿宋"/>
          <w:sz w:val="24"/>
        </w:rPr>
      </w:pPr>
      <w:r>
        <w:rPr>
          <w:rFonts w:hint="eastAsia" w:ascii="仿宋" w:hAnsi="仿宋" w:eastAsia="仿宋" w:cs="仿宋"/>
          <w:b/>
          <w:bCs/>
          <w:sz w:val="24"/>
        </w:rPr>
        <w:t>退货：</w:t>
      </w:r>
      <w:r>
        <w:rPr>
          <w:rFonts w:hint="eastAsia" w:ascii="仿宋" w:hAnsi="仿宋" w:eastAsia="仿宋" w:cs="仿宋"/>
          <w:sz w:val="24"/>
        </w:rPr>
        <w:t>如甲方选择退货，乙方应在甲方通知期限内办理退货手续，将不合格货物运离甲方库房，否则甲方有权利收取此产生的仓储费用，因退货产生的费用和造成的甲方损失由乙方承担。</w:t>
      </w:r>
    </w:p>
    <w:p w14:paraId="668CE2BA">
      <w:pPr>
        <w:spacing w:line="360" w:lineRule="auto"/>
        <w:ind w:firstLine="482" w:firstLineChars="200"/>
        <w:rPr>
          <w:rFonts w:hint="eastAsia" w:ascii="仿宋" w:hAnsi="仿宋" w:eastAsia="仿宋" w:cs="仿宋"/>
          <w:sz w:val="24"/>
        </w:rPr>
      </w:pPr>
      <w:r>
        <w:rPr>
          <w:rFonts w:hint="eastAsia" w:ascii="仿宋" w:hAnsi="仿宋" w:eastAsia="仿宋" w:cs="仿宋"/>
          <w:b/>
          <w:bCs/>
          <w:sz w:val="24"/>
        </w:rPr>
        <w:t>换货：</w:t>
      </w:r>
      <w:r>
        <w:rPr>
          <w:rFonts w:hint="eastAsia" w:ascii="仿宋" w:hAnsi="仿宋" w:eastAsia="仿宋" w:cs="仿宋"/>
          <w:sz w:val="24"/>
        </w:rPr>
        <w:t>乙方应在甲方通知期限内更换货物，乙方逾期处理的视为逾期交货，应承担逾期交货责任及和造成的甲方损失。</w:t>
      </w:r>
    </w:p>
    <w:p w14:paraId="5D092887">
      <w:pPr>
        <w:spacing w:line="360" w:lineRule="auto"/>
        <w:ind w:firstLine="482" w:firstLineChars="200"/>
        <w:rPr>
          <w:rFonts w:hint="eastAsia" w:ascii="仿宋" w:hAnsi="仿宋" w:eastAsia="仿宋" w:cs="仿宋"/>
          <w:sz w:val="24"/>
        </w:rPr>
      </w:pPr>
      <w:r>
        <w:rPr>
          <w:rFonts w:hint="eastAsia" w:ascii="仿宋" w:hAnsi="仿宋" w:eastAsia="仿宋" w:cs="仿宋"/>
          <w:b/>
          <w:bCs/>
          <w:sz w:val="24"/>
        </w:rPr>
        <w:t>折价支付：</w:t>
      </w:r>
      <w:r>
        <w:rPr>
          <w:rFonts w:hint="eastAsia" w:ascii="仿宋" w:hAnsi="仿宋" w:eastAsia="仿宋" w:cs="仿宋"/>
          <w:sz w:val="24"/>
        </w:rPr>
        <w:t>价格由双方另行协商，若协商不成，甲方有权选择退货或换货。</w:t>
      </w:r>
    </w:p>
    <w:p w14:paraId="20E06FF6">
      <w:pPr>
        <w:numPr>
          <w:ilvl w:val="0"/>
          <w:numId w:val="7"/>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质量验收为抽检，检验结果仅对当次交验品有效，并不代表乙方交付的整批货物的全部满足质量标准，因此，若甲方在生产和销售过程中发现乙方货物存在质量问题，甲方仍有权要求乙方承担质量担保责任。</w:t>
      </w:r>
    </w:p>
    <w:p w14:paraId="543BB187">
      <w:pPr>
        <w:numPr>
          <w:ilvl w:val="0"/>
          <w:numId w:val="7"/>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质量争议的解决：若乙方不认可甲方出具的检验报告，双方可协商委托第三方质量检测机构对质量有争议的货物进行检测，若双方无法就第三方质量检测机构的指定达成共识，则由甲方决定第三方质量检测机构，该第三方质量检测机构出具的检测参数为最终检测结果，甲乙双方均应认可。若根据第三方检测机构出具的检测数据判定货物为不合格，由此生产的检测费、运费等由乙方承担，乙方同时还应根据合同约定承担其他责任；若根据第三方检测机构出具的检测报告判定货物为合格，由此产生的检测费、运费等由甲方承担。</w:t>
      </w:r>
    </w:p>
    <w:p w14:paraId="253BABD6">
      <w:pPr>
        <w:numPr>
          <w:ilvl w:val="0"/>
          <w:numId w:val="1"/>
        </w:numPr>
        <w:spacing w:line="360" w:lineRule="auto"/>
        <w:ind w:firstLine="482" w:firstLineChars="200"/>
        <w:rPr>
          <w:rFonts w:hint="eastAsia" w:ascii="仿宋" w:hAnsi="仿宋" w:eastAsia="仿宋" w:cs="仿宋"/>
          <w:b/>
          <w:sz w:val="24"/>
        </w:rPr>
      </w:pPr>
      <w:r>
        <w:rPr>
          <w:rFonts w:hint="eastAsia" w:ascii="仿宋" w:hAnsi="仿宋" w:eastAsia="仿宋" w:cs="仿宋"/>
          <w:b/>
          <w:sz w:val="24"/>
        </w:rPr>
        <w:t>结算方式及条件</w:t>
      </w:r>
    </w:p>
    <w:p w14:paraId="4C3657CF">
      <w:pPr>
        <w:numPr>
          <w:ilvl w:val="0"/>
          <w:numId w:val="8"/>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货款结算</w:t>
      </w:r>
    </w:p>
    <w:p w14:paraId="2F6869FF">
      <w:pPr>
        <w:numPr>
          <w:ilvl w:val="0"/>
          <w:numId w:val="9"/>
        </w:numPr>
        <w:spacing w:line="360" w:lineRule="auto"/>
        <w:ind w:left="0" w:firstLine="420"/>
        <w:rPr>
          <w:rFonts w:hint="eastAsia" w:ascii="仿宋" w:hAnsi="仿宋" w:eastAsia="仿宋" w:cs="仿宋"/>
          <w:sz w:val="24"/>
        </w:rPr>
      </w:pPr>
      <w:r>
        <w:t>结算周期：{{r settlementCycle }}。乙方提供甲方指定接收人员签署的《送货单》等资料作为结算依据，经甲方对账后书面确认结算。乙方在甲方付款前3个工作日内应向甲方开具经双方确认的货款金额的增值税专用发票，否则甲方有权拒绝付款。</w:t>
      </w:r>
    </w:p>
    <w:p w14:paraId="09E6E431">
      <w:pPr>
        <w:numPr>
          <w:ilvl w:val="0"/>
          <w:numId w:val="9"/>
        </w:numPr>
        <w:spacing w:line="360" w:lineRule="auto"/>
        <w:ind w:left="-714" w:firstLine="1134"/>
        <w:rPr>
          <w:rFonts w:hint="eastAsia" w:ascii="仿宋" w:hAnsi="仿宋" w:eastAsia="仿宋" w:cs="仿宋"/>
          <w:sz w:val="24"/>
        </w:rPr>
      </w:pPr>
      <w:r>
        <w:rPr>
          <w:rFonts w:hint="eastAsia" w:ascii="仿宋" w:hAnsi="仿宋" w:eastAsia="仿宋" w:cs="仿宋"/>
          <w:sz w:val="24"/>
        </w:rPr>
        <w:t>结算方式：甲方通过 ☑承兑 ☑转账 □现金方式支付。</w:t>
      </w:r>
    </w:p>
    <w:p w14:paraId="77CA3A5D">
      <w:pPr>
        <w:numPr>
          <w:ilvl w:val="0"/>
          <w:numId w:val="8"/>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乙方须向甲方提供其准确名称和银行账户、账号等信息。如乙方名称和银行信息发生变更，应在变更之日书面通知甲方；如乙方名称和银行信息等发生变更而乙方未向甲方发送变更通知导致乙方未收到甲方支付的货款的， 因此造成的损失由乙方自行承担。</w:t>
      </w:r>
    </w:p>
    <w:p w14:paraId="0C36A0FE">
      <w:pPr>
        <w:spacing w:line="360" w:lineRule="auto"/>
        <w:ind w:firstLine="480" w:firstLineChars="200"/>
        <w:rPr>
          <w:rFonts w:hint="eastAsia" w:ascii="仿宋" w:hAnsi="仿宋" w:eastAsia="仿宋" w:cs="仿宋"/>
          <w:sz w:val="24"/>
        </w:rPr>
      </w:pPr>
      <w:r>
        <w:rPr>
          <w:rFonts w:hint="eastAsia" w:ascii="仿宋" w:hAnsi="仿宋" w:eastAsia="仿宋" w:cs="仿宋"/>
          <w:sz w:val="24"/>
        </w:rPr>
        <w:t>乙方变更以上信息，甲方有权相应顺延合同货物的付款期限至下一个付款周期，若乙方变更信息涉及发票记载事项，甲方有权退回增值税专用发票，乙方必须根据变更后的信息重新开具发票，该发票金额对应的货款付款期限自甲方收到乙方重新开具合适发票后重新计算。</w:t>
      </w:r>
    </w:p>
    <w:p w14:paraId="65E684FC">
      <w:pPr>
        <w:numPr>
          <w:ilvl w:val="0"/>
          <w:numId w:val="8"/>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甲方有权拒付供货质量有缺陷或供货数量不足部分的合同货物的价款。</w:t>
      </w:r>
    </w:p>
    <w:p w14:paraId="75C7FC3D">
      <w:pPr>
        <w:numPr>
          <w:ilvl w:val="0"/>
          <w:numId w:val="8"/>
        </w:numPr>
        <w:autoSpaceDE w:val="0"/>
        <w:autoSpaceDN w:val="0"/>
        <w:adjustRightInd w:val="0"/>
        <w:spacing w:line="360" w:lineRule="auto"/>
        <w:ind w:firstLine="480" w:firstLineChars="200"/>
        <w:rPr>
          <w:rFonts w:hint="eastAsia" w:ascii="仿宋" w:hAnsi="仿宋" w:eastAsia="仿宋" w:cs="仿宋"/>
          <w:color w:val="FF0000"/>
          <w:sz w:val="24"/>
        </w:rPr>
      </w:pPr>
      <w:r>
        <w:rPr>
          <w:rFonts w:hint="eastAsia" w:ascii="仿宋" w:hAnsi="仿宋" w:eastAsia="仿宋" w:cs="仿宋"/>
          <w:color w:val="FF0000"/>
          <w:sz w:val="24"/>
        </w:rPr>
        <w:t>如果供应商对我司的产品、技术方案、工艺等有优化意见，可节省采购成本、安装成本、或者提高质量等。供应商提供方案报告，经我司技术论证有可行性，能够在下次的应付账款支付时享受提前15天支付。</w:t>
      </w:r>
    </w:p>
    <w:p w14:paraId="4F303A67">
      <w:pPr>
        <w:numPr>
          <w:ilvl w:val="0"/>
          <w:numId w:val="8"/>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乙方出现违约事项，或者双方对于违约事项存在争议，尚未达成一致的解决意见之前，甲方有权单方中止向乙方支付货款。</w:t>
      </w:r>
    </w:p>
    <w:p w14:paraId="758826C9">
      <w:pPr>
        <w:numPr>
          <w:ilvl w:val="0"/>
          <w:numId w:val="1"/>
        </w:numPr>
        <w:spacing w:line="360" w:lineRule="auto"/>
        <w:ind w:firstLine="482" w:firstLineChars="200"/>
        <w:rPr>
          <w:rFonts w:hint="eastAsia" w:ascii="仿宋" w:hAnsi="仿宋" w:eastAsia="仿宋" w:cs="仿宋"/>
          <w:b/>
          <w:sz w:val="24"/>
        </w:rPr>
      </w:pPr>
      <w:r>
        <w:rPr>
          <w:rFonts w:hint="eastAsia" w:ascii="仿宋" w:hAnsi="仿宋" w:eastAsia="仿宋" w:cs="仿宋"/>
          <w:b/>
          <w:sz w:val="24"/>
        </w:rPr>
        <w:t>质量保证期和保证金</w:t>
      </w:r>
    </w:p>
    <w:p w14:paraId="659DB243">
      <w:pPr>
        <w:numPr>
          <w:ilvl w:val="0"/>
          <w:numId w:val="10"/>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乙方所供物品，必须按照国家、行业或企业有关标准和规范生产，甲方如有特殊要求，还须符合甲方提出的质量要求或图纸设计。乙方保证合同项下提供的全部货物必须是全新的并且没有设计、材料及工艺上的缺陷，完全符合合同规定的品牌、质量、规格和性能的要求和符合质量标准，并有产品的质量证明书。</w:t>
      </w:r>
      <w:r>
        <w:rPr>
          <w:rFonts w:hint="eastAsia" w:ascii="仿宋" w:hAnsi="仿宋" w:eastAsia="仿宋" w:cs="仿宋"/>
          <w:sz w:val="24"/>
          <w:lang w:val="zh-CN"/>
        </w:rPr>
        <w:t>在正常操作条件下，合同项下乙方所提供的货物不会因为任何潜在缺陷发生安全事故。若由于货物的潜在缺陷而导致安全事故，造成的所有甲方损失应由乙方赔偿。</w:t>
      </w:r>
    </w:p>
    <w:p w14:paraId="335A4D26">
      <w:pPr>
        <w:numPr>
          <w:ilvl w:val="0"/>
          <w:numId w:val="10"/>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 xml:space="preserve">质量保证期：对于甲方订购的每批货物，乙方提供的该批货物质保期为    </w:t>
      </w:r>
      <w:r>
        <w:rPr>
          <w:rFonts w:hint="eastAsia" w:ascii="仿宋" w:hAnsi="仿宋" w:eastAsia="仿宋" w:cs="仿宋"/>
          <w:sz w:val="24"/>
          <w:u w:val="single"/>
        </w:rPr>
        <w:t xml:space="preserve">    </w:t>
      </w:r>
      <w:r>
        <w:rPr>
          <w:rFonts w:hint="eastAsia" w:ascii="仿宋" w:hAnsi="仿宋" w:eastAsia="仿宋" w:cs="仿宋"/>
          <w:sz w:val="24"/>
        </w:rPr>
        <w:t>从该批物品甲方验收合格之日算起</w:t>
      </w:r>
      <w:r>
        <w:rPr>
          <w:rFonts w:hint="eastAsia" w:ascii="仿宋" w:hAnsi="仿宋" w:eastAsia="仿宋" w:cs="仿宋"/>
          <w:sz w:val="24"/>
          <w:u w:val="single"/>
        </w:rPr>
        <w:t>12个月或货到现场18个月（以后到期为准）</w:t>
      </w:r>
      <w:r>
        <w:rPr>
          <w:rFonts w:hint="eastAsia" w:ascii="仿宋" w:hAnsi="仿宋" w:eastAsia="仿宋" w:cs="仿宋"/>
          <w:sz w:val="24"/>
        </w:rPr>
        <w:t>。若货物在质保期内需要更换或更新，从双方认可的修复完成日开始，质保期按修复验收后重新算起。</w:t>
      </w:r>
    </w:p>
    <w:p w14:paraId="40822919">
      <w:pPr>
        <w:numPr>
          <w:ilvl w:val="0"/>
          <w:numId w:val="10"/>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本合同生效后，乙方应向甲方缴纳</w:t>
      </w:r>
      <w:r>
        <w:rPr>
          <w:rFonts w:hint="eastAsia" w:ascii="仿宋" w:hAnsi="仿宋" w:eastAsia="仿宋" w:cs="仿宋"/>
          <w:sz w:val="24"/>
          <w:u w:val="single"/>
        </w:rPr>
        <w:t xml:space="preserve">  10  </w:t>
      </w:r>
      <w:r>
        <w:rPr>
          <w:rFonts w:hint="eastAsia" w:ascii="仿宋" w:hAnsi="仿宋" w:eastAsia="仿宋" w:cs="仿宋"/>
          <w:sz w:val="24"/>
        </w:rPr>
        <w:t>万元（大写：人民币</w:t>
      </w:r>
      <w:r>
        <w:rPr>
          <w:rFonts w:hint="eastAsia" w:ascii="仿宋" w:hAnsi="仿宋" w:eastAsia="仿宋" w:cs="仿宋"/>
          <w:sz w:val="24"/>
          <w:u w:val="single"/>
        </w:rPr>
        <w:t>壹拾万元整</w:t>
      </w:r>
      <w:r>
        <w:rPr>
          <w:rFonts w:hint="eastAsia" w:ascii="仿宋" w:hAnsi="仿宋" w:eastAsia="仿宋" w:cs="仿宋"/>
          <w:sz w:val="24"/>
        </w:rPr>
        <w:t>）作为保证金，若乙方交付的货物不符合质量标准或乙方存在其他违约行为的应承担责任的，甲方可从货款中扣除，若货款不足以扣除的，从乙方缴纳的质量保证金中扣除相应金额。乙方采取以下方式缴纳保证金：</w:t>
      </w:r>
    </w:p>
    <w:p w14:paraId="3CB9CB3F">
      <w:pPr>
        <w:spacing w:line="360" w:lineRule="auto"/>
        <w:ind w:firstLine="480" w:firstLineChars="200"/>
        <w:rPr>
          <w:rFonts w:hint="eastAsia" w:ascii="仿宋" w:hAnsi="仿宋" w:eastAsia="仿宋" w:cs="仿宋"/>
          <w:sz w:val="24"/>
        </w:rPr>
      </w:pPr>
      <w:r>
        <w:rPr>
          <w:rFonts w:hint="eastAsia" w:ascii="仿宋" w:hAnsi="仿宋" w:eastAsia="仿宋" w:cs="仿宋"/>
          <w:sz w:val="24"/>
        </w:rPr>
        <w:t>☑本合同签订之日起</w:t>
      </w:r>
      <w:r>
        <w:rPr>
          <w:rFonts w:hint="eastAsia" w:ascii="仿宋" w:hAnsi="仿宋" w:eastAsia="仿宋" w:cs="仿宋"/>
          <w:sz w:val="24"/>
          <w:u w:val="single"/>
        </w:rPr>
        <w:t xml:space="preserve">     </w:t>
      </w:r>
      <w:r>
        <w:rPr>
          <w:rFonts w:hint="eastAsia" w:ascii="仿宋" w:hAnsi="仿宋" w:eastAsia="仿宋" w:cs="仿宋"/>
          <w:sz w:val="24"/>
        </w:rPr>
        <w:t>个工作日内，乙方以现金方式缴纳。</w:t>
      </w:r>
    </w:p>
    <w:p w14:paraId="319F2969">
      <w:pPr>
        <w:spacing w:line="360" w:lineRule="auto"/>
        <w:ind w:firstLine="480" w:firstLineChars="200"/>
        <w:rPr>
          <w:rFonts w:hint="eastAsia" w:ascii="仿宋" w:hAnsi="仿宋" w:eastAsia="仿宋" w:cs="仿宋"/>
          <w:sz w:val="24"/>
        </w:rPr>
      </w:pPr>
      <w:r>
        <w:rPr>
          <w:rFonts w:hint="eastAsia" w:ascii="仿宋" w:hAnsi="仿宋" w:eastAsia="仿宋" w:cs="仿宋"/>
          <w:sz w:val="24"/>
        </w:rPr>
        <w:t>□从甲方应付乙方货款中扣除，首次应付货款不足扣除的，在后期应付货款中扣除，直至扣足约定保证金金额为止。</w:t>
      </w:r>
    </w:p>
    <w:p w14:paraId="5902D3F5">
      <w:pPr>
        <w:numPr>
          <w:ilvl w:val="0"/>
          <w:numId w:val="10"/>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保证金的退还：乙方向甲方供应最后一批货物质量保证期满，甲乙双方在本合同项下没有任何纠纷或纠纷已经协商解决的，甲方无息退还乙方保证金。</w:t>
      </w:r>
    </w:p>
    <w:p w14:paraId="7A987B69">
      <w:pPr>
        <w:numPr>
          <w:ilvl w:val="0"/>
          <w:numId w:val="1"/>
        </w:numPr>
        <w:spacing w:line="360" w:lineRule="auto"/>
        <w:ind w:firstLine="482" w:firstLineChars="200"/>
        <w:rPr>
          <w:rFonts w:hint="eastAsia" w:ascii="仿宋" w:hAnsi="仿宋" w:eastAsia="仿宋" w:cs="仿宋"/>
          <w:b/>
          <w:sz w:val="24"/>
        </w:rPr>
      </w:pPr>
      <w:r>
        <w:rPr>
          <w:rFonts w:hint="eastAsia" w:ascii="仿宋" w:hAnsi="仿宋" w:eastAsia="仿宋" w:cs="仿宋"/>
          <w:b/>
          <w:sz w:val="24"/>
        </w:rPr>
        <w:t>知识产权</w:t>
      </w:r>
    </w:p>
    <w:p w14:paraId="27257EA0">
      <w:pPr>
        <w:numPr>
          <w:ilvl w:val="0"/>
          <w:numId w:val="11"/>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乙方提供的货物或服务，使用第三人专利，专有技术、技术秘密、商业秘密、著作权、商标权等知识产权的，在签订合同时，应向甲方说明知识产权的权利人、名称等权利状况，相应知识产权使用费由乙方负责支付。</w:t>
      </w:r>
    </w:p>
    <w:p w14:paraId="5401B8D8">
      <w:pPr>
        <w:numPr>
          <w:ilvl w:val="0"/>
          <w:numId w:val="11"/>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 xml:space="preserve">乙方提供的货物或服务侵犯了第三人专利，技术秘密、商业秘密、著作权、商标权等知识产权的，由乙方承担全部法律责任和经济赔偿责任，同时还需赔偿造成的甲方损失。 </w:t>
      </w:r>
    </w:p>
    <w:p w14:paraId="1A404FC2">
      <w:pPr>
        <w:numPr>
          <w:ilvl w:val="0"/>
          <w:numId w:val="11"/>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如合同货物系乙方按照甲方的要求、甲方提供的技术资料和/或图纸所产生的部件，则乙方只能将此合同货物出售给甲方。乙方不能将相关货物提供其他任何第三方使用，且不能将按第11条约定归属于甲方的知识产权、非专利技术成果等提供或许可给任何第三方使用，违反此项约定，甲方有权要求乙方承担以下一项或者多项法律责任：（1）立即停止向第三方出售合同货物的行为；（2）向甲方支付违约金，违约金的金额为乙方向第三方出售此项货物所获取利润的2倍；（3）赔偿甲方因乙方和第三方知识产权侵权导致的直接和间接损失。</w:t>
      </w:r>
    </w:p>
    <w:p w14:paraId="2BC1FC63">
      <w:pPr>
        <w:numPr>
          <w:ilvl w:val="0"/>
          <w:numId w:val="1"/>
        </w:numPr>
        <w:spacing w:line="360" w:lineRule="auto"/>
        <w:ind w:firstLine="482" w:firstLineChars="200"/>
        <w:rPr>
          <w:rFonts w:hint="eastAsia" w:ascii="仿宋" w:hAnsi="仿宋" w:eastAsia="仿宋" w:cs="仿宋"/>
          <w:b/>
          <w:bCs/>
          <w:sz w:val="24"/>
        </w:rPr>
      </w:pPr>
      <w:r>
        <w:rPr>
          <w:rFonts w:hint="eastAsia" w:ascii="仿宋" w:hAnsi="仿宋" w:eastAsia="仿宋" w:cs="仿宋"/>
          <w:b/>
          <w:bCs/>
          <w:sz w:val="24"/>
        </w:rPr>
        <w:t>违约责任</w:t>
      </w:r>
    </w:p>
    <w:p w14:paraId="4A8E0B7C">
      <w:pPr>
        <w:numPr>
          <w:ilvl w:val="0"/>
          <w:numId w:val="12"/>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乙方如逾期交货，应按逾期交货金额的</w:t>
      </w:r>
      <w:r>
        <w:rPr>
          <w:rFonts w:hint="eastAsia" w:ascii="仿宋" w:hAnsi="仿宋" w:eastAsia="仿宋" w:cs="仿宋"/>
          <w:sz w:val="24"/>
          <w:u w:val="single"/>
        </w:rPr>
        <w:t xml:space="preserve">  0.5 </w:t>
      </w:r>
      <w:r>
        <w:rPr>
          <w:rFonts w:hint="eastAsia" w:ascii="仿宋" w:hAnsi="仿宋" w:eastAsia="仿宋" w:cs="仿宋"/>
          <w:sz w:val="24"/>
        </w:rPr>
        <w:t>%/天向甲方支付违约金；乙方未按本合同约定在限定期限内补足或换货的，少交部分或换货部分按前述违约金标准的双倍承担逾期交货违约责任。逾期交货时间超过3日，甲方有权取消该《采购订单》，甲方取消订单的，乙方仍应承担该订单总金额20%的违约金。前述违约金不足以弥补甲方损失的，乙方还应赔偿因违约给甲方造成的损失。</w:t>
      </w:r>
    </w:p>
    <w:p w14:paraId="7B1B4B2A">
      <w:pPr>
        <w:numPr>
          <w:ilvl w:val="0"/>
          <w:numId w:val="12"/>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 xml:space="preserve">除本合同另有约定外，乙方出现违约行为，甲方书面通知整改后7日内仍不进行整改的，甲方有权解除本合同。因乙方违约导致合同解除的，乙方应向甲方支付本合同下年度采购订单总金额的10%作为违约金，违约金不足以弥补甲方损失的，乙方应另行承担赔偿责任。 </w:t>
      </w:r>
    </w:p>
    <w:p w14:paraId="40DE00FD">
      <w:pPr>
        <w:numPr>
          <w:ilvl w:val="0"/>
          <w:numId w:val="12"/>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由于乙方提供的货物所存在的质量问题（包括不限于缺陷、瑕疵等）导致第三人在使用甲方货物时受到人身、财产损害的，若甲方因此而需向他人承担赔偿，则乙方应赔偿造成的甲方损失。</w:t>
      </w:r>
    </w:p>
    <w:p w14:paraId="0983E50C">
      <w:pPr>
        <w:numPr>
          <w:ilvl w:val="0"/>
          <w:numId w:val="12"/>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概括性违约：虽然本合同没有明确约定，但是乙方的行为损害甲方的利益，经甲方提出仍不整改，或者未达到甲方的整改要求，则为概括性违约。出现概括性违约的情形，甲方保留中止付款、要求赔偿、追究法律责任、解除合同等权利。</w:t>
      </w:r>
    </w:p>
    <w:p w14:paraId="2F723F13">
      <w:pPr>
        <w:numPr>
          <w:ilvl w:val="0"/>
          <w:numId w:val="12"/>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乙方因质量、数量或违反本合同其他约定等原因应向甲方支付的违约金、赔偿金等，甲方均有权在应付货款或者保证金中扣除，但甲方应书面告知乙方扣款的原因及金额。保证金因上述原因被甲方扣减的，乙方应在收到甲方通知之日起5日内补齐差额，否则甲方可以从应支付的货款中直接扣除补齐保证金，并有权解除合同。</w:t>
      </w:r>
    </w:p>
    <w:p w14:paraId="52FA962D">
      <w:pPr>
        <w:numPr>
          <w:ilvl w:val="0"/>
          <w:numId w:val="1"/>
        </w:numPr>
        <w:spacing w:line="360" w:lineRule="auto"/>
        <w:ind w:firstLine="482" w:firstLineChars="200"/>
        <w:rPr>
          <w:rFonts w:hint="eastAsia" w:ascii="仿宋" w:hAnsi="仿宋" w:eastAsia="仿宋" w:cs="仿宋"/>
          <w:b/>
          <w:sz w:val="24"/>
        </w:rPr>
      </w:pPr>
      <w:r>
        <w:rPr>
          <w:rFonts w:hint="eastAsia" w:ascii="仿宋" w:hAnsi="仿宋" w:eastAsia="仿宋" w:cs="仿宋"/>
          <w:b/>
          <w:bCs/>
          <w:sz w:val="24"/>
        </w:rPr>
        <w:t>保密</w:t>
      </w:r>
    </w:p>
    <w:p w14:paraId="77D327C0">
      <w:pPr>
        <w:pStyle w:val="12"/>
        <w:tabs>
          <w:tab w:val="left" w:pos="312"/>
        </w:tabs>
        <w:spacing w:line="360" w:lineRule="auto"/>
        <w:ind w:firstLine="720" w:firstLineChars="300"/>
        <w:rPr>
          <w:rFonts w:hint="eastAsia" w:ascii="仿宋" w:hAnsi="仿宋" w:eastAsia="仿宋" w:cs="仿宋"/>
          <w:sz w:val="24"/>
        </w:rPr>
      </w:pPr>
      <w:r>
        <w:rPr>
          <w:rFonts w:hint="eastAsia" w:ascii="仿宋" w:hAnsi="仿宋" w:eastAsia="仿宋" w:cs="仿宋"/>
          <w:sz w:val="24"/>
          <w:szCs w:val="24"/>
        </w:rPr>
        <w:t>乙方对因履行本合同获取的甲方未予公开的信息，以及本合同所涉相关信息，包括但不限于合同主体商业活动、产品、技术细节及性能、价格等负有保密义务，在未得到甲方同意时不得向任何第三方披露，且不得用于履行本合同以外其他目的，乙方的保密义务不因本合同终止而免除。如乙方违反保密义务，甲方有权要求乙方支付违约金，违约金按照以下金额较高者确定：（1）甲方因乙方违反保密义务受到的损失；（2）乙方因违反保密义务所获得的利益，包括但不限于因使用或披露保密信息而获得的经济利益、竞争优势等；（3）年度采购额总金额的30%。</w:t>
      </w:r>
    </w:p>
    <w:p w14:paraId="2113A04B">
      <w:pPr>
        <w:numPr>
          <w:ilvl w:val="0"/>
          <w:numId w:val="1"/>
        </w:numPr>
        <w:spacing w:line="360" w:lineRule="auto"/>
        <w:ind w:firstLine="482" w:firstLineChars="200"/>
        <w:rPr>
          <w:rFonts w:hint="eastAsia" w:ascii="仿宋" w:hAnsi="仿宋" w:eastAsia="仿宋" w:cs="仿宋"/>
          <w:b/>
          <w:bCs/>
          <w:sz w:val="24"/>
        </w:rPr>
      </w:pPr>
      <w:r>
        <w:rPr>
          <w:rFonts w:hint="eastAsia" w:ascii="仿宋" w:hAnsi="仿宋" w:eastAsia="仿宋" w:cs="仿宋"/>
          <w:b/>
          <w:bCs/>
          <w:sz w:val="24"/>
        </w:rPr>
        <w:t>不可抗力</w:t>
      </w:r>
    </w:p>
    <w:p w14:paraId="42670139">
      <w:pPr>
        <w:numPr>
          <w:ilvl w:val="0"/>
          <w:numId w:val="13"/>
        </w:numPr>
        <w:autoSpaceDE w:val="0"/>
        <w:autoSpaceDN w:val="0"/>
        <w:adjustRightInd w:val="0"/>
        <w:spacing w:line="360" w:lineRule="auto"/>
        <w:ind w:firstLine="480" w:firstLineChars="200"/>
        <w:rPr>
          <w:rFonts w:hint="eastAsia" w:ascii="仿宋" w:hAnsi="仿宋" w:eastAsia="仿宋" w:cs="仿宋"/>
          <w:sz w:val="24"/>
          <w:lang w:val="zh-CN"/>
        </w:rPr>
      </w:pPr>
      <w:r>
        <w:rPr>
          <w:rFonts w:hint="eastAsia" w:ascii="仿宋" w:hAnsi="仿宋" w:eastAsia="仿宋" w:cs="仿宋"/>
          <w:sz w:val="24"/>
          <w:lang w:val="zh-CN"/>
        </w:rPr>
        <w:t>凡因自然灾害、政府行为、行业环境重大变化等不可抗力导致一方不能依合同履行其义务时，双方均不负违约责任，但必须及时告知另一方，且在不可抗力事件发生后7日内提供不可抗力事件有关证明。</w:t>
      </w:r>
    </w:p>
    <w:p w14:paraId="4977AACA">
      <w:pPr>
        <w:numPr>
          <w:ilvl w:val="0"/>
          <w:numId w:val="13"/>
        </w:numPr>
        <w:autoSpaceDE w:val="0"/>
        <w:autoSpaceDN w:val="0"/>
        <w:adjustRightInd w:val="0"/>
        <w:spacing w:line="360" w:lineRule="auto"/>
        <w:ind w:firstLine="480" w:firstLineChars="200"/>
        <w:rPr>
          <w:rFonts w:hint="eastAsia" w:ascii="仿宋" w:hAnsi="仿宋" w:eastAsia="仿宋" w:cs="仿宋"/>
          <w:sz w:val="24"/>
          <w:lang w:val="zh-CN"/>
        </w:rPr>
      </w:pPr>
      <w:r>
        <w:rPr>
          <w:rFonts w:hint="eastAsia" w:ascii="仿宋" w:hAnsi="仿宋" w:eastAsia="仿宋" w:cs="仿宋"/>
          <w:sz w:val="24"/>
          <w:lang w:val="zh-CN"/>
        </w:rPr>
        <w:t>如当事人一方在迟延履行后发生不可抗力的，不能免除其违约责任。</w:t>
      </w:r>
    </w:p>
    <w:p w14:paraId="2345FF6D">
      <w:pPr>
        <w:numPr>
          <w:ilvl w:val="0"/>
          <w:numId w:val="13"/>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lang w:val="zh-CN"/>
        </w:rPr>
        <w:t>如果不可抗力事件造成迟延发货超过30日，甲方有权解除本合同且无需承担违约责任。</w:t>
      </w:r>
    </w:p>
    <w:p w14:paraId="41FCB0E6">
      <w:pPr>
        <w:numPr>
          <w:ilvl w:val="0"/>
          <w:numId w:val="1"/>
        </w:numPr>
        <w:spacing w:line="360" w:lineRule="auto"/>
        <w:ind w:firstLine="482" w:firstLineChars="200"/>
        <w:rPr>
          <w:rFonts w:hint="eastAsia" w:ascii="仿宋" w:hAnsi="仿宋" w:eastAsia="仿宋" w:cs="仿宋"/>
          <w:b/>
          <w:bCs/>
          <w:sz w:val="24"/>
        </w:rPr>
      </w:pPr>
      <w:r>
        <w:rPr>
          <w:rFonts w:hint="eastAsia" w:ascii="仿宋" w:hAnsi="仿宋" w:eastAsia="仿宋" w:cs="仿宋"/>
          <w:b/>
          <w:sz w:val="24"/>
        </w:rPr>
        <w:t>合同</w:t>
      </w:r>
      <w:r>
        <w:rPr>
          <w:rFonts w:hint="eastAsia" w:ascii="仿宋" w:hAnsi="仿宋" w:eastAsia="仿宋" w:cs="仿宋"/>
          <w:b/>
          <w:bCs/>
          <w:sz w:val="24"/>
        </w:rPr>
        <w:t xml:space="preserve">解除  </w:t>
      </w:r>
    </w:p>
    <w:p w14:paraId="44C062CD">
      <w:pPr>
        <w:numPr>
          <w:ilvl w:val="0"/>
          <w:numId w:val="14"/>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 xml:space="preserve">本合同另有约定外，在合同有效期内，如乙方的质量、交货期限、技术、价格等指标无法满足或保证甲方合格供方的条件或者乙方有严重违反本合同约定的情况时，甲方有权随时取消乙方合格供应商的资格、解除本合同、拒绝接收乙方的任何货物。  </w:t>
      </w:r>
    </w:p>
    <w:p w14:paraId="5C083EB0">
      <w:pPr>
        <w:numPr>
          <w:ilvl w:val="0"/>
          <w:numId w:val="14"/>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 xml:space="preserve">在本合同有效期内，乙方若需解除本合同，则应至少提前90日向甲方发出提前终止合同的书面通知书，通知中应载明乙方要求终止合同的详细理由、乙方计划终止合同的日期等事项。乙方终止本合同的通知应经甲方书面同意，并由双方签订《终止合同》，否则，乙方应继续履行本合同。  </w:t>
      </w:r>
    </w:p>
    <w:p w14:paraId="7095EDE4">
      <w:pPr>
        <w:numPr>
          <w:ilvl w:val="0"/>
          <w:numId w:val="1"/>
        </w:numPr>
        <w:tabs>
          <w:tab w:val="left" w:pos="1260"/>
        </w:tabs>
        <w:spacing w:line="360" w:lineRule="auto"/>
        <w:ind w:firstLine="482" w:firstLineChars="200"/>
        <w:rPr>
          <w:rFonts w:hint="eastAsia" w:ascii="仿宋" w:hAnsi="仿宋" w:eastAsia="仿宋" w:cs="仿宋"/>
          <w:b/>
          <w:sz w:val="24"/>
        </w:rPr>
      </w:pPr>
      <w:r>
        <w:rPr>
          <w:rFonts w:hint="eastAsia" w:ascii="仿宋" w:hAnsi="仿宋" w:eastAsia="仿宋" w:cs="仿宋"/>
          <w:b/>
          <w:sz w:val="24"/>
        </w:rPr>
        <w:t>通知与送达</w:t>
      </w:r>
    </w:p>
    <w:p w14:paraId="039530F7">
      <w:pPr>
        <w:numPr>
          <w:ilvl w:val="0"/>
          <w:numId w:val="15"/>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为使本合同得以顺利履行，乙方指定以下联络方式：</w:t>
      </w:r>
    </w:p>
    <w:p w14:paraId="5468D6CB">
      <w:pPr>
        <w:spacing w:line="360" w:lineRule="auto"/>
        <w:ind w:firstLine="480" w:firstLineChars="200"/>
        <w:rPr>
          <w:rFonts w:hint="eastAsia" w:ascii="仿宋" w:hAnsi="仿宋" w:eastAsia="仿宋" w:cs="仿宋"/>
          <w:sz w:val="24"/>
        </w:rPr>
      </w:pPr>
      <w:r>
        <w:rPr>
          <w:rFonts w:hint="eastAsia" w:ascii="仿宋" w:hAnsi="仿宋" w:eastAsia="仿宋" w:cs="仿宋"/>
          <w:sz w:val="24"/>
        </w:rPr>
        <w:t>联络人：{{r supplierRepresentativeName }}</w:t>
        <w:tab/>
        <w:tab/>
        <w:tab/>
        <w:t>联系方式：{{r supplierRepresentativePhone }}</w:t>
      </w:r>
      <w:r>
        <w:rPr>
          <w:rFonts w:hint="eastAsia" w:ascii="仿宋" w:hAnsi="仿宋" w:eastAsia="仿宋" w:cs="仿宋"/>
          <w:sz w:val="24"/>
          <w:u w:val="single"/>
        </w:rPr>
      </w:r>
      <w:r>
        <w:rPr>
          <w:rFonts w:hint="eastAsia" w:ascii="仿宋" w:hAnsi="仿宋" w:eastAsia="仿宋" w:cs="仿宋"/>
          <w:sz w:val="24"/>
          <w:u w:val="single"/>
        </w:rPr>
      </w:r>
      <w:r>
        <w:rPr>
          <w:rFonts w:hint="eastAsia" w:ascii="仿宋" w:hAnsi="仿宋" w:eastAsia="仿宋" w:cs="仿宋"/>
          <w:sz w:val="24"/>
          <w:u w:val="single"/>
        </w:rPr>
      </w:r>
      <w:r>
        <w:rPr>
          <w:rFonts w:hint="eastAsia" w:ascii="仿宋" w:hAnsi="仿宋" w:eastAsia="仿宋" w:cs="仿宋"/>
          <w:sz w:val="24"/>
          <w:u w:val="single"/>
        </w:rPr>
      </w:r>
      <w:r>
        <w:rPr>
          <w:rFonts w:hint="eastAsia" w:ascii="仿宋" w:hAnsi="仿宋" w:eastAsia="仿宋" w:cs="仿宋"/>
          <w:sz w:val="24"/>
          <w:u w:val="single"/>
        </w:rPr>
      </w:r>
      <w:r>
        <w:rPr>
          <w:rFonts w:hint="eastAsia" w:ascii="仿宋" w:hAnsi="仿宋" w:eastAsia="仿宋" w:cs="仿宋"/>
          <w:sz w:val="24"/>
          <w:u w:val="single"/>
        </w:rPr>
      </w:r>
      <w:r>
        <w:rPr>
          <w:rFonts w:hint="eastAsia" w:ascii="仿宋" w:hAnsi="仿宋" w:eastAsia="仿宋" w:cs="仿宋"/>
          <w:sz w:val="24"/>
        </w:rPr>
      </w:r>
      <w:r>
        <w:rPr>
          <w:rFonts w:hint="eastAsia" w:ascii="仿宋" w:hAnsi="仿宋" w:eastAsia="仿宋" w:cs="仿宋"/>
          <w:sz w:val="24"/>
          <w:u w:val="single"/>
        </w:rPr>
      </w:r>
      <w:r>
        <w:rPr>
          <w:rFonts w:hint="eastAsia" w:ascii="仿宋" w:hAnsi="仿宋" w:eastAsia="仿宋" w:cs="仿宋"/>
          <w:sz w:val="24"/>
          <w:u w:val="single"/>
        </w:rPr>
      </w:r>
      <w:r>
        <w:rPr>
          <w:rFonts w:hint="eastAsia" w:ascii="仿宋" w:hAnsi="仿宋" w:eastAsia="仿宋" w:cs="仿宋"/>
          <w:sz w:val="24"/>
          <w:u w:val="single"/>
        </w:rPr>
      </w:r>
      <w:r>
        <w:rPr>
          <w:rFonts w:hint="eastAsia" w:ascii="仿宋" w:hAnsi="仿宋" w:eastAsia="仿宋" w:cs="仿宋"/>
          <w:sz w:val="24"/>
          <w:u w:val="single"/>
        </w:rPr>
      </w:r>
      <w:r>
        <w:rPr>
          <w:rFonts w:hint="eastAsia" w:ascii="仿宋" w:hAnsi="仿宋" w:eastAsia="仿宋" w:cs="仿宋"/>
          <w:sz w:val="24"/>
          <w:u w:val="single"/>
        </w:rPr>
      </w:r>
    </w:p>
    <w:p w14:paraId="4C4C1EAD">
      <w:pPr>
        <w:spacing w:line="360" w:lineRule="auto"/>
        <w:ind w:firstLine="480" w:firstLineChars="200"/>
        <w:rPr>
          <w:rFonts w:hint="eastAsia" w:ascii="仿宋" w:hAnsi="仿宋" w:eastAsia="仿宋" w:cs="仿宋"/>
          <w:sz w:val="24"/>
        </w:rPr>
      </w:pPr>
      <w:r>
        <w:rPr>
          <w:rFonts w:hint="eastAsia" w:ascii="仿宋" w:hAnsi="仿宋" w:eastAsia="仿宋" w:cs="仿宋"/>
          <w:sz w:val="24"/>
        </w:rPr>
        <w:t>联系地址：{{r supplierRepresentativeAddress }}    邮箱：{{r supplierRepresentativeEmail }}</w:t>
      </w:r>
      <w:r>
        <w:rPr>
          <w:rFonts w:hint="eastAsia" w:ascii="仿宋" w:hAnsi="仿宋" w:eastAsia="仿宋" w:cs="仿宋"/>
          <w:sz w:val="24"/>
          <w:u w:val="single"/>
        </w:rPr>
      </w:r>
      <w:r>
        <w:rPr>
          <w:rFonts w:hint="eastAsia" w:ascii="仿宋" w:hAnsi="仿宋" w:eastAsia="仿宋" w:cs="仿宋"/>
          <w:sz w:val="24"/>
        </w:rPr>
      </w:r>
      <w:r>
        <w:rPr>
          <w:rFonts w:hint="eastAsia" w:ascii="仿宋" w:hAnsi="仿宋" w:eastAsia="仿宋" w:cs="仿宋"/>
          <w:sz w:val="24"/>
          <w:u w:val="single"/>
        </w:rPr>
      </w:r>
      <w:r>
        <w:rPr>
          <w:rFonts w:hint="eastAsia" w:ascii="仿宋" w:hAnsi="仿宋" w:eastAsia="仿宋" w:cs="仿宋"/>
          <w:sz w:val="24"/>
        </w:rPr>
      </w:r>
    </w:p>
    <w:p w14:paraId="3591080B">
      <w:pPr>
        <w:numPr>
          <w:ilvl w:val="0"/>
          <w:numId w:val="15"/>
        </w:numPr>
        <w:autoSpaceDE w:val="0"/>
        <w:autoSpaceDN w:val="0"/>
        <w:adjustRightInd w:val="0"/>
        <w:spacing w:line="360" w:lineRule="auto"/>
        <w:ind w:firstLine="480" w:firstLineChars="200"/>
        <w:rPr>
          <w:rFonts w:hint="eastAsia" w:ascii="仿宋" w:hAnsi="仿宋" w:eastAsia="仿宋" w:cs="仿宋"/>
          <w:sz w:val="24"/>
        </w:rPr>
      </w:pPr>
      <w:r>
        <w:rPr>
          <w:rFonts w:hint="eastAsia" w:ascii="仿宋" w:hAnsi="仿宋" w:eastAsia="仿宋" w:cs="仿宋"/>
          <w:sz w:val="24"/>
        </w:rPr>
        <w:t>本合同项下甲方给予乙方的任何通知应以书面作出，并以中文书写，寄送或发送到乙方代表人的地址或邮箱。除非有证据显示有关通知于较早时间已由乙方代表人收悉，否则以邮寄方式的，以寄出凭证上已盖邮戳日起第3日视为送达；以邮件发送的，自成功发送的当日视为送达。乙方代表人及联系地址、方式发生变更的，应自发生变化之日起3日内以书面形式通知甲方，否则应对由此而造成的影响和损失承担责任，甲方按乙方代表人原地址和联系方式发送的通知按本条规则视为送达。</w:t>
      </w:r>
    </w:p>
    <w:p w14:paraId="535F6AAD">
      <w:pPr>
        <w:numPr>
          <w:ilvl w:val="0"/>
          <w:numId w:val="15"/>
        </w:numPr>
        <w:autoSpaceDE w:val="0"/>
        <w:autoSpaceDN w:val="0"/>
        <w:adjustRightInd w:val="0"/>
        <w:spacing w:line="360" w:lineRule="auto"/>
        <w:ind w:firstLine="480" w:firstLineChars="200"/>
        <w:rPr>
          <w:rFonts w:hint="eastAsia" w:ascii="仿宋" w:hAnsi="仿宋" w:eastAsia="仿宋" w:cs="仿宋"/>
          <w:b/>
          <w:sz w:val="24"/>
        </w:rPr>
      </w:pPr>
      <w:r>
        <w:rPr>
          <w:rFonts w:hint="eastAsia" w:ascii="仿宋" w:hAnsi="仿宋" w:eastAsia="仿宋" w:cs="仿宋"/>
          <w:sz w:val="24"/>
        </w:rPr>
        <w:t>双方确认，乙方代表人的联系方式及地址可作为人民法院送达诉讼文书（含一审、二审、再审、执行等全部程序）的确认地址。同时，乙方同意在发生相关纠纷时可以采用短信、电子送达方式。</w:t>
      </w:r>
    </w:p>
    <w:p w14:paraId="3BCF397E">
      <w:pPr>
        <w:numPr>
          <w:ilvl w:val="0"/>
          <w:numId w:val="1"/>
        </w:numPr>
        <w:tabs>
          <w:tab w:val="left" w:pos="1260"/>
        </w:tabs>
        <w:spacing w:line="360" w:lineRule="auto"/>
        <w:ind w:firstLine="482" w:firstLineChars="200"/>
        <w:rPr>
          <w:rFonts w:hint="eastAsia" w:ascii="仿宋" w:hAnsi="仿宋" w:eastAsia="仿宋" w:cs="仿宋"/>
          <w:b/>
          <w:sz w:val="24"/>
        </w:rPr>
      </w:pPr>
      <w:r>
        <w:rPr>
          <w:rFonts w:hint="eastAsia" w:ascii="仿宋" w:hAnsi="仿宋" w:eastAsia="仿宋" w:cs="仿宋"/>
          <w:b/>
          <w:sz w:val="24"/>
        </w:rPr>
        <w:t>争议解决方式</w:t>
      </w:r>
    </w:p>
    <w:p w14:paraId="71D18376">
      <w:pPr>
        <w:numPr>
          <w:ilvl w:val="0"/>
          <w:numId w:val="16"/>
        </w:numPr>
        <w:spacing w:line="360" w:lineRule="auto"/>
        <w:ind w:left="0" w:firstLine="480" w:firstLineChars="200"/>
        <w:rPr>
          <w:rFonts w:hint="eastAsia" w:ascii="仿宋" w:hAnsi="仿宋" w:eastAsia="仿宋" w:cs="仿宋"/>
          <w:sz w:val="24"/>
        </w:rPr>
      </w:pPr>
      <w:r>
        <w:rPr>
          <w:rFonts w:hint="eastAsia" w:ascii="仿宋" w:hAnsi="仿宋" w:eastAsia="仿宋" w:cs="仿宋"/>
          <w:sz w:val="24"/>
        </w:rPr>
        <w:t>凡与本合同或执行本合同而发生的一切争议，双方应通过友好协商解决。如协商不成，任何一方均应向合同签订地的人民法院提起诉讼。</w:t>
      </w:r>
    </w:p>
    <w:p w14:paraId="664FA5F4">
      <w:pPr>
        <w:numPr>
          <w:ilvl w:val="0"/>
          <w:numId w:val="16"/>
        </w:numPr>
        <w:spacing w:line="360" w:lineRule="auto"/>
        <w:ind w:left="0" w:firstLine="480" w:firstLineChars="200"/>
        <w:rPr>
          <w:rFonts w:hint="eastAsia" w:ascii="仿宋" w:hAnsi="仿宋" w:eastAsia="仿宋" w:cs="仿宋"/>
          <w:sz w:val="24"/>
        </w:rPr>
      </w:pPr>
      <w:r>
        <w:rPr>
          <w:rFonts w:hint="eastAsia" w:ascii="仿宋" w:hAnsi="仿宋" w:eastAsia="仿宋" w:cs="仿宋"/>
          <w:sz w:val="24"/>
        </w:rPr>
        <w:t xml:space="preserve">争议解决过程中，双方应本着保证项目建设正常进行的原则继续履行合同，否则由此造成的甲方损失应由乙方承担。 </w:t>
      </w:r>
    </w:p>
    <w:p w14:paraId="76897DD9">
      <w:pPr>
        <w:numPr>
          <w:ilvl w:val="0"/>
          <w:numId w:val="1"/>
        </w:numPr>
        <w:tabs>
          <w:tab w:val="left" w:pos="1260"/>
        </w:tabs>
        <w:spacing w:line="360" w:lineRule="auto"/>
        <w:ind w:firstLine="482" w:firstLineChars="200"/>
        <w:rPr>
          <w:rFonts w:hint="eastAsia" w:ascii="仿宋" w:hAnsi="仿宋" w:eastAsia="仿宋" w:cs="仿宋"/>
          <w:b/>
          <w:sz w:val="24"/>
        </w:rPr>
      </w:pPr>
      <w:r>
        <w:rPr>
          <w:rFonts w:hint="eastAsia" w:ascii="仿宋" w:hAnsi="仿宋" w:eastAsia="仿宋" w:cs="仿宋"/>
          <w:b/>
          <w:sz w:val="24"/>
        </w:rPr>
        <w:t>廉洁与诚信商业道德</w:t>
      </w:r>
    </w:p>
    <w:p w14:paraId="698EB21A">
      <w:pPr>
        <w:spacing w:line="360" w:lineRule="auto"/>
        <w:ind w:firstLine="480" w:firstLineChars="200"/>
        <w:rPr>
          <w:rFonts w:hint="eastAsia" w:ascii="仿宋" w:hAnsi="仿宋" w:eastAsia="仿宋" w:cs="仿宋"/>
          <w:sz w:val="24"/>
        </w:rPr>
      </w:pPr>
      <w:r>
        <w:rPr>
          <w:rFonts w:hint="eastAsia" w:ascii="仿宋" w:hAnsi="仿宋" w:eastAsia="仿宋" w:cs="仿宋"/>
          <w:sz w:val="24"/>
        </w:rPr>
        <w:t>乙方保证在与甲方的业务活动中恪守廉洁与诚信。若乙方违反其规定，甲方有权利立即解除本合同，并要求乙方承担造成的甲方损失。</w:t>
      </w:r>
    </w:p>
    <w:p w14:paraId="393B4B96">
      <w:pPr>
        <w:numPr>
          <w:ilvl w:val="0"/>
          <w:numId w:val="1"/>
        </w:numPr>
        <w:tabs>
          <w:tab w:val="left" w:pos="1260"/>
        </w:tabs>
        <w:spacing w:line="360" w:lineRule="auto"/>
        <w:ind w:firstLine="482" w:firstLineChars="200"/>
        <w:rPr>
          <w:rFonts w:hint="eastAsia" w:ascii="仿宋" w:hAnsi="仿宋" w:eastAsia="仿宋" w:cs="仿宋"/>
          <w:b/>
          <w:sz w:val="24"/>
        </w:rPr>
      </w:pPr>
      <w:r>
        <w:rPr>
          <w:rFonts w:hint="eastAsia" w:ascii="仿宋" w:hAnsi="仿宋" w:eastAsia="仿宋" w:cs="仿宋"/>
          <w:b/>
          <w:sz w:val="24"/>
        </w:rPr>
        <w:t xml:space="preserve">其他约定  </w:t>
      </w:r>
    </w:p>
    <w:p w14:paraId="1B0930F9">
      <w:pPr>
        <w:numPr>
          <w:ilvl w:val="0"/>
          <w:numId w:val="17"/>
        </w:numPr>
        <w:spacing w:line="360" w:lineRule="auto"/>
        <w:ind w:left="0" w:firstLine="480" w:firstLineChars="200"/>
        <w:rPr>
          <w:rFonts w:ascii="仿宋" w:hAnsi="仿宋" w:eastAsia="仿宋" w:cs="仿宋"/>
          <w:sz w:val="24"/>
        </w:rPr>
      </w:pPr>
      <w:r>
        <w:rPr>
          <w:rFonts w:ascii="仿宋" w:hAnsi="仿宋" w:eastAsia="仿宋" w:cs="仿宋"/>
          <w:sz w:val="24"/>
        </w:rPr>
        <w:t>甲方可根据项目实际情况于乙方发货前通知乙方变更或终止采购，乙方应按甲方要求调换货或停止交货。除双方另有约定，甲方无需就该变更或终止向乙方承担违约责任或支付额外费用。如该等变更或终止采购发生在发货后，则甲方应向乙方补偿因此实际增加的运输装卸费用，乙方应提交相关费用证明。如果甲方已支付的货款大于上述补偿费用，乙方应于收到甲方通知后5日内返还差额。</w:t>
      </w:r>
    </w:p>
    <w:p w14:paraId="2625AB6C">
      <w:pPr>
        <w:numPr>
          <w:ilvl w:val="0"/>
          <w:numId w:val="17"/>
        </w:numPr>
        <w:spacing w:line="360" w:lineRule="auto"/>
        <w:ind w:left="0" w:firstLine="480" w:firstLineChars="200"/>
        <w:rPr>
          <w:rFonts w:ascii="仿宋" w:hAnsi="仿宋" w:eastAsia="仿宋" w:cs="仿宋"/>
          <w:sz w:val="24"/>
        </w:rPr>
      </w:pPr>
      <w:r>
        <w:rPr>
          <w:rFonts w:ascii="仿宋" w:hAnsi="仿宋" w:eastAsia="仿宋" w:cs="仿宋"/>
          <w:sz w:val="24"/>
        </w:rPr>
        <w:t>本合同项下通知应以书面作出，</w:t>
      </w:r>
      <w:r>
        <w:rPr>
          <w:rFonts w:hint="eastAsia" w:ascii="仿宋" w:hAnsi="仿宋" w:eastAsia="仿宋" w:cs="仿宋"/>
          <w:sz w:val="24"/>
        </w:rPr>
        <w:t>送达至</w:t>
      </w:r>
      <w:r>
        <w:rPr>
          <w:rFonts w:ascii="仿宋" w:hAnsi="仿宋" w:eastAsia="仿宋" w:cs="仿宋"/>
          <w:sz w:val="24"/>
        </w:rPr>
        <w:t>乙方</w:t>
      </w:r>
      <w:r>
        <w:rPr>
          <w:rFonts w:hint="eastAsia" w:ascii="仿宋" w:hAnsi="仿宋" w:eastAsia="仿宋" w:cs="仿宋"/>
          <w:sz w:val="24"/>
        </w:rPr>
        <w:t>或乙方</w:t>
      </w:r>
      <w:r>
        <w:rPr>
          <w:rFonts w:ascii="仿宋" w:hAnsi="仿宋" w:eastAsia="仿宋" w:cs="仿宋"/>
          <w:sz w:val="24"/>
        </w:rPr>
        <w:t>代表人的地址或邮箱</w:t>
      </w:r>
      <w:r>
        <w:rPr>
          <w:rFonts w:hint="eastAsia" w:ascii="仿宋" w:hAnsi="仿宋" w:eastAsia="仿宋" w:cs="仿宋"/>
          <w:sz w:val="24"/>
        </w:rPr>
        <w:t>，或通过短信、微信等通讯方式送达</w:t>
      </w:r>
      <w:r>
        <w:rPr>
          <w:rFonts w:ascii="仿宋" w:hAnsi="仿宋" w:eastAsia="仿宋" w:cs="仿宋"/>
          <w:sz w:val="24"/>
        </w:rPr>
        <w:t>。乙方</w:t>
      </w:r>
      <w:r>
        <w:rPr>
          <w:rFonts w:hint="eastAsia" w:ascii="仿宋" w:hAnsi="仿宋" w:eastAsia="仿宋" w:cs="仿宋"/>
          <w:sz w:val="24"/>
        </w:rPr>
        <w:t>或</w:t>
      </w:r>
      <w:r>
        <w:rPr>
          <w:rFonts w:ascii="仿宋" w:hAnsi="仿宋" w:eastAsia="仿宋" w:cs="仿宋"/>
          <w:sz w:val="24"/>
        </w:rPr>
        <w:t>代表人</w:t>
      </w:r>
      <w:r>
        <w:rPr>
          <w:rFonts w:hint="eastAsia" w:ascii="仿宋" w:hAnsi="仿宋" w:eastAsia="仿宋" w:cs="仿宋"/>
          <w:sz w:val="24"/>
        </w:rPr>
        <w:t>的</w:t>
      </w:r>
      <w:r>
        <w:rPr>
          <w:rFonts w:ascii="仿宋" w:hAnsi="仿宋" w:eastAsia="仿宋" w:cs="仿宋"/>
          <w:sz w:val="24"/>
        </w:rPr>
        <w:t>联系地址、方式发生变更的，应自发生变化之日起3日内以书面形式通知甲方。</w:t>
      </w:r>
    </w:p>
    <w:p w14:paraId="2625AB6E">
      <w:pPr>
        <w:numPr>
          <w:ilvl w:val="0"/>
          <w:numId w:val="17"/>
        </w:numPr>
        <w:spacing w:line="360" w:lineRule="auto"/>
        <w:ind w:left="0" w:firstLine="480" w:firstLineChars="200"/>
        <w:rPr>
          <w:rFonts w:ascii="仿宋" w:hAnsi="仿宋" w:eastAsia="仿宋" w:cs="仿宋"/>
          <w:sz w:val="24"/>
        </w:rPr>
      </w:pPr>
      <w:r>
        <w:rPr>
          <w:rFonts w:ascii="仿宋" w:hAnsi="仿宋" w:eastAsia="仿宋" w:cs="仿宋"/>
          <w:sz w:val="24"/>
        </w:rPr>
        <w:t>本合同项下甲方损失的定义包括但不限于因设备质量问题造成的工期延误损失、重新安装损失、项目业主方或其他第三方</w:t>
      </w:r>
      <w:r>
        <w:rPr>
          <w:rFonts w:hint="eastAsia" w:ascii="仿宋" w:hAnsi="仿宋" w:eastAsia="仿宋" w:cs="仿宋"/>
          <w:sz w:val="24"/>
        </w:rPr>
        <w:t>对甲方的</w:t>
      </w:r>
      <w:r>
        <w:rPr>
          <w:rFonts w:ascii="仿宋" w:hAnsi="仿宋" w:eastAsia="仿宋" w:cs="仿宋"/>
          <w:sz w:val="24"/>
        </w:rPr>
        <w:t>索赔</w:t>
      </w:r>
      <w:r>
        <w:rPr>
          <w:rFonts w:hint="eastAsia" w:ascii="仿宋" w:hAnsi="仿宋" w:eastAsia="仿宋" w:cs="仿宋"/>
          <w:sz w:val="24"/>
        </w:rPr>
        <w:t>等</w:t>
      </w:r>
      <w:r>
        <w:rPr>
          <w:rFonts w:ascii="仿宋" w:hAnsi="仿宋" w:eastAsia="仿宋" w:cs="仿宋"/>
          <w:sz w:val="24"/>
        </w:rPr>
        <w:t>任何损失</w:t>
      </w:r>
      <w:r>
        <w:rPr>
          <w:rFonts w:hint="eastAsia" w:ascii="仿宋" w:hAnsi="仿宋" w:eastAsia="仿宋" w:cs="仿宋"/>
          <w:sz w:val="24"/>
        </w:rPr>
        <w:t>，</w:t>
      </w:r>
      <w:r>
        <w:rPr>
          <w:rFonts w:ascii="仿宋" w:hAnsi="仿宋" w:eastAsia="仿宋" w:cs="仿宋"/>
          <w:sz w:val="24"/>
        </w:rPr>
        <w:t>以及甲方向乙方主张权利所发生的诉讼费、律师费、保全担保费、鉴定费、公证费、检测费等一切费用。</w:t>
      </w:r>
    </w:p>
    <w:p w14:paraId="2625AB6F">
      <w:pPr>
        <w:numPr>
          <w:ilvl w:val="0"/>
          <w:numId w:val="17"/>
        </w:numPr>
        <w:spacing w:line="360" w:lineRule="auto"/>
        <w:ind w:left="0" w:firstLine="480" w:firstLineChars="200"/>
        <w:rPr>
          <w:rFonts w:ascii="仿宋" w:hAnsi="仿宋" w:eastAsia="仿宋" w:cs="仿宋"/>
          <w:sz w:val="24"/>
        </w:rPr>
      </w:pPr>
      <w:r>
        <w:rPr>
          <w:rFonts w:ascii="仿宋" w:hAnsi="仿宋" w:eastAsia="仿宋" w:cs="仿宋"/>
          <w:sz w:val="24"/>
        </w:rPr>
        <w:t>本合同附件是本合同不可分割的一部分，与合同正文具有同等效力。</w:t>
      </w:r>
    </w:p>
    <w:p w14:paraId="2625AB70">
      <w:pPr>
        <w:numPr>
          <w:ilvl w:val="0"/>
          <w:numId w:val="17"/>
        </w:numPr>
        <w:spacing w:line="360" w:lineRule="auto"/>
        <w:ind w:left="0" w:firstLine="480" w:firstLineChars="200"/>
        <w:rPr>
          <w:rFonts w:ascii="仿宋" w:hAnsi="仿宋" w:eastAsia="仿宋" w:cs="仿宋"/>
          <w:sz w:val="24"/>
        </w:rPr>
      </w:pPr>
      <w:r>
        <w:rPr>
          <w:rFonts w:ascii="仿宋" w:hAnsi="仿宋" w:eastAsia="仿宋" w:cs="仿宋"/>
          <w:sz w:val="24"/>
        </w:rPr>
        <w:t>本合同正本一式两份，双方各执一份。自双方盖章后生效，如果本合同的任何条款因任何原因无效，该条款的无效并不影响本合同其他条款的有效性和可执行性，各方应当继续履行本合同其他条款。</w:t>
      </w:r>
    </w:p>
    <w:p w14:paraId="6ED39BEC">
      <w:pPr>
        <w:autoSpaceDE w:val="0"/>
        <w:autoSpaceDN w:val="0"/>
        <w:adjustRightInd w:val="0"/>
        <w:spacing w:line="360" w:lineRule="auto"/>
        <w:ind w:firstLine="482" w:firstLineChars="200"/>
        <w:rPr>
          <w:rFonts w:hint="eastAsia" w:ascii="仿宋" w:hAnsi="仿宋" w:eastAsia="仿宋" w:cs="仿宋"/>
          <w:sz w:val="24"/>
        </w:rPr>
      </w:pPr>
      <w:r>
        <w:rPr>
          <w:rFonts w:hint="eastAsia" w:ascii="仿宋" w:hAnsi="仿宋" w:eastAsia="仿宋" w:cs="仿宋"/>
          <w:b/>
          <w:bCs/>
          <w:sz w:val="24"/>
        </w:rPr>
        <w:t>（以下无正文）</w:t>
      </w:r>
      <w:r>
        <w:rPr>
          <w:rFonts w:hint="eastAsia" w:ascii="仿宋" w:hAnsi="仿宋" w:eastAsia="仿宋" w:cs="仿宋"/>
          <w:sz w:val="24"/>
        </w:rPr>
        <w:t xml:space="preserve">  </w:t>
      </w:r>
    </w:p>
    <w:p w14:paraId="23CBE9B7">
      <w:pPr>
        <w:spacing w:line="360" w:lineRule="auto"/>
        <w:ind w:firstLine="480" w:firstLineChars="200"/>
        <w:rPr>
          <w:rFonts w:hint="eastAsia" w:ascii="仿宋" w:hAnsi="仿宋" w:eastAsia="仿宋" w:cs="仿宋"/>
          <w:sz w:val="24"/>
        </w:rPr>
      </w:pPr>
    </w:p>
    <w:p w14:paraId="5B8D356E">
      <w:pPr>
        <w:spacing w:line="360" w:lineRule="auto"/>
        <w:ind w:firstLine="480" w:firstLineChars="200"/>
        <w:rPr>
          <w:rFonts w:hint="eastAsia" w:ascii="仿宋" w:hAnsi="仿宋" w:eastAsia="仿宋" w:cs="仿宋"/>
          <w:sz w:val="24"/>
        </w:rPr>
      </w:pPr>
    </w:p>
    <w:p w14:paraId="5022CB30">
      <w:pPr>
        <w:spacing w:line="360" w:lineRule="auto"/>
        <w:rPr>
          <w:rFonts w:hint="eastAsia" w:ascii="仿宋" w:hAnsi="仿宋" w:eastAsia="仿宋" w:cs="仿宋"/>
          <w:sz w:val="24"/>
        </w:rPr>
      </w:pPr>
      <w:r>
        <w:rPr>
          <w:rFonts w:hint="eastAsia" w:ascii="仿宋" w:hAnsi="仿宋" w:eastAsia="仿宋" w:cs="仿宋"/>
          <w:b/>
          <w:bCs/>
          <w:sz w:val="24"/>
        </w:rPr>
        <w:t>甲方：浙江沃乐科技股份有限公司          乙方：{{r supplierName }}</w:t>
      </w:r>
      <w:r>
        <w:rPr>
          <w:rFonts w:hint="eastAsia" w:ascii="仿宋" w:hAnsi="仿宋" w:eastAsia="仿宋" w:cs="仿宋"/>
          <w:sz w:val="24"/>
        </w:rPr>
      </w:r>
      <w:r>
        <w:rPr>
          <w:rFonts w:hint="eastAsia" w:ascii="仿宋" w:hAnsi="仿宋" w:eastAsia="仿宋" w:cs="仿宋"/>
          <w:b/>
          <w:bCs/>
          <w:sz w:val="24"/>
        </w:rPr>
      </w:r>
    </w:p>
    <w:p w14:paraId="26D44A82">
      <w:pPr>
        <w:spacing w:line="360" w:lineRule="auto"/>
        <w:rPr>
          <w:rFonts w:hint="eastAsia" w:ascii="仿宋" w:hAnsi="仿宋" w:eastAsia="仿宋" w:cs="仿宋"/>
          <w:sz w:val="24"/>
        </w:rPr>
      </w:pPr>
      <w:r>
        <w:rPr>
          <w:rFonts w:hint="eastAsia" w:ascii="仿宋" w:hAnsi="仿宋" w:eastAsia="仿宋" w:cs="仿宋"/>
          <w:sz w:val="24"/>
        </w:rPr>
        <w:t>授权代表：                              授权代表：{{r supplierAuthorizedRepresentative }}</w:t>
      </w:r>
      <w:r>
        <w:rPr>
          <w:rFonts w:hint="eastAsia" w:ascii="仿宋" w:hAnsi="仿宋" w:eastAsia="仿宋" w:cs="仿宋"/>
          <w:sz w:val="24"/>
          <w:u w:val="single"/>
        </w:rPr>
      </w:r>
      <w:r>
        <w:rPr>
          <w:rFonts w:hint="eastAsia" w:ascii="仿宋" w:hAnsi="仿宋" w:eastAsia="仿宋" w:cs="仿宋"/>
          <w:sz w:val="24"/>
        </w:rPr>
      </w:r>
      <w:r>
        <w:rPr>
          <w:rFonts w:hint="eastAsia" w:ascii="仿宋" w:hAnsi="仿宋" w:eastAsia="仿宋" w:cs="仿宋"/>
          <w:sz w:val="24"/>
          <w:u w:val="single"/>
        </w:rPr>
      </w:r>
    </w:p>
    <w:p w14:paraId="3380A19A">
      <w:pPr>
        <w:spacing w:line="360" w:lineRule="auto"/>
        <w:rPr>
          <w:rFonts w:hint="eastAsia" w:ascii="仿宋" w:hAnsi="仿宋" w:eastAsia="仿宋" w:cs="仿宋"/>
          <w:sz w:val="24"/>
        </w:rPr>
        <w:sectPr>
          <w:headerReference r:id="rId5" w:type="first"/>
          <w:footerReference r:id="rId8" w:type="first"/>
          <w:headerReference r:id="rId3" w:type="default"/>
          <w:footerReference r:id="rId6" w:type="default"/>
          <w:headerReference r:id="rId4" w:type="even"/>
          <w:footerReference r:id="rId7" w:type="even"/>
          <w:pgSz w:w="11906" w:h="16838"/>
          <w:pgMar w:top="1418" w:right="1701" w:bottom="1418" w:left="1701" w:header="851" w:footer="992" w:gutter="0"/>
          <w:cols w:space="720" w:num="1"/>
          <w:docGrid w:type="lines" w:linePitch="312" w:charSpace="0"/>
        </w:sectPr>
      </w:pPr>
      <w:r>
        <w:rPr>
          <w:rFonts w:hint="eastAsia" w:ascii="仿宋" w:hAnsi="仿宋" w:eastAsia="仿宋" w:cs="仿宋"/>
          <w:sz w:val="24"/>
        </w:rPr>
        <w:t>日期：    年   月                       日期：{{r signatureYear }}年{{r signatureMonth }}月{{r signatureDay }}日</w:t>
      </w:r>
      <w:r>
        <w:rPr>
          <w:rFonts w:hint="eastAsia" w:ascii="仿宋" w:hAnsi="仿宋" w:eastAsia="仿宋" w:cs="仿宋"/>
          <w:sz w:val="24"/>
          <w:u w:val="single"/>
        </w:rPr>
      </w:r>
      <w:r>
        <w:rPr>
          <w:rFonts w:hint="eastAsia" w:ascii="仿宋" w:hAnsi="仿宋" w:eastAsia="仿宋" w:cs="仿宋"/>
          <w:sz w:val="24"/>
        </w:rPr>
      </w:r>
      <w:r>
        <w:rPr>
          <w:rFonts w:hint="eastAsia" w:ascii="仿宋" w:hAnsi="仿宋" w:eastAsia="仿宋" w:cs="仿宋"/>
          <w:sz w:val="24"/>
          <w:u w:val="single"/>
        </w:rPr>
      </w:r>
      <w:r>
        <w:rPr>
          <w:rFonts w:hint="eastAsia" w:ascii="仿宋" w:hAnsi="仿宋" w:eastAsia="仿宋" w:cs="仿宋"/>
          <w:sz w:val="24"/>
        </w:rPr>
      </w:r>
      <w:r>
        <w:rPr>
          <w:rFonts w:hint="eastAsia" w:ascii="仿宋" w:hAnsi="仿宋" w:eastAsia="仿宋" w:cs="仿宋"/>
          <w:sz w:val="24"/>
          <w:u w:val="single"/>
        </w:rPr>
      </w:r>
      <w:r>
        <w:rPr>
          <w:rFonts w:hint="eastAsia" w:ascii="仿宋" w:hAnsi="仿宋" w:eastAsia="仿宋" w:cs="仿宋"/>
          <w:sz w:val="24"/>
        </w:rPr>
      </w:r>
      <w:r>
        <w:rPr>
          <w:rFonts w:hint="eastAsia" w:ascii="仿宋" w:hAnsi="仿宋" w:eastAsia="仿宋" w:cs="仿宋"/>
          <w:sz w:val="24"/>
          <w:u w:val="single"/>
        </w:rPr>
      </w:r>
      <w:r>
        <w:rPr>
          <w:rFonts w:hint="eastAsia" w:ascii="仿宋" w:hAnsi="仿宋" w:eastAsia="仿宋" w:cs="仿宋"/>
          <w:sz w:val="24"/>
        </w:rPr>
      </w:r>
      <w:r>
        <w:rPr>
          <w:rFonts w:hint="eastAsia" w:ascii="仿宋" w:hAnsi="仿宋" w:eastAsia="仿宋" w:cs="仿宋"/>
          <w:sz w:val="24"/>
          <w:u w:val="single"/>
        </w:rPr>
      </w:r>
      <w:r>
        <w:rPr>
          <w:rFonts w:hint="eastAsia" w:ascii="仿宋" w:hAnsi="仿宋" w:eastAsia="仿宋" w:cs="仿宋"/>
          <w:sz w:val="24"/>
        </w:rPr>
      </w:r>
      <w:r>
        <w:rPr>
          <w:rFonts w:hint="eastAsia" w:ascii="仿宋" w:hAnsi="仿宋" w:eastAsia="仿宋" w:cs="仿宋"/>
          <w:sz w:val="24"/>
          <w:u w:val="single"/>
        </w:rPr>
      </w:r>
      <w:r>
        <w:rPr>
          <w:rFonts w:hint="eastAsia" w:ascii="仿宋" w:hAnsi="仿宋" w:eastAsia="仿宋" w:cs="仿宋"/>
          <w:sz w:val="24"/>
        </w:rPr>
      </w:r>
    </w:p>
    <w:sectPr>
      <w:headerReference r:id="rId9" w:type="default"/>
      <w:pgSz w:w="16838" w:h="11906" w:orient="landscape"/>
      <w:pgMar w:top="1701" w:right="1418" w:bottom="1701" w:left="141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ustomXmlInsRangeStart w:id="2" w:author="XIEYiQing" w:date="2025-07-10T11:40:00Z"/>
  <w:sdt>
    <w:sdtPr>
      <w:rPr/>
      <w:id w:val="-1503816629"/>
      <w:docPartObj>
        <w:docPartGallery w:val="autotext"/>
      </w:docPartObj>
    </w:sdtPr>
    <w:sdtEndPr>
      <w:rPr/>
    </w:sdtEndPr>
    <w:sdtContent>
      <w:customXmlInsRangeEnd w:id="2"/>
      <w:customXmlInsRangeStart w:id="4" w:author="XIEYiQing" w:date="2025-07-10T11:40:00Z"/>
      <w:sdt>
        <w:sdtPr>
          <w:rPr/>
          <w:id w:val="1728636285"/>
          <w:docPartObj>
            <w:docPartGallery w:val="autotext"/>
          </w:docPartObj>
        </w:sdtPr>
        <w:sdtEndPr>
          <w:rPr/>
        </w:sdtEndPr>
        <w:sdtContent>
          <w:customXmlInsRangeEnd w:id="4"/>
          <w:p w14:paraId="6DB44D56">
            <w:pPr>
              <w:pStyle w:val="3"/>
              <w:jc w:val="center"/>
              <w:rPr>
                <w:rFonts w:hint="eastAsia"/>
              </w:rPr>
            </w:pPr>
            <w:r>
              <w:rPr>
                <w:sz w:val="20"/>
                <w:szCs w:val="20"/>
              </w:rPr>
              <w:t>第</w:t>
            </w:r>
            <w:r>
              <w:rPr>
                <w:sz w:val="20"/>
                <w:szCs w:val="20"/>
              </w:rPr>
              <w:fldChar w:fldCharType="begin"/>
            </w:r>
            <w:r>
              <w:rPr>
                <w:b w:val="0"/>
                <w:bCs w:val="0"/>
                <w:sz w:val="20"/>
                <w:szCs w:val="20"/>
              </w:rPr>
              <w:instrText xml:space="preserve">PAGE</w:instrText>
            </w:r>
            <w:r>
              <w:rPr>
                <w:sz w:val="20"/>
                <w:szCs w:val="20"/>
              </w:rPr>
              <w:fldChar w:fldCharType="separate"/>
            </w:r>
            <w:r>
              <w:rPr>
                <w:b w:val="0"/>
                <w:bCs w:val="0"/>
                <w:sz w:val="20"/>
                <w:szCs w:val="20"/>
                <w:lang w:val="zh-CN"/>
              </w:rPr>
              <w:t>2</w:t>
            </w:r>
            <w:r>
              <w:rPr>
                <w:sz w:val="20"/>
                <w:szCs w:val="20"/>
              </w:rPr>
              <w:fldChar w:fldCharType="end"/>
            </w:r>
            <w:r>
              <w:rPr>
                <w:sz w:val="20"/>
                <w:szCs w:val="20"/>
              </w:rPr>
              <w:t>页</w:t>
            </w:r>
            <w:r>
              <w:rPr>
                <w:sz w:val="20"/>
                <w:szCs w:val="20"/>
                <w:lang w:val="zh-CN"/>
              </w:rPr>
              <w:t>/共</w:t>
            </w:r>
            <w:r>
              <w:rPr>
                <w:sz w:val="20"/>
                <w:szCs w:val="20"/>
              </w:rPr>
              <w:fldChar w:fldCharType="begin"/>
            </w:r>
            <w:r>
              <w:rPr>
                <w:b w:val="0"/>
                <w:bCs w:val="0"/>
                <w:sz w:val="20"/>
                <w:szCs w:val="20"/>
              </w:rPr>
              <w:instrText xml:space="preserve">NUMPAGES</w:instrText>
            </w:r>
            <w:r>
              <w:rPr>
                <w:sz w:val="20"/>
                <w:szCs w:val="20"/>
              </w:rPr>
              <w:fldChar w:fldCharType="separate"/>
            </w:r>
            <w:r>
              <w:rPr>
                <w:b w:val="0"/>
                <w:bCs w:val="0"/>
                <w:sz w:val="20"/>
                <w:szCs w:val="20"/>
                <w:lang w:val="zh-CN"/>
              </w:rPr>
              <w:t>2</w:t>
            </w:r>
            <w:r>
              <w:rPr>
                <w:sz w:val="20"/>
                <w:szCs w:val="20"/>
              </w:rPr>
              <w:fldChar w:fldCharType="end"/>
            </w:r>
            <w:r>
              <w:rPr>
                <w:sz w:val="20"/>
                <w:szCs w:val="20"/>
              </w:rPr>
              <w:t>页</w:t>
            </w:r>
          </w:p>
          <w:customXmlInsRangeStart w:id="10" w:author="XIEYiQing" w:date="2025-07-10T11:40:00Z"/>
        </w:sdtContent>
      </w:sdt>
      <w:customXmlInsRangeEnd w:id="10"/>
      <w:customXmlInsRangeStart w:id="11" w:author="XIEYiQing" w:date="2025-07-10T11:40:00Z"/>
    </w:sdtContent>
  </w:sdt>
  <w:customXmlInsRangeEnd w:id="11"/>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0D194B">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806D0C">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9C60F0">
    <w:pPr>
      <w:jc w:val="left"/>
      <w:rPr>
        <w:b/>
        <w:bCs/>
        <w:color w:val="002060"/>
        <w:sz w:val="24"/>
      </w:rPr>
    </w:pPr>
    <w:r>
      <w:rPr>
        <w:rFonts w:hint="eastAsia"/>
        <w:b/>
        <w:bCs/>
        <w:color w:val="4F81BD"/>
        <w:sz w:val="24"/>
      </w:rPr>
      <w:t>沃乐科技                                                   Water</w:t>
    </w:r>
    <w:r>
      <w:rPr>
        <w:rFonts w:hint="eastAsia"/>
        <w:b/>
        <w:bCs/>
        <w:sz w:val="24"/>
      </w:rPr>
      <w:t xml:space="preserve"> </w:t>
    </w:r>
    <w:r>
      <w:rPr>
        <w:rFonts w:hint="eastAsia"/>
        <w:b/>
        <w:bCs/>
        <w:color w:val="002060"/>
        <w:sz w:val="24"/>
      </w:rPr>
      <w:t>Healer</w:t>
    </w:r>
  </w:p>
  <w:p w14:paraId="7A0456F1">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D3267">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250D35">
    <w:pPr>
      <w:pStyle w:val="4"/>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A1224">
    <w:pPr>
      <w:jc w:val="left"/>
      <w:rPr>
        <w:b/>
        <w:bCs/>
        <w:color w:val="002060"/>
        <w:sz w:val="24"/>
      </w:rPr>
    </w:pPr>
    <w:r>
      <w:rPr>
        <w:rFonts w:hint="eastAsia"/>
        <w:b/>
        <w:bCs/>
        <w:color w:val="4F81BD"/>
        <w:sz w:val="24"/>
      </w:rPr>
      <w:t>沃乐科技                                                   Water</w:t>
    </w:r>
    <w:r>
      <w:rPr>
        <w:rFonts w:hint="eastAsia"/>
        <w:b/>
        <w:bCs/>
        <w:sz w:val="24"/>
      </w:rPr>
      <w:t xml:space="preserve"> </w:t>
    </w:r>
    <w:r>
      <w:rPr>
        <w:rFonts w:hint="eastAsia"/>
        <w:b/>
        <w:bCs/>
        <w:color w:val="002060"/>
        <w:sz w:val="24"/>
      </w:rPr>
      <w:t>Healer</w:t>
    </w:r>
  </w:p>
  <w:p w14:paraId="0FE41DCE">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1AC195"/>
    <w:multiLevelType w:val="singleLevel"/>
    <w:tmpl w:val="891AC195"/>
    <w:lvl w:ilvl="0" w:tentative="0">
      <w:start w:val="1"/>
      <w:numFmt w:val="decimal"/>
      <w:suff w:val="nothing"/>
      <w:lvlText w:val="%1、"/>
      <w:lvlJc w:val="left"/>
    </w:lvl>
  </w:abstractNum>
  <w:abstractNum w:abstractNumId="1">
    <w:nsid w:val="96EBBFD8"/>
    <w:multiLevelType w:val="singleLevel"/>
    <w:tmpl w:val="96EBBFD8"/>
    <w:lvl w:ilvl="0" w:tentative="0">
      <w:start w:val="1"/>
      <w:numFmt w:val="decimal"/>
      <w:lvlText w:val="%1."/>
      <w:lvlJc w:val="left"/>
      <w:pPr>
        <w:tabs>
          <w:tab w:val="left" w:pos="312"/>
        </w:tabs>
      </w:pPr>
    </w:lvl>
  </w:abstractNum>
  <w:abstractNum w:abstractNumId="2">
    <w:nsid w:val="9A59F1BC"/>
    <w:multiLevelType w:val="singleLevel"/>
    <w:tmpl w:val="9A59F1BC"/>
    <w:lvl w:ilvl="0" w:tentative="0">
      <w:start w:val="1"/>
      <w:numFmt w:val="chineseCounting"/>
      <w:suff w:val="nothing"/>
      <w:lvlText w:val="%1、"/>
      <w:lvlJc w:val="left"/>
      <w:rPr>
        <w:rFonts w:hint="eastAsia"/>
      </w:rPr>
    </w:lvl>
  </w:abstractNum>
  <w:abstractNum w:abstractNumId="3">
    <w:nsid w:val="B45755DD"/>
    <w:multiLevelType w:val="singleLevel"/>
    <w:tmpl w:val="B45755DD"/>
    <w:lvl w:ilvl="0" w:tentative="0">
      <w:start w:val="1"/>
      <w:numFmt w:val="decimal"/>
      <w:lvlText w:val="%1."/>
      <w:lvlJc w:val="left"/>
      <w:pPr>
        <w:tabs>
          <w:tab w:val="left" w:pos="312"/>
        </w:tabs>
      </w:pPr>
      <w:rPr>
        <w:rFonts w:hint="default"/>
        <w:b w:val="0"/>
        <w:bCs w:val="0"/>
      </w:rPr>
    </w:lvl>
  </w:abstractNum>
  <w:abstractNum w:abstractNumId="4">
    <w:nsid w:val="E29AD38B"/>
    <w:multiLevelType w:val="singleLevel"/>
    <w:tmpl w:val="E29AD38B"/>
    <w:lvl w:ilvl="0" w:tentative="0">
      <w:start w:val="1"/>
      <w:numFmt w:val="decimal"/>
      <w:lvlText w:val="%1."/>
      <w:lvlJc w:val="left"/>
      <w:pPr>
        <w:tabs>
          <w:tab w:val="left" w:pos="312"/>
        </w:tabs>
      </w:pPr>
      <w:rPr>
        <w:rFonts w:hint="default"/>
        <w:b w:val="0"/>
        <w:bCs w:val="0"/>
        <w:color w:val="auto"/>
      </w:rPr>
    </w:lvl>
  </w:abstractNum>
  <w:abstractNum w:abstractNumId="5">
    <w:nsid w:val="E6DFF399"/>
    <w:multiLevelType w:val="singleLevel"/>
    <w:tmpl w:val="E6DFF399"/>
    <w:lvl w:ilvl="0" w:tentative="0">
      <w:start w:val="1"/>
      <w:numFmt w:val="decimal"/>
      <w:lvlText w:val="%1."/>
      <w:lvlJc w:val="left"/>
      <w:pPr>
        <w:tabs>
          <w:tab w:val="left" w:pos="312"/>
        </w:tabs>
      </w:pPr>
    </w:lvl>
  </w:abstractNum>
  <w:abstractNum w:abstractNumId="6">
    <w:nsid w:val="E7C12F02"/>
    <w:multiLevelType w:val="singleLevel"/>
    <w:tmpl w:val="E7C12F02"/>
    <w:lvl w:ilvl="0" w:tentative="0">
      <w:start w:val="1"/>
      <w:numFmt w:val="decimal"/>
      <w:lvlText w:val="%1."/>
      <w:lvlJc w:val="left"/>
      <w:pPr>
        <w:tabs>
          <w:tab w:val="left" w:pos="312"/>
        </w:tabs>
      </w:pPr>
    </w:lvl>
  </w:abstractNum>
  <w:abstractNum w:abstractNumId="7">
    <w:nsid w:val="082B3BC1"/>
    <w:multiLevelType w:val="singleLevel"/>
    <w:tmpl w:val="082B3BC1"/>
    <w:lvl w:ilvl="0" w:tentative="0">
      <w:start w:val="1"/>
      <w:numFmt w:val="decimal"/>
      <w:lvlText w:val="%1."/>
      <w:lvlJc w:val="left"/>
      <w:pPr>
        <w:tabs>
          <w:tab w:val="left" w:pos="312"/>
        </w:tabs>
      </w:pPr>
    </w:lvl>
  </w:abstractNum>
  <w:abstractNum w:abstractNumId="8">
    <w:nsid w:val="0D475FA5"/>
    <w:multiLevelType w:val="singleLevel"/>
    <w:tmpl w:val="0D475FA5"/>
    <w:lvl w:ilvl="0" w:tentative="0">
      <w:start w:val="1"/>
      <w:numFmt w:val="decimal"/>
      <w:lvlText w:val="%1."/>
      <w:lvlJc w:val="left"/>
      <w:pPr>
        <w:tabs>
          <w:tab w:val="left" w:pos="312"/>
        </w:tabs>
      </w:pPr>
    </w:lvl>
  </w:abstractNum>
  <w:abstractNum w:abstractNumId="9">
    <w:nsid w:val="1A0E57DD"/>
    <w:multiLevelType w:val="singleLevel"/>
    <w:tmpl w:val="1A0E57DD"/>
    <w:lvl w:ilvl="0" w:tentative="0">
      <w:start w:val="1"/>
      <w:numFmt w:val="decimal"/>
      <w:lvlText w:val="%1."/>
      <w:lvlJc w:val="left"/>
      <w:pPr>
        <w:tabs>
          <w:tab w:val="left" w:pos="312"/>
        </w:tabs>
      </w:pPr>
    </w:lvl>
  </w:abstractNum>
  <w:abstractNum w:abstractNumId="10">
    <w:nsid w:val="2838E508"/>
    <w:multiLevelType w:val="singleLevel"/>
    <w:tmpl w:val="2838E508"/>
    <w:lvl w:ilvl="0" w:tentative="0">
      <w:start w:val="1"/>
      <w:numFmt w:val="decimal"/>
      <w:lvlText w:val="%1."/>
      <w:lvlJc w:val="left"/>
      <w:pPr>
        <w:tabs>
          <w:tab w:val="left" w:pos="312"/>
        </w:tabs>
      </w:pPr>
    </w:lvl>
  </w:abstractNum>
  <w:abstractNum w:abstractNumId="11">
    <w:nsid w:val="39680755"/>
    <w:multiLevelType w:val="singleLevel"/>
    <w:tmpl w:val="39680755"/>
    <w:lvl w:ilvl="0" w:tentative="0">
      <w:start w:val="1"/>
      <w:numFmt w:val="decimal"/>
      <w:lvlText w:val="%1."/>
      <w:lvlJc w:val="left"/>
      <w:pPr>
        <w:ind w:left="425" w:hanging="425"/>
      </w:pPr>
      <w:rPr>
        <w:rFonts w:hint="default"/>
      </w:rPr>
    </w:lvl>
  </w:abstractNum>
  <w:abstractNum w:abstractNumId="12">
    <w:nsid w:val="43EB8ED3"/>
    <w:multiLevelType w:val="singleLevel"/>
    <w:tmpl w:val="43EB8ED3"/>
    <w:lvl w:ilvl="0" w:tentative="0">
      <w:start w:val="1"/>
      <w:numFmt w:val="decimal"/>
      <w:lvlText w:val="%1."/>
      <w:lvlJc w:val="left"/>
      <w:pPr>
        <w:tabs>
          <w:tab w:val="left" w:pos="312"/>
        </w:tabs>
      </w:pPr>
    </w:lvl>
  </w:abstractNum>
  <w:abstractNum w:abstractNumId="13">
    <w:nsid w:val="49167EB4"/>
    <w:multiLevelType w:val="singleLevel"/>
    <w:tmpl w:val="49167EB4"/>
    <w:lvl w:ilvl="0" w:tentative="0">
      <w:start w:val="1"/>
      <w:numFmt w:val="decimal"/>
      <w:lvlText w:val="%1."/>
      <w:lvlJc w:val="left"/>
      <w:pPr>
        <w:tabs>
          <w:tab w:val="left" w:pos="312"/>
        </w:tabs>
      </w:pPr>
      <w:rPr>
        <w:rFonts w:hint="default"/>
        <w:b w:val="0"/>
        <w:bCs w:val="0"/>
      </w:rPr>
    </w:lvl>
  </w:abstractNum>
  <w:abstractNum w:abstractNumId="14">
    <w:nsid w:val="59010DA9"/>
    <w:multiLevelType w:val="singleLevel"/>
    <w:tmpl w:val="59010DA9"/>
    <w:lvl w:ilvl="0" w:tentative="0">
      <w:start w:val="1"/>
      <w:numFmt w:val="decimal"/>
      <w:lvlText w:val="%1."/>
      <w:lvlJc w:val="left"/>
      <w:pPr>
        <w:ind w:left="425" w:hanging="425"/>
      </w:pPr>
      <w:rPr>
        <w:rFonts w:hint="default"/>
      </w:rPr>
    </w:lvl>
  </w:abstractNum>
  <w:abstractNum w:abstractNumId="15">
    <w:nsid w:val="5D13920D"/>
    <w:multiLevelType w:val="singleLevel"/>
    <w:tmpl w:val="5D13920D"/>
    <w:lvl w:ilvl="0" w:tentative="0">
      <w:start w:val="1"/>
      <w:numFmt w:val="decimal"/>
      <w:lvlText w:val="%1."/>
      <w:lvlJc w:val="left"/>
      <w:pPr>
        <w:tabs>
          <w:tab w:val="left" w:pos="312"/>
        </w:tabs>
      </w:pPr>
    </w:lvl>
  </w:abstractNum>
  <w:abstractNum w:abstractNumId="16">
    <w:nsid w:val="62B7755A"/>
    <w:multiLevelType w:val="singleLevel"/>
    <w:tmpl w:val="62B7755A"/>
    <w:lvl w:ilvl="0" w:tentative="0">
      <w:start w:val="1"/>
      <w:numFmt w:val="decimal"/>
      <w:lvlText w:val="%1."/>
      <w:lvlJc w:val="left"/>
      <w:pPr>
        <w:tabs>
          <w:tab w:val="left" w:pos="312"/>
        </w:tabs>
      </w:pPr>
    </w:lvl>
  </w:abstractNum>
  <w:abstractNum w:abstractNumId="17">
    <w:nsid w:val="7C4BFE36"/>
    <w:multiLevelType w:val="singleLevel"/>
    <w:tmpl w:val="7C4BFE36"/>
    <w:lvl w:ilvl="0" w:tentative="0">
      <w:start w:val="1"/>
      <w:numFmt w:val="decimal"/>
      <w:suff w:val="nothing"/>
      <w:lvlText w:val="（%1）"/>
      <w:lvlJc w:val="left"/>
      <w:pPr>
        <w:ind w:left="-711"/>
      </w:pPr>
    </w:lvl>
  </w:abstractNum>
  <w:num w:numId="1">
    <w:abstractNumId w:val="2"/>
  </w:num>
  <w:num w:numId="2">
    <w:abstractNumId w:val="3"/>
  </w:num>
  <w:num w:numId="3">
    <w:abstractNumId w:val="4"/>
  </w:num>
  <w:num w:numId="4">
    <w:abstractNumId w:val="7"/>
  </w:num>
  <w:num w:numId="5">
    <w:abstractNumId w:val="6"/>
  </w:num>
  <w:num w:numId="6">
    <w:abstractNumId w:val="16"/>
  </w:num>
  <w:num w:numId="7">
    <w:abstractNumId w:val="8"/>
  </w:num>
  <w:num w:numId="8">
    <w:abstractNumId w:val="15"/>
  </w:num>
  <w:num w:numId="9">
    <w:abstractNumId w:val="17"/>
  </w:num>
  <w:num w:numId="10">
    <w:abstractNumId w:val="9"/>
  </w:num>
  <w:num w:numId="11">
    <w:abstractNumId w:val="1"/>
  </w:num>
  <w:num w:numId="12">
    <w:abstractNumId w:val="10"/>
  </w:num>
  <w:num w:numId="13">
    <w:abstractNumId w:val="5"/>
  </w:num>
  <w:num w:numId="14">
    <w:abstractNumId w:val="12"/>
  </w:num>
  <w:num w:numId="15">
    <w:abstractNumId w:val="13"/>
  </w:num>
  <w:num w:numId="16">
    <w:abstractNumId w:val="14"/>
  </w:num>
  <w:num w:numId="17">
    <w:abstractNumId w:val="11"/>
  </w:num>
  <w:num w:numId="18">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IEYiQing">
    <w15:presenceInfo w15:providerId="None" w15:userId="XIEYiQi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jb3VudCI6MTUsImhkaWQiOiJiZWMyNDU0YWU1ZGE0M2Y2ZjEyNzkyNDkyYTIzZTM2ZiIsInVzZXJDb3VudCI6MTF9"/>
  </w:docVars>
  <w:rsids>
    <w:rsidRoot w:val="0F866EFE"/>
    <w:rsid w:val="00184443"/>
    <w:rsid w:val="001F6741"/>
    <w:rsid w:val="00260423"/>
    <w:rsid w:val="002D772F"/>
    <w:rsid w:val="00316602"/>
    <w:rsid w:val="0032020E"/>
    <w:rsid w:val="003601B3"/>
    <w:rsid w:val="00373527"/>
    <w:rsid w:val="003E3C05"/>
    <w:rsid w:val="004616D3"/>
    <w:rsid w:val="00473FB4"/>
    <w:rsid w:val="00474941"/>
    <w:rsid w:val="00514C1C"/>
    <w:rsid w:val="005D648B"/>
    <w:rsid w:val="007752AA"/>
    <w:rsid w:val="007E04A7"/>
    <w:rsid w:val="00851600"/>
    <w:rsid w:val="008857B9"/>
    <w:rsid w:val="008B3D0F"/>
    <w:rsid w:val="00901273"/>
    <w:rsid w:val="009831B9"/>
    <w:rsid w:val="00BC31DC"/>
    <w:rsid w:val="00BE2ADC"/>
    <w:rsid w:val="00C66BFB"/>
    <w:rsid w:val="00C85D87"/>
    <w:rsid w:val="00CC42DC"/>
    <w:rsid w:val="00D01A01"/>
    <w:rsid w:val="00D20B58"/>
    <w:rsid w:val="00D31823"/>
    <w:rsid w:val="00D7627D"/>
    <w:rsid w:val="00DF1887"/>
    <w:rsid w:val="00EE4747"/>
    <w:rsid w:val="00EF3686"/>
    <w:rsid w:val="00F22F47"/>
    <w:rsid w:val="00F65A27"/>
    <w:rsid w:val="00FA373C"/>
    <w:rsid w:val="00FB1FC4"/>
    <w:rsid w:val="00FE2860"/>
    <w:rsid w:val="01606E60"/>
    <w:rsid w:val="04521B0A"/>
    <w:rsid w:val="05A01822"/>
    <w:rsid w:val="0BB979BB"/>
    <w:rsid w:val="0C540FAF"/>
    <w:rsid w:val="0E6D6359"/>
    <w:rsid w:val="0E796AAB"/>
    <w:rsid w:val="0F866EFE"/>
    <w:rsid w:val="0FBA381F"/>
    <w:rsid w:val="10EC39DB"/>
    <w:rsid w:val="120B341F"/>
    <w:rsid w:val="143F0822"/>
    <w:rsid w:val="15F5735F"/>
    <w:rsid w:val="177E15D6"/>
    <w:rsid w:val="1C203159"/>
    <w:rsid w:val="20450DFD"/>
    <w:rsid w:val="209B4FA7"/>
    <w:rsid w:val="24B65F0C"/>
    <w:rsid w:val="275071C8"/>
    <w:rsid w:val="28081174"/>
    <w:rsid w:val="28277AAC"/>
    <w:rsid w:val="2AA6035A"/>
    <w:rsid w:val="2B02408F"/>
    <w:rsid w:val="2C2D7770"/>
    <w:rsid w:val="2CFE54E2"/>
    <w:rsid w:val="356236AB"/>
    <w:rsid w:val="3B0F7120"/>
    <w:rsid w:val="3E2D328B"/>
    <w:rsid w:val="3F47037C"/>
    <w:rsid w:val="4042347B"/>
    <w:rsid w:val="456168C0"/>
    <w:rsid w:val="46584038"/>
    <w:rsid w:val="46C6427C"/>
    <w:rsid w:val="48002F4D"/>
    <w:rsid w:val="49D1653F"/>
    <w:rsid w:val="4A83494B"/>
    <w:rsid w:val="4CA13833"/>
    <w:rsid w:val="4CD13823"/>
    <w:rsid w:val="518512A6"/>
    <w:rsid w:val="5325057D"/>
    <w:rsid w:val="5A6E022D"/>
    <w:rsid w:val="5BBE331C"/>
    <w:rsid w:val="5C2A60C6"/>
    <w:rsid w:val="5EEE0EA0"/>
    <w:rsid w:val="6A0A6608"/>
    <w:rsid w:val="6B6D2669"/>
    <w:rsid w:val="6C923F7A"/>
    <w:rsid w:val="6F7B6BF8"/>
    <w:rsid w:val="708B6B67"/>
    <w:rsid w:val="71211F2C"/>
    <w:rsid w:val="772B74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autoRedefine/>
    <w:unhideWhenUsed/>
    <w:qFormat/>
    <w:uiPriority w:val="99"/>
    <w:pPr>
      <w:spacing w:line="360" w:lineRule="auto"/>
      <w:ind w:firstLine="480" w:firstLineChars="200"/>
      <w:pPrChange w:id="0" w:author="XIEYiQing" w:date="2025-07-10T11:36:00Z">
        <w:pPr>
          <w:widowControl w:val="0"/>
          <w:jc w:val="both"/>
        </w:pPr>
      </w:pPrChange>
    </w:pPr>
    <w:rPr>
      <w:rPrChange w:id="1" w:author="XIEYiQing" w:date="2025-07-10T11:36:00Z">
        <w:rPr>
          <w:rFonts w:eastAsia="宋体"/>
          <w:kern w:val="2"/>
          <w:sz w:val="21"/>
          <w:szCs w:val="24"/>
          <w:lang w:val="en-US" w:eastAsia="zh-CN" w:bidi="ar-SA"/>
        </w:rPr>
      </w:rPrChange>
    </w:rPr>
  </w:style>
  <w:style w:type="paragraph" w:styleId="3">
    <w:name w:val="footer"/>
    <w:basedOn w:val="1"/>
    <w:link w:val="14"/>
    <w:autoRedefine/>
    <w:qFormat/>
    <w:uiPriority w:val="99"/>
    <w:pPr>
      <w:tabs>
        <w:tab w:val="center" w:pos="4153"/>
        <w:tab w:val="right" w:pos="8306"/>
      </w:tabs>
      <w:snapToGrid w:val="0"/>
      <w:jc w:val="left"/>
    </w:pPr>
    <w:rPr>
      <w:sz w:val="18"/>
      <w:szCs w:val="18"/>
    </w:rPr>
  </w:style>
  <w:style w:type="paragraph" w:styleId="4">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autoRedefine/>
    <w:qFormat/>
    <w:uiPriority w:val="0"/>
    <w:rPr>
      <w:b/>
      <w:bCs/>
    </w:rPr>
  </w:style>
  <w:style w:type="character" w:styleId="10">
    <w:name w:val="annotation reference"/>
    <w:basedOn w:val="8"/>
    <w:qFormat/>
    <w:uiPriority w:val="0"/>
    <w:rPr>
      <w:sz w:val="21"/>
      <w:szCs w:val="21"/>
    </w:rPr>
  </w:style>
  <w:style w:type="paragraph" w:customStyle="1" w:styleId="11">
    <w:name w:val="txt"/>
    <w:basedOn w:val="1"/>
    <w:autoRedefine/>
    <w:qFormat/>
    <w:uiPriority w:val="0"/>
    <w:pPr>
      <w:widowControl/>
      <w:spacing w:before="100" w:beforeAutospacing="1" w:after="100" w:afterAutospacing="1"/>
      <w:jc w:val="left"/>
    </w:pPr>
    <w:rPr>
      <w:rFonts w:ascii="宋体" w:hAnsi="宋体" w:cs="宋体"/>
      <w:kern w:val="0"/>
      <w:sz w:val="24"/>
    </w:rPr>
  </w:style>
  <w:style w:type="paragraph" w:styleId="12">
    <w:name w:val="List Paragraph"/>
    <w:basedOn w:val="1"/>
    <w:qFormat/>
    <w:uiPriority w:val="0"/>
    <w:pPr>
      <w:ind w:firstLine="420" w:firstLineChars="200"/>
    </w:pPr>
    <w:rPr>
      <w:rFonts w:asciiTheme="minorHAnsi" w:hAnsiTheme="minorHAnsi" w:eastAsiaTheme="minorEastAsia" w:cstheme="minorBidi"/>
      <w:szCs w:val="22"/>
    </w:rPr>
  </w:style>
  <w:style w:type="paragraph" w:customStyle="1" w:styleId="13">
    <w:name w:val="Revision"/>
    <w:hidden/>
    <w:unhideWhenUsed/>
    <w:qFormat/>
    <w:uiPriority w:val="99"/>
    <w:rPr>
      <w:rFonts w:ascii="Times New Roman" w:hAnsi="Times New Roman" w:eastAsia="宋体" w:cs="Times New Roman"/>
      <w:kern w:val="2"/>
      <w:sz w:val="21"/>
      <w:szCs w:val="24"/>
      <w:lang w:val="en-US" w:eastAsia="zh-CN" w:bidi="ar-SA"/>
    </w:rPr>
  </w:style>
  <w:style w:type="character" w:customStyle="1" w:styleId="14">
    <w:name w:val="页脚 字符"/>
    <w:basedOn w:val="8"/>
    <w:link w:val="3"/>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theme" Target="theme/theme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23\Desktop\&#25216;&#26415;&#36873;&#22411;&#21333;\&#24180;&#24230;&#37319;&#36141;&#26694;&#26550;&#21512;&#21516;-&#30928;&#21147;.doc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年度采购框架合同-磐力.docx</Template>
  <Pages>12</Pages>
  <Words>8002</Words>
  <Characters>8087</Characters>
  <Lines>279</Lines>
  <Paragraphs>168</Paragraphs>
  <TotalTime>1219</TotalTime>
  <ScaleCrop>false</ScaleCrop>
  <LinksUpToDate>false</LinksUpToDate>
  <CharactersWithSpaces>8562</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2024-04-08T05:16:00Z</dcterms:created>
  <dc:creator>彭丹</dc:creator>
  <cp:lastModifiedBy>ડꪊꪀེꦿ๑҉</cp:lastModifiedBy>
  <dcterms:modified xsi:type="dcterms:W3CDTF">2025-07-21T00:48:08Z</dcterms:modified>
  <dc:title>原材料采购框架协议</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UUID">
    <vt:lpwstr>v1.0_mb_kNCju9NS8epFJe5R8Nfrbw==</vt:lpwstr>
  </property>
  <property fmtid="{D5CDD505-2E9C-101B-9397-08002B2CF9AE}" pid="4" name="ICV">
    <vt:lpwstr>271B0111029D408EB832C5F6B99EA8CA_13</vt:lpwstr>
  </property>
  <property fmtid="{D5CDD505-2E9C-101B-9397-08002B2CF9AE}" pid="5" name="KSOTemplateDocerSaveRecord">
    <vt:lpwstr>eyJoZGlkIjoiOGM3MzQ3ZDdkZTI3Nzk4Y2ExNTNmZTQ0YjI1N2MzZGMiLCJ1c2VySWQiOiIxMjM1NDQ2Mzc2In0=</vt:lpwstr>
  </property>
</Properties>
</file>