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 buyerPhone }}</w:t>
            </w:r>
          </w:p>
        </w:tc>
        <w:tc>
          <w:tcPr>
            <w:tcW w:w="511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for item in items %}{{ item.index }}</w:t>
            </w:r>
          </w:p>
        </w:tc>
        <w:tc>
          <w:tcPr>
            <w:tcW w:w="1323" w:type="dxa"/>
            <w:tcBorders>
              <w:top w:val="single" w:color="000000" w:sz="4" w:space="0"/>
              <w:left w:val="single" w:color="000000" w:sz="4" w:space="0"/>
              <w:right w:val="single" w:color="000000" w:sz="4" w:space="0"/>
            </w:tcBorders>
            <w:vAlign w:val="center"/>
          </w:tcPr>
          <w:p>
            <w:r>
              <w:t>{{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 item.tagNo }}{% endfor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}}），含13%增值税，其中不含税金额{{ amountWithoutTax }}元，税金{{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 warrantyDepositRate }}%作为质保金，质保期满且运行无问题，甲方出具《质保期满验收合格证明》后5个工作日内，扣除乙方应承担的违约金、罚款等费用（如有）后无息支付给乙方。</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在收款前应向甲方开具正规的13%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 buyerAuthorizedRepresentative }}                                       授权代表：{{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 signatureYear }}年{{ signatureMonth }}月{{ signatureDay }}日                       日期：{{ signatureYear }}年{{ signatureMonth }}月{{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