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t>合同编号：{{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color w:val="auto"/>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t>签订日期：{{ signYear }}年{{ signMonth }}月{{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color w:val="auto"/>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highlight w:val="none"/>
              </w:rPr>
              <w:t>需方（甲方）：</w:t>
            </w:r>
            <w:r>
              <w:rPr>
                <w:rFonts w:hint="eastAsia" w:ascii="仿宋" w:hAnsi="仿宋" w:eastAsia="仿宋" w:cs="仿宋"/>
                <w:color w:val="auto"/>
                <w:highlight w:val="none"/>
              </w:rPr>
              <w:t>浙江沃乐科技股份有限公司</w:t>
            </w:r>
          </w:p>
        </w:tc>
        <w:tc>
          <w:tcPr>
            <w:tcW w:w="5116" w:type="dxa"/>
            <w:shd w:val="clear" w:color="auto" w:fill="FFFFFF"/>
          </w:tcPr>
          <w:p>
            <w:r>
              <w:t>供方（乙方）：{{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联系地址：浙江省杭州市余杭区仓前街道仓兴街397号18幢5层</w:t>
            </w:r>
          </w:p>
        </w:tc>
        <w:tc>
          <w:tcPr>
            <w:tcW w:w="5116" w:type="dxa"/>
            <w:shd w:val="clear" w:color="auto" w:fill="FFFFFF"/>
          </w:tcPr>
          <w:p>
            <w:r>
              <w:t>地址：{{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开户银行：上海浦东发展银行股份有限公司杭州余杭支行</w:t>
            </w:r>
          </w:p>
        </w:tc>
        <w:tc>
          <w:tcPr>
            <w:tcW w:w="5116" w:type="dxa"/>
            <w:shd w:val="clear" w:color="auto" w:fill="FFFFFF"/>
          </w:tcPr>
          <w:p>
            <w:r>
              <w:t>开户银行：{{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 xml:space="preserve">银行账号：95260078801100000902 </w:t>
            </w:r>
          </w:p>
        </w:tc>
        <w:tc>
          <w:tcPr>
            <w:tcW w:w="5116" w:type="dxa"/>
            <w:shd w:val="clear" w:color="auto" w:fill="FFFFFF"/>
          </w:tcPr>
          <w:p>
            <w:r>
              <w:t>银行帐号：{{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highlight w:val="none"/>
              </w:rPr>
              <w:t>税号： 91330110MA2HYAEK1T(1/1)</w:t>
            </w:r>
          </w:p>
        </w:tc>
        <w:tc>
          <w:tcPr>
            <w:tcW w:w="5116" w:type="dxa"/>
            <w:shd w:val="clear" w:color="auto" w:fill="FFFFFF"/>
          </w:tcPr>
          <w:p>
            <w:r>
              <w:t>税号：{{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t>电话（Tel）：{{ buyerPhone }}</w:t>
            </w:r>
          </w:p>
        </w:tc>
        <w:tc>
          <w:tcPr>
            <w:tcW w:w="5116" w:type="dxa"/>
            <w:shd w:val="clear" w:color="auto" w:fill="FFFFFF"/>
            <w:vAlign w:val="center"/>
          </w:tcPr>
          <w:p>
            <w:r>
              <w:t>电话（Tel）：{{ supplierPhone }}</w:t>
            </w:r>
          </w:p>
        </w:tc>
      </w:tr>
    </w:tbl>
    <w:p w14:paraId="2625AACE">
      <w:pPr>
        <w:spacing w:line="300" w:lineRule="auto"/>
        <w:rPr>
          <w:rFonts w:eastAsia="仿宋"/>
          <w:color w:val="auto"/>
          <w:szCs w:val="21"/>
          <w:highlight w:val="none"/>
        </w:rPr>
      </w:pPr>
      <w:r>
        <w:rPr>
          <w:rFonts w:eastAsia="仿宋"/>
          <w:color w:val="auto"/>
          <w:szCs w:val="21"/>
          <w:highlight w:val="none"/>
        </w:rPr>
        <w:t xml:space="preserve"> </w:t>
      </w:r>
    </w:p>
    <w:p w14:paraId="2625AACF">
      <w:pPr>
        <w:spacing w:line="300" w:lineRule="auto"/>
        <w:ind w:firstLine="420" w:firstLineChars="200"/>
        <w:rPr>
          <w:rFonts w:eastAsia="仿宋"/>
          <w:color w:val="auto"/>
          <w:szCs w:val="21"/>
          <w:highlight w:val="none"/>
        </w:rPr>
      </w:pPr>
      <w:r>
        <w:t>根据《中华人民共和国民法典》等相关法律法规、质量标准和其他规范，就甲方{{ projectName }}项目（下称“项目”）的{{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color w:val="auto"/>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Times New Roman" w:hAnsi="Times New Roman" w:eastAsia="仿宋" w:cs="Times New Roman"/>
          <w:color w:val="auto"/>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color w:val="auto"/>
                <w:kern w:val="0"/>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color w:val="auto"/>
                <w:kern w:val="0"/>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color w:val="auto"/>
                <w:kern w:val="0"/>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color w:val="auto"/>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color w:val="auto"/>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color w:val="auto"/>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color w:val="auto"/>
                <w:kern w:val="0"/>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color w:val="auto"/>
                <w:kern w:val="0"/>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 item.index }}</w:t>
            </w:r>
          </w:p>
        </w:tc>
        <w:tc>
          <w:tcPr>
            <w:tcW w:w="1323" w:type="dxa"/>
            <w:tcBorders>
              <w:top w:val="single" w:color="000000" w:sz="4" w:space="0"/>
              <w:left w:val="single" w:color="000000" w:sz="4" w:space="0"/>
              <w:right w:val="single" w:color="000000" w:sz="4" w:space="0"/>
            </w:tcBorders>
            <w:vAlign w:val="center"/>
          </w:tcPr>
          <w:p>
            <w:r>
              <w:t>{{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t>{{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t>{{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t>{{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t>{{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323" w:type="dxa"/>
            <w:tcBorders>
              <w:top w:val="single" w:color="000000" w:sz="4" w:space="0"/>
              <w:left w:val="single" w:color="000000" w:sz="4" w:space="0"/>
              <w:right w:val="single" w:color="000000" w:sz="4" w:space="0"/>
            </w:tcBorders>
            <w:vAlign w:val="center"/>
          </w:tcPr>
          <w:p>
            <w:r>
              <w:t/>
            </w:r>
          </w:p>
        </w:tc>
        <w:tc>
          <w:tcPr>
            <w:tcW w:w="2154" w:type="dxa"/>
            <w:tcBorders>
              <w:top w:val="single" w:color="000000" w:sz="4" w:space="0"/>
              <w:left w:val="single" w:color="000000" w:sz="4" w:space="0"/>
              <w:bottom w:val="single" w:color="000000" w:sz="4" w:space="0"/>
              <w:right w:val="single" w:color="000000" w:sz="4" w:space="0"/>
            </w:tcBorders>
            <w:vAlign w:val="center"/>
          </w:tcPr>
          <w:p>
            <w:r>
              <w:t/>
            </w:r>
          </w:p>
        </w:tc>
        <w:tc>
          <w:tcPr>
            <w:tcW w:w="743"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center"/>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1257" w:type="dxa"/>
            <w:tcBorders>
              <w:top w:val="single" w:color="000000" w:sz="4" w:space="0"/>
              <w:left w:val="single" w:color="000000" w:sz="4" w:space="0"/>
              <w:bottom w:val="single" w:color="000000" w:sz="4" w:space="0"/>
              <w:right w:val="single" w:color="000000" w:sz="4" w:space="0"/>
            </w:tcBorders>
            <w:vAlign w:val="center"/>
          </w:tcPr>
          <w:p>
            <w: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t>人民币大写：{{ totalAmountChinese }}（小写：￥{{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color w:val="auto"/>
                <w:kern w:val="0"/>
                <w:szCs w:val="21"/>
                <w:highlight w:val="none"/>
                <w:lang w:bidi="ar"/>
              </w:rPr>
              <w:t>本合同附件包括：</w:t>
            </w:r>
            <w:r>
              <w:rPr>
                <w:rFonts w:hint="eastAsia" w:eastAsia="仿宋"/>
                <w:color w:val="auto"/>
                <w:kern w:val="0"/>
                <w:szCs w:val="21"/>
                <w:highlight w:val="none"/>
                <w:lang w:bidi="ar"/>
              </w:rPr>
              <w:t>（1）设备采购清单；（2）技术协议</w:t>
            </w:r>
            <w:r>
              <w:rPr>
                <w:rFonts w:hint="eastAsia" w:eastAsia="仿宋"/>
                <w:color w:val="auto"/>
                <w:kern w:val="0"/>
                <w:szCs w:val="21"/>
                <w:highlight w:val="none"/>
                <w:lang w:val="en-US" w:eastAsia="zh-CN" w:bidi="ar"/>
              </w:rPr>
              <w:t xml:space="preserve">   </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3</w:t>
            </w:r>
            <w:r>
              <w:rPr>
                <w:rFonts w:hint="eastAsia" w:eastAsia="仿宋"/>
                <w:color w:val="auto"/>
                <w:kern w:val="0"/>
                <w:szCs w:val="21"/>
                <w:highlight w:val="none"/>
                <w:lang w:bidi="ar"/>
              </w:rPr>
              <w:t>）</w:t>
            </w:r>
            <w:r>
              <w:rPr>
                <w:rFonts w:hint="eastAsia" w:eastAsia="仿宋"/>
                <w:color w:val="auto"/>
                <w:kern w:val="0"/>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t>本合同采用固定总价的计价方式，合同总价为¥{{ totalAmount }}元整（大写金额：{{ totalAmountChinese }}），含{{ taxRate }}%增值税，其中不含税金额{{ amountWithoutTax }}元，税金{{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本合同固定总价包含了乙方为履行本合同项下所有义务的一切费用，包括但不限于人工费、</w:t>
      </w:r>
      <w:r>
        <w:rPr>
          <w:rFonts w:hint="eastAsia" w:ascii="Times New Roman" w:hAnsi="Times New Roman" w:eastAsia="仿宋" w:cs="Times New Roman"/>
          <w:color w:val="auto"/>
          <w:szCs w:val="21"/>
          <w:highlight w:val="none"/>
          <w:lang w:val="en-US" w:eastAsia="zh-CN"/>
        </w:rPr>
        <w:t>出口包装费、</w:t>
      </w:r>
      <w:r>
        <w:rPr>
          <w:rFonts w:ascii="Times New Roman" w:hAnsi="Times New Roman" w:eastAsia="仿宋" w:cs="Times New Roman"/>
          <w:color w:val="auto"/>
          <w:szCs w:val="21"/>
          <w:highlight w:val="none"/>
        </w:rPr>
        <w:t>原材料费、</w:t>
      </w:r>
      <w:r>
        <w:rPr>
          <w:rFonts w:hint="eastAsia" w:ascii="Times New Roman" w:hAnsi="Times New Roman" w:eastAsia="仿宋" w:cs="Times New Roman"/>
          <w:color w:val="auto"/>
          <w:szCs w:val="21"/>
          <w:highlight w:val="none"/>
        </w:rPr>
        <w:t>制作加工费、</w:t>
      </w:r>
      <w:r>
        <w:rPr>
          <w:rFonts w:ascii="Times New Roman" w:hAnsi="Times New Roman" w:eastAsia="仿宋" w:cs="Times New Roman"/>
          <w:color w:val="auto"/>
          <w:szCs w:val="21"/>
          <w:highlight w:val="none"/>
        </w:rPr>
        <w:t>仓储费、运输费、保险费、装</w:t>
      </w:r>
      <w:r>
        <w:rPr>
          <w:rFonts w:hint="eastAsia" w:ascii="Times New Roman" w:hAnsi="Times New Roman" w:eastAsia="仿宋" w:cs="Times New Roman"/>
          <w:color w:val="auto"/>
          <w:szCs w:val="21"/>
          <w:highlight w:val="none"/>
          <w:lang w:val="en-US" w:eastAsia="zh-CN"/>
        </w:rPr>
        <w:t>运</w:t>
      </w:r>
      <w:r>
        <w:rPr>
          <w:rFonts w:ascii="Times New Roman" w:hAnsi="Times New Roman" w:eastAsia="仿宋" w:cs="Times New Roman"/>
          <w:color w:val="auto"/>
          <w:szCs w:val="21"/>
          <w:highlight w:val="none"/>
        </w:rPr>
        <w:t>费、利润、税金、培训费、维保费</w:t>
      </w:r>
      <w:r>
        <w:rPr>
          <w:rFonts w:hint="eastAsia" w:ascii="Times New Roman" w:hAnsi="Times New Roman" w:eastAsia="仿宋" w:cs="Times New Roman"/>
          <w:color w:val="auto"/>
          <w:szCs w:val="21"/>
          <w:highlight w:val="none"/>
        </w:rPr>
        <w:t>、风险费</w:t>
      </w:r>
      <w:r>
        <w:rPr>
          <w:rFonts w:ascii="Times New Roman" w:hAnsi="Times New Roman" w:eastAsia="仿宋" w:cs="Times New Roman"/>
          <w:color w:val="auto"/>
          <w:szCs w:val="21"/>
          <w:highlight w:val="none"/>
        </w:rPr>
        <w:t>等全部费用，</w:t>
      </w:r>
      <w:r>
        <w:rPr>
          <w:rFonts w:hint="eastAsia" w:ascii="Times New Roman" w:hAnsi="Times New Roman" w:eastAsia="仿宋" w:cs="Times New Roman"/>
          <w:color w:val="auto"/>
          <w:szCs w:val="21"/>
          <w:highlight w:val="none"/>
        </w:rPr>
        <w:t>除本合同另有明确约定外，</w:t>
      </w:r>
      <w:r>
        <w:rPr>
          <w:rFonts w:ascii="Times New Roman" w:hAnsi="Times New Roman" w:eastAsia="仿宋" w:cs="Times New Roman"/>
          <w:color w:val="auto"/>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color w:val="auto"/>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交货地点：{{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交货时间：具体发货日期及到货日期以甲方通知时间为准，但乙方应确保最迟于{{ deliveryYear }}年{{ deliveryMonth }}月{{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Times New Roman" w:hAnsi="Times New Roman" w:eastAsia="仿宋" w:cs="Times New Roman"/>
          <w:color w:val="auto"/>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Times New Roman" w:hAnsi="Times New Roman" w:eastAsia="仿宋" w:cs="Times New Roman"/>
          <w:color w:val="auto"/>
          <w:szCs w:val="21"/>
          <w:highlight w:val="none"/>
          <w:lang w:val="en-US" w:eastAsia="zh-CN"/>
        </w:rPr>
        <w:t>出口货物乙方需提供英文版文件资料，及出口报关要求的特殊资质。</w:t>
      </w:r>
      <w:r>
        <w:rPr>
          <w:rFonts w:ascii="Times New Roman" w:hAnsi="Times New Roman" w:eastAsia="仿宋" w:cs="Times New Roman"/>
          <w:color w:val="auto"/>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设备运至交货地点前，毁损、灭失的风险由乙方承担；设备</w:t>
      </w:r>
      <w:r>
        <w:rPr>
          <w:rFonts w:hint="eastAsia" w:ascii="Times New Roman" w:hAnsi="Times New Roman" w:eastAsia="仿宋" w:cs="Times New Roman"/>
          <w:color w:val="auto"/>
          <w:szCs w:val="21"/>
          <w:highlight w:val="none"/>
        </w:rPr>
        <w:t>交付</w:t>
      </w:r>
      <w:r>
        <w:rPr>
          <w:rFonts w:ascii="Times New Roman" w:hAnsi="Times New Roman" w:eastAsia="仿宋" w:cs="Times New Roman"/>
          <w:color w:val="auto"/>
          <w:szCs w:val="21"/>
          <w:highlight w:val="none"/>
        </w:rPr>
        <w:t>后毁损、灭失风险由甲方承担。</w:t>
      </w:r>
    </w:p>
    <w:p w14:paraId="2625AB15">
      <w:pPr>
        <w:pStyle w:val="2"/>
        <w:ind w:left="105" w:leftChars="50"/>
        <w:rPr>
          <w:color w:val="auto"/>
          <w:highlight w:val="none"/>
        </w:rPr>
      </w:pPr>
      <w:r>
        <w:rPr>
          <w:color w:val="auto"/>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本合同项下的运输方式为</w:t>
      </w:r>
      <w:r>
        <w:rPr>
          <w:rFonts w:ascii="Times New Roman" w:hAnsi="Times New Roman" w:eastAsia="仿宋" w:cs="Times New Roman"/>
          <w:color w:val="auto"/>
          <w:szCs w:val="21"/>
          <w:highlight w:val="none"/>
          <w:u w:val="single"/>
        </w:rPr>
        <w:t xml:space="preserve"> </w:t>
      </w:r>
      <w:r>
        <w:rPr>
          <w:rFonts w:hint="eastAsia" w:ascii="Times New Roman" w:hAnsi="Times New Roman" w:eastAsia="仿宋" w:cs="Times New Roman"/>
          <w:color w:val="auto"/>
          <w:szCs w:val="21"/>
          <w:highlight w:val="none"/>
          <w:u w:val="single"/>
          <w:lang w:val="en-US" w:eastAsia="zh-CN"/>
        </w:rPr>
        <w:t>汽运</w:t>
      </w:r>
      <w:r>
        <w:rPr>
          <w:rFonts w:ascii="Times New Roman" w:hAnsi="Times New Roman" w:eastAsia="仿宋" w:cs="Times New Roman"/>
          <w:color w:val="auto"/>
          <w:szCs w:val="21"/>
          <w:highlight w:val="none"/>
          <w:u w:val="single"/>
        </w:rPr>
        <w:t xml:space="preserve"> </w:t>
      </w:r>
      <w:r>
        <w:rPr>
          <w:rFonts w:ascii="Times New Roman" w:hAnsi="Times New Roman" w:eastAsia="仿宋" w:cs="Times New Roman"/>
          <w:color w:val="auto"/>
          <w:szCs w:val="21"/>
          <w:highlight w:val="none"/>
        </w:rPr>
        <w:t>，在发货24小时之前，乙方应将发货清单</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lang w:val="en-US" w:eastAsia="zh-CN"/>
        </w:rPr>
        <w:t>需包含合同号、发货日期</w:t>
      </w:r>
      <w:r>
        <w:rPr>
          <w:rFonts w:hint="eastAsia" w:ascii="Times New Roman" w:hAnsi="Times New Roman" w:eastAsia="仿宋" w:cs="Times New Roman"/>
          <w:color w:val="auto"/>
          <w:szCs w:val="21"/>
          <w:highlight w:val="none"/>
          <w:lang w:eastAsia="zh-CN"/>
        </w:rPr>
        <w:t>）</w:t>
      </w:r>
      <w:r>
        <w:rPr>
          <w:rFonts w:ascii="Times New Roman" w:hAnsi="Times New Roman" w:eastAsia="仿宋" w:cs="Times New Roman"/>
          <w:color w:val="auto"/>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color w:val="auto"/>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设备质量标准</w:t>
      </w:r>
      <w:r>
        <w:rPr>
          <w:rFonts w:hint="eastAsia" w:ascii="Times New Roman" w:hAnsi="Times New Roman" w:eastAsia="仿宋" w:cs="Times New Roman"/>
          <w:color w:val="auto"/>
          <w:szCs w:val="21"/>
          <w:highlight w:val="none"/>
        </w:rPr>
        <w:t>以及验收标准</w:t>
      </w:r>
      <w:r>
        <w:rPr>
          <w:rFonts w:ascii="Times New Roman" w:hAnsi="Times New Roman" w:eastAsia="仿宋" w:cs="Times New Roman"/>
          <w:color w:val="auto"/>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auto"/>
          <w:szCs w:val="21"/>
          <w:highlight w:val="none"/>
        </w:rPr>
        <w:t>质量问题</w:t>
      </w:r>
      <w:r>
        <w:rPr>
          <w:rFonts w:ascii="Times New Roman" w:hAnsi="Times New Roman" w:eastAsia="仿宋" w:cs="Times New Roman"/>
          <w:color w:val="auto"/>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color w:val="auto"/>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》上签字，《</w:t>
      </w:r>
      <w:r>
        <w:rPr>
          <w:rFonts w:hint="eastAsia" w:ascii="Times New Roman" w:hAnsi="Times New Roman" w:eastAsia="仿宋" w:cs="Times New Roman"/>
          <w:color w:val="auto"/>
          <w:szCs w:val="21"/>
          <w:highlight w:val="none"/>
        </w:rPr>
        <w:t>送货单</w:t>
      </w:r>
      <w:r>
        <w:rPr>
          <w:rFonts w:ascii="Times New Roman" w:hAnsi="Times New Roman" w:eastAsia="仿宋" w:cs="Times New Roman"/>
          <w:color w:val="auto"/>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甲方将于项目整体完工且设备正式投入使用时对设备的质量、性能等进行验收。</w:t>
      </w:r>
      <w:r>
        <w:rPr>
          <w:rFonts w:hint="eastAsia" w:ascii="Times New Roman" w:hAnsi="Times New Roman" w:eastAsia="仿宋" w:cs="Times New Roman"/>
          <w:color w:val="auto"/>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在最终验收合格前，如甲方发现设备存在质量、性能问题或不符合合同约定的，乙方应在甲方通知的合理期限内无偿予以</w:t>
      </w:r>
      <w:r>
        <w:rPr>
          <w:rFonts w:hint="eastAsia" w:ascii="Times New Roman" w:hAnsi="Times New Roman" w:eastAsia="仿宋" w:cs="Times New Roman"/>
          <w:color w:val="auto"/>
          <w:szCs w:val="21"/>
          <w:highlight w:val="none"/>
        </w:rPr>
        <w:t>补、</w:t>
      </w:r>
      <w:r>
        <w:rPr>
          <w:rFonts w:ascii="Times New Roman" w:hAnsi="Times New Roman" w:eastAsia="仿宋" w:cs="Times New Roman"/>
          <w:color w:val="auto"/>
          <w:szCs w:val="21"/>
          <w:highlight w:val="none"/>
        </w:rPr>
        <w:t>换</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整改，并承担因此产生的一切费用</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因此导致迟延交货、工程延误的，乙方应当承担</w:t>
      </w:r>
      <w:r>
        <w:rPr>
          <w:rFonts w:hint="eastAsia" w:ascii="Times New Roman" w:hAnsi="Times New Roman" w:eastAsia="仿宋" w:cs="Times New Roman"/>
          <w:color w:val="auto"/>
          <w:szCs w:val="21"/>
          <w:highlight w:val="none"/>
        </w:rPr>
        <w:t>合同约定的</w:t>
      </w:r>
      <w:r>
        <w:rPr>
          <w:rFonts w:ascii="Times New Roman" w:hAnsi="Times New Roman" w:eastAsia="仿宋" w:cs="Times New Roman"/>
          <w:color w:val="auto"/>
          <w:szCs w:val="21"/>
          <w:highlight w:val="none"/>
        </w:rPr>
        <w:t>违约责任。乙方拒绝履行上述义务，或</w:t>
      </w:r>
      <w:r>
        <w:rPr>
          <w:rFonts w:hint="eastAsia" w:ascii="Times New Roman" w:hAnsi="Times New Roman" w:eastAsia="仿宋" w:cs="Times New Roman"/>
          <w:color w:val="auto"/>
          <w:szCs w:val="21"/>
          <w:highlight w:val="none"/>
        </w:rPr>
        <w:t>补换、</w:t>
      </w:r>
      <w:r>
        <w:rPr>
          <w:rFonts w:ascii="Times New Roman" w:hAnsi="Times New Roman" w:eastAsia="仿宋" w:cs="Times New Roman"/>
          <w:color w:val="auto"/>
          <w:szCs w:val="21"/>
          <w:highlight w:val="none"/>
        </w:rPr>
        <w:t>整改后仍未解决问题的，甲方有权</w:t>
      </w:r>
      <w:r>
        <w:rPr>
          <w:rFonts w:hint="eastAsia" w:ascii="Times New Roman" w:hAnsi="Times New Roman" w:eastAsia="仿宋" w:cs="Times New Roman"/>
          <w:color w:val="auto"/>
          <w:szCs w:val="21"/>
          <w:highlight w:val="none"/>
        </w:rPr>
        <w:t>视问题严重程度采取折价支付、部分退货乃至</w:t>
      </w:r>
      <w:r>
        <w:rPr>
          <w:rFonts w:ascii="Times New Roman" w:hAnsi="Times New Roman" w:eastAsia="仿宋" w:cs="Times New Roman"/>
          <w:color w:val="auto"/>
          <w:szCs w:val="21"/>
          <w:highlight w:val="none"/>
        </w:rPr>
        <w:t>单方解除合同</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 xml:space="preserve"> </w:t>
      </w:r>
    </w:p>
    <w:p w14:paraId="2625AB32">
      <w:pPr>
        <w:pStyle w:val="2"/>
        <w:ind w:left="105" w:leftChars="50"/>
        <w:rPr>
          <w:color w:val="auto"/>
          <w:highlight w:val="none"/>
        </w:rPr>
      </w:pPr>
      <w:r>
        <w:rPr>
          <w:color w:val="auto"/>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货到现场起计质保，质保期{{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乙方应对本合同项下设备的</w:t>
      </w:r>
      <w:r>
        <w:rPr>
          <w:rFonts w:hint="eastAsia" w:ascii="Times New Roman" w:hAnsi="Times New Roman" w:eastAsia="仿宋" w:cs="Times New Roman"/>
          <w:color w:val="auto"/>
          <w:szCs w:val="21"/>
          <w:highlight w:val="none"/>
        </w:rPr>
        <w:t>安装、调试、</w:t>
      </w:r>
      <w:r>
        <w:rPr>
          <w:rFonts w:ascii="Times New Roman" w:hAnsi="Times New Roman" w:eastAsia="仿宋" w:cs="Times New Roman"/>
          <w:color w:val="auto"/>
          <w:szCs w:val="21"/>
          <w:highlight w:val="none"/>
        </w:rPr>
        <w:t>使用提供长期免费远程服务，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auto"/>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color w:val="auto"/>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付款期限</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（1）预付款：合同总价的{{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（2）发货款：本合同项下设备经甲方确认满足发货条件后支付合同总价的{{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t>（3）到货款：乙方按约将本合同项下全部设备运抵至交货地点后15个工作日内，甲方向乙方支付合同总价的{{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t>（4）验收款：本合同项下所有设备（含增补项）安装、调试完成，经质量、性能验收合格并稳定运行2个月后，甲方向乙方支付合同总价的{{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t>（5）质保金：剩余合同总价的{{ warrantyDepositRate }}%作为质保金，质保期满且运行无问题，甲方出具《质保期满验收合格证明》后5个工作日内，扣除乙方应承担的违约金、罚款等费用（如有）后无息支付给乙方。</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双方应签订增补合同，增补合同的支付条款需与原合同一致</w:t>
      </w:r>
      <w:r>
        <w:rPr>
          <w:rFonts w:hint="eastAsia" w:ascii="Times New Roman" w:hAnsi="Times New Roman" w:eastAsia="仿宋" w:cs="Times New Roman"/>
          <w:color w:val="auto"/>
          <w:szCs w:val="21"/>
          <w:highlight w:val="none"/>
          <w:lang w:eastAsia="zh-CN"/>
        </w:rPr>
        <w:t>，</w:t>
      </w:r>
      <w:r>
        <w:rPr>
          <w:rFonts w:hint="eastAsia" w:ascii="Times New Roman" w:hAnsi="Times New Roman" w:eastAsia="仿宋" w:cs="Times New Roman"/>
          <w:color w:val="auto"/>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乙方在收款前应向甲方开具正规的{{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color w:val="auto"/>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乙方指派{{ supplierRepresentativeName }}（身份证号码：{{ supplierRepresentativeIdNo }}、联系电话{{ supplierRepresentativePhone }}、联系地址{{ supplierRepresentativeAddress }}、邮箱{{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若导致甲方向第三方进行赔偿的，乙方有义务最终承担该赔偿金以及其他费用</w:t>
      </w:r>
      <w:r>
        <w:rPr>
          <w:rFonts w:hint="eastAsia" w:ascii="Times New Roman" w:hAnsi="Times New Roman" w:eastAsia="仿宋" w:cs="Times New Roman"/>
          <w:color w:val="auto"/>
          <w:szCs w:val="21"/>
          <w:highlight w:val="none"/>
        </w:rPr>
        <w:t>。</w:t>
      </w:r>
    </w:p>
    <w:p w14:paraId="2625AB4C">
      <w:pPr>
        <w:pStyle w:val="2"/>
        <w:ind w:left="105" w:leftChars="50"/>
        <w:rPr>
          <w:color w:val="auto"/>
          <w:highlight w:val="none"/>
        </w:rPr>
      </w:pPr>
      <w:r>
        <w:rPr>
          <w:color w:val="auto"/>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乙方迟延交货（发错货、缺漏货视为未按期交货）的，每逾期1天，应按合同总价的</w:t>
      </w:r>
      <w:r>
        <w:rPr>
          <w:rFonts w:hint="eastAsia" w:ascii="Times New Roman" w:hAnsi="Times New Roman" w:eastAsia="仿宋" w:cs="Times New Roman"/>
          <w:color w:val="auto"/>
          <w:szCs w:val="21"/>
          <w:highlight w:val="none"/>
        </w:rPr>
        <w:t>千分之三</w:t>
      </w:r>
      <w:r>
        <w:rPr>
          <w:rFonts w:ascii="Times New Roman" w:hAnsi="Times New Roman" w:eastAsia="仿宋" w:cs="Times New Roman"/>
          <w:color w:val="auto"/>
          <w:szCs w:val="21"/>
          <w:highlight w:val="none"/>
        </w:rPr>
        <w:t>每日计算违约金，</w:t>
      </w:r>
      <w:r>
        <w:rPr>
          <w:rFonts w:hint="eastAsia" w:ascii="Times New Roman" w:hAnsi="Times New Roman" w:eastAsia="仿宋" w:cs="Times New Roman"/>
          <w:color w:val="auto"/>
          <w:szCs w:val="21"/>
          <w:highlight w:val="none"/>
        </w:rPr>
        <w:t>违约金不足以弥补</w:t>
      </w:r>
      <w:r>
        <w:rPr>
          <w:rFonts w:ascii="Times New Roman" w:hAnsi="Times New Roman" w:eastAsia="仿宋" w:cs="Times New Roman"/>
          <w:color w:val="auto"/>
          <w:szCs w:val="21"/>
          <w:highlight w:val="none"/>
        </w:rPr>
        <w:t>甲方损失的，</w:t>
      </w:r>
      <w:bookmarkStart w:id="2" w:name="OLE_LINK20"/>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应</w:t>
      </w:r>
      <w:r>
        <w:rPr>
          <w:rFonts w:ascii="Times New Roman" w:hAnsi="Times New Roman" w:eastAsia="仿宋" w:cs="Times New Roman"/>
          <w:color w:val="auto"/>
          <w:szCs w:val="21"/>
          <w:highlight w:val="none"/>
        </w:rPr>
        <w:t>另行承担赔偿责任。</w:t>
      </w:r>
      <w:bookmarkEnd w:id="2"/>
      <w:r>
        <w:rPr>
          <w:rFonts w:ascii="Times New Roman" w:hAnsi="Times New Roman" w:eastAsia="仿宋" w:cs="Times New Roman"/>
          <w:color w:val="auto"/>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Times New Roman" w:hAnsi="Times New Roman" w:eastAsia="仿宋" w:cs="Times New Roman"/>
          <w:color w:val="auto"/>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color w:val="auto"/>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乙方对</w:t>
      </w:r>
      <w:r>
        <w:rPr>
          <w:rFonts w:hint="eastAsia" w:ascii="Times New Roman" w:hAnsi="Times New Roman" w:eastAsia="仿宋" w:cs="Times New Roman"/>
          <w:color w:val="auto"/>
          <w:szCs w:val="21"/>
          <w:highlight w:val="none"/>
        </w:rPr>
        <w:t>因履行</w:t>
      </w:r>
      <w:r>
        <w:rPr>
          <w:rFonts w:ascii="Times New Roman" w:hAnsi="Times New Roman" w:eastAsia="仿宋" w:cs="Times New Roman"/>
          <w:color w:val="auto"/>
          <w:szCs w:val="21"/>
          <w:highlight w:val="none"/>
        </w:rPr>
        <w:t>本合同</w:t>
      </w:r>
      <w:r>
        <w:rPr>
          <w:rFonts w:hint="eastAsia" w:ascii="Times New Roman" w:hAnsi="Times New Roman" w:eastAsia="仿宋" w:cs="Times New Roman"/>
          <w:color w:val="auto"/>
          <w:szCs w:val="21"/>
          <w:highlight w:val="none"/>
        </w:rPr>
        <w:t>获取的</w:t>
      </w:r>
      <w:r>
        <w:rPr>
          <w:rFonts w:ascii="Times New Roman" w:hAnsi="Times New Roman" w:eastAsia="仿宋" w:cs="Times New Roman"/>
          <w:color w:val="auto"/>
          <w:szCs w:val="21"/>
          <w:highlight w:val="none"/>
        </w:rPr>
        <w:t>甲方未予公开的信息</w:t>
      </w:r>
      <w:r>
        <w:rPr>
          <w:rFonts w:hint="eastAsia" w:ascii="Times New Roman" w:hAnsi="Times New Roman" w:eastAsia="仿宋" w:cs="Times New Roman"/>
          <w:color w:val="auto"/>
          <w:szCs w:val="21"/>
          <w:highlight w:val="none"/>
        </w:rPr>
        <w:t>，以及</w:t>
      </w:r>
      <w:r>
        <w:rPr>
          <w:rFonts w:ascii="Times New Roman" w:hAnsi="Times New Roman" w:eastAsia="仿宋" w:cs="Times New Roman"/>
          <w:color w:val="auto"/>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auto"/>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auto"/>
          <w:szCs w:val="21"/>
          <w:highlight w:val="none"/>
        </w:rPr>
        <w:t>。</w:t>
      </w:r>
    </w:p>
    <w:p w14:paraId="2625AB59">
      <w:pPr>
        <w:pStyle w:val="2"/>
        <w:ind w:left="105" w:leftChars="50"/>
        <w:rPr>
          <w:color w:val="auto"/>
          <w:highlight w:val="none"/>
        </w:rPr>
      </w:pPr>
      <w:r>
        <w:rPr>
          <w:color w:val="auto"/>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凡因</w:t>
      </w:r>
      <w:r>
        <w:rPr>
          <w:rFonts w:hint="eastAsia" w:ascii="Times New Roman" w:hAnsi="Times New Roman" w:eastAsia="仿宋" w:cs="Times New Roman"/>
          <w:color w:val="auto"/>
          <w:szCs w:val="21"/>
          <w:highlight w:val="none"/>
        </w:rPr>
        <w:t>自然灾害、政府行为、行业环境重大变化等</w:t>
      </w:r>
      <w:r>
        <w:rPr>
          <w:rFonts w:ascii="Times New Roman" w:hAnsi="Times New Roman" w:eastAsia="仿宋" w:cs="Times New Roman"/>
          <w:color w:val="auto"/>
          <w:szCs w:val="21"/>
          <w:highlight w:val="none"/>
        </w:rPr>
        <w:t>不可抗力导致</w:t>
      </w:r>
      <w:r>
        <w:rPr>
          <w:rFonts w:hint="eastAsia" w:ascii="Times New Roman" w:hAnsi="Times New Roman" w:eastAsia="仿宋" w:cs="Times New Roman"/>
          <w:color w:val="auto"/>
          <w:szCs w:val="21"/>
          <w:highlight w:val="none"/>
        </w:rPr>
        <w:t>一方</w:t>
      </w:r>
      <w:r>
        <w:rPr>
          <w:rFonts w:ascii="Times New Roman" w:hAnsi="Times New Roman" w:eastAsia="仿宋" w:cs="Times New Roman"/>
          <w:color w:val="auto"/>
          <w:szCs w:val="21"/>
          <w:highlight w:val="none"/>
        </w:rPr>
        <w:t>不能依合同履行其义务时，</w:t>
      </w:r>
      <w:r>
        <w:rPr>
          <w:rFonts w:hint="eastAsia" w:ascii="Times New Roman" w:hAnsi="Times New Roman" w:eastAsia="仿宋" w:cs="Times New Roman"/>
          <w:color w:val="auto"/>
          <w:szCs w:val="21"/>
          <w:highlight w:val="none"/>
        </w:rPr>
        <w:t>双</w:t>
      </w:r>
      <w:r>
        <w:rPr>
          <w:rFonts w:ascii="Times New Roman" w:hAnsi="Times New Roman" w:eastAsia="仿宋" w:cs="Times New Roman"/>
          <w:color w:val="auto"/>
          <w:szCs w:val="21"/>
          <w:highlight w:val="none"/>
        </w:rPr>
        <w:t>方均不负违约责任，但必须及时告知</w:t>
      </w:r>
      <w:r>
        <w:rPr>
          <w:rFonts w:hint="eastAsia" w:ascii="Times New Roman" w:hAnsi="Times New Roman" w:eastAsia="仿宋" w:cs="Times New Roman"/>
          <w:color w:val="auto"/>
          <w:szCs w:val="21"/>
          <w:highlight w:val="none"/>
        </w:rPr>
        <w:t>另一</w:t>
      </w:r>
      <w:r>
        <w:rPr>
          <w:rFonts w:ascii="Times New Roman" w:hAnsi="Times New Roman" w:eastAsia="仿宋" w:cs="Times New Roman"/>
          <w:color w:val="auto"/>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如果不可抗力事件造成迟延</w:t>
      </w:r>
      <w:r>
        <w:rPr>
          <w:rFonts w:hint="eastAsia" w:ascii="Times New Roman" w:hAnsi="Times New Roman" w:eastAsia="仿宋" w:cs="Times New Roman"/>
          <w:color w:val="auto"/>
          <w:szCs w:val="21"/>
          <w:highlight w:val="none"/>
        </w:rPr>
        <w:t>发货</w:t>
      </w:r>
      <w:r>
        <w:rPr>
          <w:rFonts w:ascii="Times New Roman" w:hAnsi="Times New Roman" w:eastAsia="仿宋" w:cs="Times New Roman"/>
          <w:color w:val="auto"/>
          <w:szCs w:val="21"/>
          <w:highlight w:val="none"/>
        </w:rPr>
        <w:t>超过</w:t>
      </w:r>
      <w:r>
        <w:rPr>
          <w:rFonts w:hint="eastAsia" w:ascii="Times New Roman" w:hAnsi="Times New Roman" w:eastAsia="仿宋" w:cs="Times New Roman"/>
          <w:color w:val="auto"/>
          <w:szCs w:val="21"/>
          <w:highlight w:val="none"/>
        </w:rPr>
        <w:t>30日</w:t>
      </w:r>
      <w:r>
        <w:rPr>
          <w:rFonts w:ascii="Times New Roman" w:hAnsi="Times New Roman" w:eastAsia="仿宋" w:cs="Times New Roman"/>
          <w:color w:val="auto"/>
          <w:szCs w:val="21"/>
          <w:highlight w:val="none"/>
        </w:rPr>
        <w:t>，甲方有权解除本合同且无需承担违约责任。</w:t>
      </w:r>
    </w:p>
    <w:p w14:paraId="2625AB5D">
      <w:pPr>
        <w:pStyle w:val="2"/>
        <w:ind w:left="105" w:leftChars="50"/>
        <w:rPr>
          <w:color w:val="auto"/>
          <w:highlight w:val="none"/>
        </w:rPr>
      </w:pPr>
      <w:r>
        <w:rPr>
          <w:color w:val="auto"/>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color w:val="auto"/>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本合同项下通知应以书面作出，</w:t>
      </w:r>
      <w:r>
        <w:rPr>
          <w:rFonts w:hint="eastAsia" w:ascii="Times New Roman" w:hAnsi="Times New Roman" w:eastAsia="仿宋" w:cs="Times New Roman"/>
          <w:color w:val="auto"/>
          <w:szCs w:val="21"/>
          <w:highlight w:val="none"/>
        </w:rPr>
        <w:t>送达至</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或乙方</w:t>
      </w:r>
      <w:r>
        <w:rPr>
          <w:rFonts w:ascii="Times New Roman" w:hAnsi="Times New Roman" w:eastAsia="仿宋" w:cs="Times New Roman"/>
          <w:color w:val="auto"/>
          <w:szCs w:val="21"/>
          <w:highlight w:val="none"/>
        </w:rPr>
        <w:t>代表人的地址或邮箱</w:t>
      </w:r>
      <w:r>
        <w:rPr>
          <w:rFonts w:hint="eastAsia" w:ascii="Times New Roman" w:hAnsi="Times New Roman" w:eastAsia="仿宋" w:cs="Times New Roman"/>
          <w:color w:val="auto"/>
          <w:szCs w:val="21"/>
          <w:highlight w:val="none"/>
        </w:rPr>
        <w:t>，或通过短信、微信等通讯方式送达</w:t>
      </w:r>
      <w:r>
        <w:rPr>
          <w:rFonts w:ascii="Times New Roman" w:hAnsi="Times New Roman" w:eastAsia="仿宋" w:cs="Times New Roman"/>
          <w:color w:val="auto"/>
          <w:szCs w:val="21"/>
          <w:highlight w:val="none"/>
        </w:rPr>
        <w:t>。乙方</w:t>
      </w:r>
      <w:r>
        <w:rPr>
          <w:rFonts w:hint="eastAsia" w:ascii="Times New Roman" w:hAnsi="Times New Roman" w:eastAsia="仿宋" w:cs="Times New Roman"/>
          <w:color w:val="auto"/>
          <w:szCs w:val="21"/>
          <w:highlight w:val="none"/>
        </w:rPr>
        <w:t>或</w:t>
      </w:r>
      <w:r>
        <w:rPr>
          <w:rFonts w:ascii="Times New Roman" w:hAnsi="Times New Roman" w:eastAsia="仿宋" w:cs="Times New Roman"/>
          <w:color w:val="auto"/>
          <w:szCs w:val="21"/>
          <w:highlight w:val="none"/>
        </w:rPr>
        <w:t>代表人</w:t>
      </w:r>
      <w:r>
        <w:rPr>
          <w:rFonts w:hint="eastAsia" w:ascii="Times New Roman" w:hAnsi="Times New Roman" w:eastAsia="仿宋" w:cs="Times New Roman"/>
          <w:color w:val="auto"/>
          <w:szCs w:val="21"/>
          <w:highlight w:val="none"/>
        </w:rPr>
        <w:t>的</w:t>
      </w:r>
      <w:r>
        <w:rPr>
          <w:rFonts w:ascii="Times New Roman" w:hAnsi="Times New Roman" w:eastAsia="仿宋" w:cs="Times New Roman"/>
          <w:color w:val="auto"/>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auto"/>
          <w:szCs w:val="21"/>
          <w:highlight w:val="none"/>
        </w:rPr>
        <w:t>对甲方的</w:t>
      </w:r>
      <w:r>
        <w:rPr>
          <w:rFonts w:ascii="Times New Roman" w:hAnsi="Times New Roman" w:eastAsia="仿宋" w:cs="Times New Roman"/>
          <w:color w:val="auto"/>
          <w:szCs w:val="21"/>
          <w:highlight w:val="none"/>
        </w:rPr>
        <w:t>索赔</w:t>
      </w:r>
      <w:r>
        <w:rPr>
          <w:rFonts w:hint="eastAsia" w:ascii="Times New Roman" w:hAnsi="Times New Roman" w:eastAsia="仿宋" w:cs="Times New Roman"/>
          <w:color w:val="auto"/>
          <w:szCs w:val="21"/>
          <w:highlight w:val="none"/>
        </w:rPr>
        <w:t>等</w:t>
      </w:r>
      <w:r>
        <w:rPr>
          <w:rFonts w:ascii="Times New Roman" w:hAnsi="Times New Roman" w:eastAsia="仿宋" w:cs="Times New Roman"/>
          <w:color w:val="auto"/>
          <w:szCs w:val="21"/>
          <w:highlight w:val="none"/>
        </w:rPr>
        <w:t>任何损失</w:t>
      </w:r>
      <w:r>
        <w:rPr>
          <w:rFonts w:hint="eastAsia" w:ascii="Times New Roman" w:hAnsi="Times New Roman" w:eastAsia="仿宋" w:cs="Times New Roman"/>
          <w:color w:val="auto"/>
          <w:szCs w:val="21"/>
          <w:highlight w:val="none"/>
        </w:rPr>
        <w:t>，</w:t>
      </w:r>
      <w:r>
        <w:rPr>
          <w:rFonts w:ascii="Times New Roman" w:hAnsi="Times New Roman" w:eastAsia="仿宋" w:cs="Times New Roman"/>
          <w:color w:val="auto"/>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Times New Roman" w:hAnsi="Times New Roman" w:eastAsia="仿宋" w:cs="Times New Roman"/>
          <w:color w:val="auto"/>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b/>
          <w:bCs/>
          <w:color w:val="auto"/>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t>甲方：浙江沃乐科技股份有限公司          乙方：{{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t>授权代表：{{ buyerAuthorizedRepresentative }}                                       授权代表：{{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t>日期：{{ signatureYear }}年{{ signatureMonth }}月{{ signatureDay }}日                       日期：{{ signatureYear }}年{{ signatureMonth }}月{{ signatureDay }}日</w:t>
      </w:r>
    </w:p>
    <w:p w14:paraId="5393D1B1">
      <w:pPr>
        <w:spacing w:line="300" w:lineRule="auto"/>
        <w:rPr>
          <w:rFonts w:hint="eastAsia" w:eastAsia="仿宋"/>
          <w:b/>
          <w:bCs/>
          <w:color w:val="auto"/>
          <w:szCs w:val="21"/>
          <w:highlight w:val="none"/>
          <w:lang w:val="en-US" w:eastAsia="zh-CN"/>
        </w:rPr>
      </w:pPr>
      <w:r>
        <w:rPr>
          <w:rFonts w:hint="eastAsia" w:eastAsia="仿宋"/>
          <w:b/>
          <w:bCs/>
          <w:color w:val="auto"/>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