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37B0F">
      <w:pPr>
        <w:spacing w:line="345" w:lineRule="exact"/>
        <w:ind w:left="315"/>
        <w:jc w:val="center"/>
        <w:rPr>
          <w:rFonts w:eastAsia="仿宋"/>
          <w:b/>
          <w:color w:val="000000"/>
          <w:sz w:val="32"/>
          <w:szCs w:val="32"/>
        </w:rPr>
      </w:pPr>
      <w:r>
        <w:rPr>
          <w:rFonts w:eastAsia="仿宋"/>
          <w:b/>
          <w:color w:val="000000"/>
          <w:sz w:val="32"/>
          <w:szCs w:val="32"/>
        </w:rPr>
        <w:t>采购合同</w:t>
      </w:r>
    </w:p>
    <w:p w14:paraId="5A08ACD8">
      <w:pPr>
        <w:spacing w:line="345" w:lineRule="exact"/>
        <w:ind w:left="315"/>
        <w:jc w:val="center"/>
        <w:rPr>
          <w:rFonts w:hint="eastAsia" w:eastAsia="仿宋"/>
          <w:b/>
          <w:color w:val="000000"/>
          <w:sz w:val="32"/>
          <w:szCs w:val="32"/>
          <w:highlight w:val="yellow"/>
          <w:lang w:eastAsia="zh-CN"/>
        </w:rPr>
      </w:pPr>
      <w:r>
        <w:rPr>
          <w:rFonts w:hint="eastAsia" w:eastAsia="仿宋"/>
          <w:b/>
          <w:color w:val="000000"/>
          <w:sz w:val="32"/>
          <w:szCs w:val="32"/>
          <w:highlight w:val="yellow"/>
          <w:lang w:eastAsia="zh-CN"/>
        </w:rPr>
        <w:t>（金额3万以下）</w:t>
      </w:r>
    </w:p>
    <w:p w14:paraId="0280AEEC">
      <w:pPr>
        <w:spacing w:line="345" w:lineRule="exact"/>
        <w:ind w:left="315"/>
        <w:jc w:val="center"/>
        <w:rPr>
          <w:rFonts w:eastAsia="仿宋"/>
          <w:b/>
          <w:color w:val="000000"/>
          <w:sz w:val="32"/>
          <w:szCs w:val="32"/>
          <w:highlight w:val="yellow"/>
        </w:rPr>
      </w:pPr>
    </w:p>
    <w:tbl>
      <w:tblPr>
        <w:tblStyle w:val="3"/>
        <w:tblW w:w="0" w:type="auto"/>
        <w:jc w:val="center"/>
        <w:tblLayout w:type="autofit"/>
        <w:tblCellMar>
          <w:top w:w="0" w:type="dxa"/>
          <w:left w:w="108" w:type="dxa"/>
          <w:bottom w:w="0" w:type="dxa"/>
          <w:right w:w="108" w:type="dxa"/>
        </w:tblCellMar>
      </w:tblPr>
      <w:tblGrid>
        <w:gridCol w:w="4621"/>
        <w:gridCol w:w="4621"/>
      </w:tblGrid>
      <w:tr w14:paraId="3915C801">
        <w:trPr>
          <w:jc w:val="center"/>
        </w:trPr>
        <w:tc>
          <w:tcPr>
            <w:tcW w:w="4621" w:type="dxa"/>
          </w:tcPr>
          <w:p w14:paraId="37C0DD50">
            <w:pPr>
              <w:keepNext w:val="0"/>
              <w:keepLines w:val="0"/>
              <w:pageBreakBefore w:val="0"/>
              <w:kinsoku/>
              <w:wordWrap/>
              <w:overflowPunct/>
              <w:topLinePunct w:val="0"/>
              <w:autoSpaceDE/>
              <w:autoSpaceDN/>
              <w:bidi w:val="0"/>
              <w:adjustRightInd/>
              <w:spacing w:line="336" w:lineRule="auto"/>
              <w:jc w:val="left"/>
              <w:rPr>
                <w:rFonts w:eastAsia="仿宋"/>
                <w:color w:val="000000"/>
                <w:sz w:val="24"/>
                <w:szCs w:val="24"/>
              </w:rPr>
            </w:pPr>
            <w:r>
              <w:rPr>
                <w:rFonts w:eastAsia="仿宋"/>
                <w:color w:val="000000"/>
                <w:sz w:val="24"/>
                <w:szCs w:val="24"/>
              </w:rPr>
              <w:t>合同编号：{{ contractNo }}</w:t>
            </w:r>
          </w:p>
        </w:tc>
        <w:tc>
          <w:tcPr>
            <w:tcW w:w="4621" w:type="dxa"/>
          </w:tcPr>
          <w:p w14:paraId="2B098DA0">
            <w:pPr>
              <w:keepNext w:val="0"/>
              <w:keepLines w:val="0"/>
              <w:pageBreakBefore w:val="0"/>
              <w:kinsoku/>
              <w:wordWrap/>
              <w:overflowPunct/>
              <w:topLinePunct w:val="0"/>
              <w:autoSpaceDE/>
              <w:autoSpaceDN/>
              <w:bidi w:val="0"/>
              <w:adjustRightInd/>
              <w:spacing w:line="336" w:lineRule="auto"/>
              <w:jc w:val="left"/>
              <w:rPr>
                <w:rFonts w:eastAsia="仿宋"/>
                <w:color w:val="000000"/>
                <w:sz w:val="24"/>
                <w:szCs w:val="24"/>
              </w:rPr>
            </w:pPr>
            <w:r>
              <w:rPr>
                <w:rFonts w:eastAsia="仿宋"/>
                <w:color w:val="000000"/>
                <w:sz w:val="24"/>
                <w:szCs w:val="24"/>
              </w:rPr>
              <w:t>签订地点：</w:t>
            </w:r>
            <w:r>
              <w:rPr>
                <w:rFonts w:hint="eastAsia" w:eastAsia="仿宋"/>
                <w:color w:val="000000"/>
                <w:sz w:val="24"/>
                <w:szCs w:val="24"/>
              </w:rPr>
              <w:t>杭州市余杭</w:t>
            </w:r>
          </w:p>
        </w:tc>
      </w:tr>
      <w:tr w14:paraId="39735CB2">
        <w:trPr>
          <w:jc w:val="center"/>
        </w:trPr>
        <w:tc>
          <w:tcPr>
            <w:tcW w:w="4621" w:type="dxa"/>
          </w:tcPr>
          <w:p w14:paraId="1BB546CE">
            <w:pPr>
              <w:keepNext w:val="0"/>
              <w:keepLines w:val="0"/>
              <w:pageBreakBefore w:val="0"/>
              <w:kinsoku/>
              <w:wordWrap/>
              <w:overflowPunct/>
              <w:topLinePunct w:val="0"/>
              <w:autoSpaceDE/>
              <w:autoSpaceDN/>
              <w:bidi w:val="0"/>
              <w:adjustRightInd/>
              <w:spacing w:line="336" w:lineRule="auto"/>
              <w:jc w:val="left"/>
              <w:rPr>
                <w:rFonts w:hint="default" w:eastAsia="仿宋"/>
                <w:color w:val="000000"/>
                <w:sz w:val="24"/>
                <w:szCs w:val="24"/>
                <w:lang w:val="en-US" w:eastAsia="zh-CN"/>
              </w:rPr>
            </w:pPr>
            <w:r>
              <w:rPr>
                <w:rFonts w:eastAsia="仿宋"/>
                <w:color w:val="000000"/>
                <w:sz w:val="24"/>
                <w:szCs w:val="24"/>
              </w:rPr>
              <w:t>签订日期：{{ signYear }}年{{ signMonth }}月{{ signDay }}日</w:t>
            </w:r>
          </w:p>
        </w:tc>
        <w:tc>
          <w:tcPr>
            <w:tcW w:w="4621" w:type="dxa"/>
          </w:tcPr>
          <w:p w14:paraId="115F329C">
            <w:pPr>
              <w:keepNext w:val="0"/>
              <w:keepLines w:val="0"/>
              <w:pageBreakBefore w:val="0"/>
              <w:kinsoku/>
              <w:wordWrap/>
              <w:overflowPunct/>
              <w:topLinePunct w:val="0"/>
              <w:autoSpaceDE/>
              <w:autoSpaceDN/>
              <w:bidi w:val="0"/>
              <w:adjustRightInd/>
              <w:spacing w:line="336" w:lineRule="auto"/>
              <w:ind w:firstLine="1920" w:firstLineChars="800"/>
              <w:jc w:val="left"/>
              <w:rPr>
                <w:rFonts w:eastAsia="仿宋"/>
                <w:color w:val="000000"/>
                <w:sz w:val="24"/>
                <w:szCs w:val="24"/>
              </w:rPr>
            </w:pPr>
          </w:p>
        </w:tc>
      </w:tr>
    </w:tbl>
    <w:p w14:paraId="092397EA">
      <w:pPr>
        <w:keepNext w:val="0"/>
        <w:keepLines w:val="0"/>
        <w:pageBreakBefore w:val="0"/>
        <w:kinsoku/>
        <w:wordWrap/>
        <w:overflowPunct/>
        <w:topLinePunct w:val="0"/>
        <w:autoSpaceDE/>
        <w:autoSpaceDN/>
        <w:bidi w:val="0"/>
        <w:adjustRightInd/>
        <w:spacing w:line="336" w:lineRule="auto"/>
        <w:ind w:right="210"/>
        <w:jc w:val="right"/>
        <w:rPr>
          <w:rFonts w:eastAsia="仿宋"/>
          <w:color w:val="000000"/>
          <w:sz w:val="24"/>
          <w:szCs w:val="24"/>
        </w:rPr>
      </w:pPr>
      <w:r>
        <w:rPr>
          <w:rFonts w:eastAsia="仿宋"/>
          <w:color w:val="000000"/>
          <w:sz w:val="24"/>
          <w:szCs w:val="24"/>
        </w:rPr>
        <w:t xml:space="preserve">                                                              </w:t>
      </w:r>
    </w:p>
    <w:tbl>
      <w:tblPr>
        <w:tblStyle w:val="3"/>
        <w:tblW w:w="10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846"/>
      </w:tblGrid>
      <w:tr w14:paraId="711BA186">
        <w:trPr>
          <w:jc w:val="center"/>
        </w:trPr>
        <w:tc>
          <w:tcPr>
            <w:tcW w:w="5365" w:type="dxa"/>
            <w:tcBorders>
              <w:top w:val="nil"/>
              <w:left w:val="nil"/>
              <w:bottom w:val="nil"/>
              <w:right w:val="nil"/>
            </w:tcBorders>
            <w:shd w:val="clear" w:color="auto" w:fill="FFFFFF"/>
          </w:tcPr>
          <w:p w14:paraId="4B3BEA8E">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eastAsia="zh-CN"/>
              </w:rPr>
            </w:pPr>
            <w:r>
              <w:rPr>
                <w:rFonts w:eastAsia="仿宋"/>
                <w:b/>
                <w:color w:val="000000"/>
                <w:sz w:val="24"/>
                <w:szCs w:val="24"/>
              </w:rPr>
              <w:t>需方（甲方）</w:t>
            </w:r>
            <w:r>
              <w:rPr>
                <w:rFonts w:eastAsia="仿宋"/>
                <w:color w:val="000000"/>
                <w:sz w:val="24"/>
                <w:szCs w:val="24"/>
              </w:rPr>
              <w:t>：</w:t>
            </w:r>
            <w:r>
              <w:rPr>
                <w:rFonts w:hint="eastAsia" w:eastAsia="仿宋"/>
                <w:color w:val="000000"/>
                <w:sz w:val="24"/>
                <w:szCs w:val="24"/>
                <w:lang w:eastAsia="zh-CN"/>
              </w:rPr>
              <w:t>浙江沃乐科技</w:t>
            </w:r>
            <w:r>
              <w:rPr>
                <w:rFonts w:hint="eastAsia" w:eastAsia="仿宋"/>
                <w:color w:val="000000"/>
                <w:sz w:val="24"/>
                <w:szCs w:val="24"/>
                <w:lang w:val="en-US" w:eastAsia="zh-CN"/>
              </w:rPr>
              <w:t>股份</w:t>
            </w:r>
            <w:r>
              <w:rPr>
                <w:rFonts w:hint="eastAsia" w:eastAsia="仿宋"/>
                <w:color w:val="000000"/>
                <w:sz w:val="24"/>
                <w:szCs w:val="24"/>
                <w:lang w:eastAsia="zh-CN"/>
              </w:rPr>
              <w:t>有限公司</w:t>
            </w:r>
          </w:p>
          <w:p w14:paraId="1489A794">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val="en-US" w:eastAsia="zh-CN"/>
              </w:rPr>
            </w:pPr>
            <w:r>
              <w:rPr>
                <w:rFonts w:hint="eastAsia" w:eastAsia="仿宋"/>
                <w:color w:val="000000"/>
                <w:sz w:val="24"/>
                <w:szCs w:val="24"/>
                <w:lang w:val="en-US" w:eastAsia="zh-CN"/>
              </w:rPr>
              <w:t>联系</w:t>
            </w:r>
            <w:r>
              <w:rPr>
                <w:rFonts w:eastAsia="仿宋"/>
                <w:color w:val="000000"/>
                <w:sz w:val="24"/>
                <w:szCs w:val="24"/>
              </w:rPr>
              <w:t xml:space="preserve">地址： </w:t>
            </w:r>
            <w:r>
              <w:rPr>
                <w:rFonts w:hint="eastAsia" w:eastAsia="仿宋"/>
                <w:color w:val="000000"/>
                <w:spacing w:val="-12"/>
                <w:sz w:val="24"/>
                <w:szCs w:val="24"/>
              </w:rPr>
              <w:t>浙江省杭州市余杭区仓前街道仓兴街397号18幢5层</w:t>
            </w:r>
          </w:p>
          <w:p w14:paraId="28170ACE">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开户银行：</w:t>
            </w:r>
            <w:r>
              <w:rPr>
                <w:rFonts w:hint="eastAsia" w:eastAsia="仿宋"/>
                <w:color w:val="000000"/>
                <w:sz w:val="24"/>
                <w:szCs w:val="24"/>
              </w:rPr>
              <w:t>上海浦东发展银行股份有限公司杭州余杭支行</w:t>
            </w:r>
          </w:p>
          <w:p w14:paraId="70154F25">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eastAsia="zh-CN"/>
              </w:rPr>
              <w:t>银行账号</w:t>
            </w:r>
            <w:r>
              <w:rPr>
                <w:rFonts w:eastAsia="仿宋"/>
                <w:color w:val="000000"/>
                <w:sz w:val="24"/>
                <w:szCs w:val="24"/>
              </w:rPr>
              <w:t xml:space="preserve">：95260078801100000902 </w:t>
            </w:r>
          </w:p>
          <w:p w14:paraId="57F6AA45">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税号： 91330110MA2HYAEK1T(1/1)</w:t>
            </w:r>
          </w:p>
          <w:p w14:paraId="1214387B">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电话（Tel）：{{ buyerPhone }}</w:t>
            </w:r>
          </w:p>
          <w:p w14:paraId="468516C6">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传真（Fax）：{{ buyerFax }}</w:t>
            </w:r>
          </w:p>
        </w:tc>
        <w:tc>
          <w:tcPr>
            <w:tcW w:w="4846" w:type="dxa"/>
            <w:tcBorders>
              <w:top w:val="nil"/>
              <w:left w:val="nil"/>
              <w:bottom w:val="nil"/>
              <w:right w:val="nil"/>
            </w:tcBorders>
            <w:shd w:val="clear" w:color="auto" w:fill="FFFFFF"/>
          </w:tcPr>
          <w:p w14:paraId="698F4543">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b/>
                <w:color w:val="000000"/>
                <w:sz w:val="24"/>
                <w:szCs w:val="24"/>
              </w:rPr>
              <w:t>供方（乙方）：{{ supplierName }}</w:t>
            </w:r>
          </w:p>
          <w:p w14:paraId="37452454">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val="en-US" w:eastAsia="zh-CN"/>
              </w:rPr>
              <w:t>联系地址：{{ supplierAddress }}</w:t>
            </w:r>
          </w:p>
          <w:p w14:paraId="0EE8885A">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开户银行：{{ supplierBank }}</w:t>
            </w:r>
          </w:p>
          <w:p w14:paraId="0739EB03">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eastAsia="zh-CN"/>
              </w:rPr>
              <w:t>银行账号：{{ supplierAccount }}</w:t>
            </w:r>
          </w:p>
          <w:p w14:paraId="6554CA5D">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eastAsia="zh-CN"/>
              </w:rPr>
            </w:pPr>
            <w:r>
              <w:rPr>
                <w:rFonts w:eastAsia="仿宋"/>
                <w:color w:val="000000"/>
                <w:sz w:val="24"/>
                <w:szCs w:val="24"/>
              </w:rPr>
              <w:t>税号：{{ supplierTaxNo }}</w:t>
            </w:r>
          </w:p>
          <w:p w14:paraId="254A2D5E">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电话（Tel）</w:t>
            </w:r>
            <w:bookmarkStart w:id="0" w:name="_GoBack"/>
            <w:bookmarkEnd w:id="0"/>
            <w:r>
              <w:rPr>
                <w:rFonts w:eastAsia="仿宋"/>
                <w:color w:val="000000"/>
                <w:sz w:val="24"/>
                <w:szCs w:val="24"/>
              </w:rPr>
              <w:t>：{{ supplierPhone }}</w:t>
            </w:r>
          </w:p>
          <w:p w14:paraId="19E3C82B">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传真（Fax）：{{ supplierFax }}</w:t>
            </w:r>
          </w:p>
          <w:p w14:paraId="6024B95A">
            <w:pPr>
              <w:keepNext w:val="0"/>
              <w:keepLines w:val="0"/>
              <w:pageBreakBefore w:val="0"/>
              <w:kinsoku/>
              <w:wordWrap/>
              <w:overflowPunct/>
              <w:topLinePunct w:val="0"/>
              <w:autoSpaceDE/>
              <w:autoSpaceDN/>
              <w:bidi w:val="0"/>
              <w:adjustRightInd/>
              <w:snapToGrid w:val="0"/>
              <w:spacing w:line="336" w:lineRule="auto"/>
              <w:ind w:left="4725" w:right="-334" w:rightChars="-159" w:hanging="5421" w:hangingChars="2250"/>
              <w:rPr>
                <w:rFonts w:eastAsia="仿宋"/>
                <w:b/>
                <w:color w:val="000000"/>
                <w:sz w:val="24"/>
                <w:szCs w:val="24"/>
              </w:rPr>
            </w:pPr>
          </w:p>
        </w:tc>
      </w:tr>
    </w:tbl>
    <w:p w14:paraId="423AA1D9">
      <w:pPr>
        <w:keepNext w:val="0"/>
        <w:keepLines w:val="0"/>
        <w:pageBreakBefore w:val="0"/>
        <w:kinsoku/>
        <w:wordWrap/>
        <w:overflowPunct/>
        <w:topLinePunct w:val="0"/>
        <w:autoSpaceDE/>
        <w:autoSpaceDN/>
        <w:bidi w:val="0"/>
        <w:adjustRightInd/>
        <w:spacing w:line="336" w:lineRule="auto"/>
        <w:ind w:firstLine="0" w:firstLineChars="0"/>
        <w:rPr>
          <w:rFonts w:hint="eastAsia" w:eastAsia="仿宋"/>
          <w:color w:val="000000"/>
          <w:sz w:val="24"/>
          <w:szCs w:val="24"/>
          <w:lang w:val="en-US" w:eastAsia="zh-CN"/>
        </w:rPr>
      </w:pPr>
      <w:r>
        <w:rPr>
          <w:rFonts w:hint="eastAsia" w:eastAsia="仿宋"/>
          <w:color w:val="000000"/>
          <w:sz w:val="24"/>
          <w:szCs w:val="24"/>
          <w:lang w:val="en-US" w:eastAsia="zh-CN"/>
        </w:rPr>
        <w:t xml:space="preserve"> </w:t>
      </w:r>
    </w:p>
    <w:p w14:paraId="5A356A53">
      <w:pPr>
        <w:keepNext w:val="0"/>
        <w:keepLines w:val="0"/>
        <w:pageBreakBefore w:val="0"/>
        <w:kinsoku/>
        <w:wordWrap/>
        <w:overflowPunct/>
        <w:topLinePunct w:val="0"/>
        <w:autoSpaceDE/>
        <w:autoSpaceDN/>
        <w:bidi w:val="0"/>
        <w:adjustRightInd/>
        <w:spacing w:line="336" w:lineRule="auto"/>
        <w:ind w:firstLine="480" w:firstLineChars="200"/>
        <w:rPr>
          <w:rFonts w:eastAsia="仿宋"/>
          <w:color w:val="000000"/>
          <w:sz w:val="24"/>
          <w:szCs w:val="24"/>
        </w:rPr>
      </w:pPr>
      <w:r>
        <w:rPr>
          <w:rFonts w:hint="eastAsia" w:eastAsia="仿宋"/>
          <w:color w:val="000000"/>
          <w:sz w:val="24"/>
          <w:szCs w:val="24"/>
          <w:lang w:val="en-US" w:eastAsia="zh-CN"/>
        </w:rPr>
        <w:t>根据《中华人民共和国民法典》等相关法律法规、质量标准和其他规范，就甲方{{ projectName }}项目（下称“项目”）的{{ purchaseSubject }}采购事宜，甲乙双方在平等自愿、诚实信用的基础上达成如下约定，以资共同信守：</w:t>
      </w:r>
    </w:p>
    <w:p w14:paraId="08D12E2C">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lang w:val="en-US" w:eastAsia="zh-CN"/>
        </w:rPr>
      </w:pPr>
      <w:r>
        <w:rPr>
          <w:rFonts w:hint="eastAsia" w:eastAsia="仿宋"/>
          <w:b/>
          <w:bCs/>
          <w:color w:val="000000"/>
          <w:sz w:val="24"/>
          <w:szCs w:val="24"/>
          <w:lang w:val="en-US" w:eastAsia="zh-CN"/>
        </w:rPr>
        <w:t>采购货物</w:t>
      </w:r>
    </w:p>
    <w:p w14:paraId="7EF0ADBD">
      <w:pPr>
        <w:keepNext w:val="0"/>
        <w:keepLines w:val="0"/>
        <w:pageBreakBefore w:val="0"/>
        <w:numPr>
          <w:ilvl w:val="0"/>
          <w:numId w:val="2"/>
        </w:numPr>
        <w:kinsoku/>
        <w:wordWrap/>
        <w:overflowPunct/>
        <w:topLinePunct w:val="0"/>
        <w:autoSpaceDE/>
        <w:autoSpaceDN/>
        <w:bidi w:val="0"/>
        <w:adjustRightInd/>
        <w:spacing w:line="336" w:lineRule="auto"/>
        <w:ind w:firstLine="480" w:firstLineChars="200"/>
        <w:rPr>
          <w:rFonts w:hint="eastAsia" w:eastAsia="仿宋"/>
          <w:color w:val="000000"/>
          <w:sz w:val="24"/>
          <w:szCs w:val="24"/>
          <w:lang w:val="en-US" w:eastAsia="zh-CN"/>
        </w:rPr>
      </w:pPr>
      <w:r>
        <w:rPr>
          <w:rFonts w:hint="eastAsia" w:eastAsia="仿宋"/>
          <w:color w:val="000000"/>
          <w:sz w:val="24"/>
          <w:szCs w:val="24"/>
          <w:lang w:val="en-US" w:eastAsia="zh-CN"/>
        </w:rPr>
        <w:t>货物名称、规格/型号/材质、数量、价格等</w:t>
      </w:r>
    </w:p>
    <w:tbl>
      <w:tblPr>
        <w:tblStyle w:val="3"/>
        <w:tblW w:w="9120" w:type="dxa"/>
        <w:jc w:val="center"/>
        <w:tblLayout w:type="fixed"/>
        <w:tblCellMar>
          <w:top w:w="15" w:type="dxa"/>
          <w:left w:w="15" w:type="dxa"/>
          <w:bottom w:w="15" w:type="dxa"/>
          <w:right w:w="15" w:type="dxa"/>
        </w:tblCellMar>
      </w:tblPr>
      <w:tblGrid>
        <w:gridCol w:w="560"/>
        <w:gridCol w:w="1265"/>
        <w:gridCol w:w="1353"/>
        <w:gridCol w:w="1602"/>
        <w:gridCol w:w="860"/>
        <w:gridCol w:w="1339"/>
        <w:gridCol w:w="1265"/>
        <w:gridCol w:w="876"/>
      </w:tblGrid>
      <w:tr w14:paraId="7E1D1F98">
        <w:trPr>
          <w:trHeight w:val="374"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42B6026F">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序号</w:t>
            </w:r>
          </w:p>
        </w:tc>
        <w:tc>
          <w:tcPr>
            <w:tcW w:w="1265" w:type="dxa"/>
            <w:tcBorders>
              <w:top w:val="single" w:color="000000" w:sz="4" w:space="0"/>
              <w:left w:val="single" w:color="000000" w:sz="4" w:space="0"/>
              <w:bottom w:val="single" w:color="000000" w:sz="4" w:space="0"/>
              <w:right w:val="single" w:color="000000" w:sz="4" w:space="0"/>
            </w:tcBorders>
            <w:vAlign w:val="center"/>
          </w:tcPr>
          <w:p w14:paraId="53BCE88B">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val="en-US" w:eastAsia="zh-CN" w:bidi="ar"/>
              </w:rPr>
              <w:t>货物</w:t>
            </w:r>
            <w:r>
              <w:rPr>
                <w:rFonts w:hint="eastAsia" w:ascii="仿宋" w:hAnsi="仿宋" w:eastAsia="仿宋" w:cs="仿宋"/>
                <w:color w:val="000000"/>
                <w:kern w:val="0"/>
                <w:sz w:val="24"/>
                <w:szCs w:val="24"/>
                <w:lang w:bidi="ar"/>
              </w:rPr>
              <w:t>名称</w:t>
            </w:r>
          </w:p>
        </w:tc>
        <w:tc>
          <w:tcPr>
            <w:tcW w:w="1353" w:type="dxa"/>
            <w:tcBorders>
              <w:top w:val="single" w:color="000000" w:sz="4" w:space="0"/>
              <w:left w:val="single" w:color="000000" w:sz="4" w:space="0"/>
              <w:bottom w:val="single" w:color="000000" w:sz="4" w:space="0"/>
              <w:right w:val="single" w:color="000000" w:sz="4" w:space="0"/>
            </w:tcBorders>
            <w:vAlign w:val="center"/>
          </w:tcPr>
          <w:p w14:paraId="6F9C1408">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规格/型号/材质</w:t>
            </w:r>
          </w:p>
        </w:tc>
        <w:tc>
          <w:tcPr>
            <w:tcW w:w="1602" w:type="dxa"/>
            <w:tcBorders>
              <w:top w:val="single" w:color="000000" w:sz="4" w:space="0"/>
              <w:left w:val="single" w:color="000000" w:sz="4" w:space="0"/>
              <w:bottom w:val="single" w:color="000000" w:sz="4" w:space="0"/>
              <w:right w:val="single" w:color="000000" w:sz="4" w:space="0"/>
            </w:tcBorders>
            <w:vAlign w:val="center"/>
          </w:tcPr>
          <w:p w14:paraId="37773CE2">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lang w:eastAsia="zh-CN"/>
              </w:rPr>
            </w:pPr>
            <w:r>
              <w:rPr>
                <w:rFonts w:hint="eastAsia" w:ascii="仿宋" w:hAnsi="仿宋" w:eastAsia="仿宋" w:cs="仿宋"/>
                <w:color w:val="000000"/>
                <w:kern w:val="0"/>
                <w:sz w:val="24"/>
                <w:szCs w:val="24"/>
                <w:lang w:bidi="ar"/>
              </w:rPr>
              <w:t>单位</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val="en-US" w:eastAsia="zh-CN" w:bidi="ar"/>
              </w:rPr>
              <w:t>件/个</w:t>
            </w:r>
            <w:r>
              <w:rPr>
                <w:rFonts w:hint="eastAsia" w:ascii="仿宋" w:hAnsi="仿宋" w:eastAsia="仿宋" w:cs="仿宋"/>
                <w:color w:val="000000"/>
                <w:kern w:val="0"/>
                <w:sz w:val="24"/>
                <w:szCs w:val="24"/>
                <w:lang w:eastAsia="zh-CN" w:bidi="ar"/>
              </w:rPr>
              <w:t>）</w:t>
            </w:r>
          </w:p>
        </w:tc>
        <w:tc>
          <w:tcPr>
            <w:tcW w:w="860" w:type="dxa"/>
            <w:tcBorders>
              <w:top w:val="single" w:color="000000" w:sz="4" w:space="0"/>
              <w:left w:val="single" w:color="000000" w:sz="4" w:space="0"/>
              <w:bottom w:val="single" w:color="000000" w:sz="4" w:space="0"/>
              <w:right w:val="single" w:color="000000" w:sz="4" w:space="0"/>
            </w:tcBorders>
            <w:vAlign w:val="center"/>
          </w:tcPr>
          <w:p w14:paraId="002F8384">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5BE9F043">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1EFEDF17">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center"/>
          </w:tcPr>
          <w:p w14:paraId="01B8DF66">
            <w:pPr>
              <w:keepNext w:val="0"/>
              <w:keepLines w:val="0"/>
              <w:pageBreakBefore w:val="0"/>
              <w:widowControl/>
              <w:kinsoku/>
              <w:wordWrap/>
              <w:overflowPunct/>
              <w:topLinePunct w:val="0"/>
              <w:autoSpaceDE/>
              <w:autoSpaceDN/>
              <w:bidi w:val="0"/>
              <w:adjustRightInd/>
              <w:spacing w:line="336" w:lineRule="auto"/>
              <w:jc w:val="center"/>
              <w:textAlignment w:val="bottom"/>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备注</w:t>
            </w:r>
          </w:p>
        </w:tc>
      </w:tr>
      {% for item in items %}
      <w:tr w14:paraId="66C32032">
        <w:trPr>
          <w:trHeight w:val="374"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7CEA0796">
            <w:pPr>
              <w:keepNext w:val="0"/>
              <w:keepLines w:val="0"/>
              <w:widowControl/>
              <w:suppressLineNumbers w:val="0"/>
              <w:jc w:val="left"/>
            </w:pPr>
            <w:r>
              <w:rPr>
                <w:rFonts w:ascii="SimSun" w:hAnsi="SimSun" w:eastAsia="SimSun" w:cs="SimSun"/>
                <w:kern w:val="0"/>
                <w:sz w:val="24"/>
                <w:szCs w:val="24"/>
                <w:lang w:val="en-US" w:eastAsia="zh-CN" w:bidi="ar"/>
              </w:rPr>
              <w:t>{{ item.index }}</w:t>
            </w:r>
          </w:p>
          <w:p w14:paraId="7B379A6B">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lang w:eastAsia="zh-CN"/>
              </w:rPr>
            </w:pPr>
          </w:p>
        </w:tc>
        <w:tc>
          <w:tcPr>
            <w:tcW w:w="1265" w:type="dxa"/>
            <w:tcBorders>
              <w:top w:val="single" w:color="000000" w:sz="4" w:space="0"/>
              <w:left w:val="single" w:color="000000" w:sz="4" w:space="0"/>
              <w:right w:val="single" w:color="000000" w:sz="4" w:space="0"/>
            </w:tcBorders>
            <w:vAlign w:val="center"/>
          </w:tcPr>
          <w:p w14:paraId="523580B5">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item.name }}</w:t>
            </w:r>
          </w:p>
        </w:tc>
        <w:tc>
          <w:tcPr>
            <w:tcW w:w="1353" w:type="dxa"/>
            <w:tcBorders>
              <w:top w:val="single" w:color="000000" w:sz="4" w:space="0"/>
              <w:left w:val="single" w:color="000000" w:sz="4" w:space="0"/>
              <w:bottom w:val="single" w:color="000000" w:sz="4" w:space="0"/>
              <w:right w:val="single" w:color="000000" w:sz="4" w:space="0"/>
            </w:tcBorders>
            <w:vAlign w:val="center"/>
          </w:tcPr>
          <w:p w14:paraId="48E7C022">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item.spec }}</w:t>
            </w:r>
          </w:p>
        </w:tc>
        <w:tc>
          <w:tcPr>
            <w:tcW w:w="1602" w:type="dxa"/>
            <w:tcBorders>
              <w:top w:val="single" w:color="000000" w:sz="4" w:space="0"/>
              <w:left w:val="single" w:color="000000" w:sz="4" w:space="0"/>
              <w:bottom w:val="single" w:color="000000" w:sz="4" w:space="0"/>
              <w:right w:val="single" w:color="000000" w:sz="4" w:space="0"/>
            </w:tcBorders>
            <w:vAlign w:val="center"/>
          </w:tcPr>
          <w:p w14:paraId="656F89A0">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item.unit }}</w:t>
            </w:r>
          </w:p>
        </w:tc>
        <w:tc>
          <w:tcPr>
            <w:tcW w:w="860" w:type="dxa"/>
            <w:tcBorders>
              <w:top w:val="single" w:color="000000" w:sz="4" w:space="0"/>
              <w:left w:val="single" w:color="000000" w:sz="4" w:space="0"/>
              <w:bottom w:val="single" w:color="000000" w:sz="4" w:space="0"/>
              <w:right w:val="single" w:color="000000" w:sz="4" w:space="0"/>
            </w:tcBorders>
            <w:vAlign w:val="center"/>
          </w:tcPr>
          <w:p w14:paraId="40466715">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item.quantity }}</w:t>
            </w:r>
          </w:p>
        </w:tc>
        <w:tc>
          <w:tcPr>
            <w:tcW w:w="1339" w:type="dxa"/>
            <w:tcBorders>
              <w:top w:val="single" w:color="000000" w:sz="4" w:space="0"/>
              <w:left w:val="single" w:color="000000" w:sz="4" w:space="0"/>
              <w:bottom w:val="single" w:color="000000" w:sz="4" w:space="0"/>
              <w:right w:val="single" w:color="000000" w:sz="4" w:space="0"/>
            </w:tcBorders>
            <w:vAlign w:val="center"/>
          </w:tcPr>
          <w:p w14:paraId="7DFE8BA3">
            <w:pPr>
              <w:keepNext w:val="0"/>
              <w:keepLines w:val="0"/>
              <w:pageBreakBefore w:val="0"/>
              <w:widowControl/>
              <w:kinsoku/>
              <w:wordWrap/>
              <w:overflowPunct/>
              <w:topLinePunct w:val="0"/>
              <w:autoSpaceDE/>
              <w:autoSpaceDN/>
              <w:bidi w:val="0"/>
              <w:adjustRightInd/>
              <w:spacing w:line="336" w:lineRule="auto"/>
              <w:jc w:val="center"/>
              <w:textAlignment w:val="bottom"/>
              <w:rPr>
                <w:rFonts w:hint="eastAsia" w:ascii="仿宋" w:hAnsi="仿宋" w:eastAsia="仿宋" w:cs="仿宋"/>
                <w:color w:val="000000"/>
                <w:sz w:val="24"/>
                <w:szCs w:val="24"/>
              </w:rPr>
            </w:pPr>
            <w:r>
              <w:t>{{ item.unitPrice }}</w:t>
            </w:r>
          </w:p>
        </w:tc>
        <w:tc>
          <w:tcPr>
            <w:tcW w:w="1265" w:type="dxa"/>
            <w:tcBorders>
              <w:top w:val="single" w:color="000000" w:sz="4" w:space="0"/>
              <w:left w:val="single" w:color="000000" w:sz="4" w:space="0"/>
              <w:bottom w:val="single" w:color="000000" w:sz="4" w:space="0"/>
              <w:right w:val="single" w:color="000000" w:sz="4" w:space="0"/>
            </w:tcBorders>
            <w:vAlign w:val="center"/>
          </w:tcPr>
          <w:p w14:paraId="34E98F11">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item.totalPrice }}</w:t>
            </w:r>
          </w:p>
        </w:tc>
        <w:tc>
          <w:tcPr>
            <w:tcW w:w="876" w:type="dxa"/>
            <w:tcBorders>
              <w:top w:val="single" w:color="000000" w:sz="4" w:space="0"/>
              <w:left w:val="single" w:color="000000" w:sz="4" w:space="0"/>
              <w:bottom w:val="single" w:color="000000" w:sz="4" w:space="0"/>
              <w:right w:val="single" w:color="000000" w:sz="4" w:space="0"/>
            </w:tcBorders>
            <w:vAlign w:val="center"/>
          </w:tcPr>
          <w:p w14:paraId="3E70FB8D">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item.remark }}</w:t>
            </w:r>
          </w:p>
        </w:tc>
      </w:tr>
      {% endfor %}
      <w:tr w14:paraId="3F842A7A">
        <w:trPr>
          <w:trHeight w:val="374"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586D8A47">
            <w:pPr>
              <w:keepNext w:val="0"/>
              <w:keepLines w:val="0"/>
              <w:pageBreakBefore w:val="0"/>
              <w:widowControl/>
              <w:kinsoku/>
              <w:wordWrap/>
              <w:overflowPunct/>
              <w:topLinePunct w:val="0"/>
              <w:autoSpaceDE/>
              <w:autoSpaceDN/>
              <w:bidi w:val="0"/>
              <w:adjustRightInd/>
              <w:spacing w:line="336" w:lineRule="auto"/>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总计金额（大写）：{{ totalAmountChinese }}整（含税，税率{{ taxRate }}%）</w:t>
            </w:r>
          </w:p>
          <w:p w14:paraId="47562242">
            <w:pPr>
              <w:keepNext w:val="0"/>
              <w:keepLines w:val="0"/>
              <w:pageBreakBefore w:val="0"/>
              <w:widowControl/>
              <w:kinsoku/>
              <w:wordWrap/>
              <w:overflowPunct/>
              <w:topLinePunct w:val="0"/>
              <w:autoSpaceDE/>
              <w:autoSpaceDN/>
              <w:bidi w:val="0"/>
              <w:adjustRightInd/>
              <w:spacing w:line="336" w:lineRule="auto"/>
              <w:jc w:val="left"/>
              <w:textAlignment w:val="center"/>
              <w:rPr>
                <w:rFonts w:hint="default" w:ascii="仿宋" w:hAnsi="仿宋" w:eastAsia="仿宋" w:cs="仿宋"/>
                <w:color w:val="000000"/>
                <w:sz w:val="24"/>
                <w:szCs w:val="24"/>
                <w:lang w:val="en-US"/>
              </w:rPr>
            </w:pPr>
            <w:r>
              <w:rPr>
                <w:rFonts w:hint="eastAsia" w:ascii="仿宋" w:hAnsi="仿宋" w:eastAsia="仿宋" w:cs="仿宋"/>
                <w:b/>
                <w:bCs/>
                <w:color w:val="000000"/>
                <w:kern w:val="0"/>
                <w:sz w:val="24"/>
                <w:szCs w:val="24"/>
                <w:lang w:val="en-US" w:eastAsia="zh-CN" w:bidi="ar"/>
              </w:rPr>
              <w:t>上述金额包含：{{ taxRate }}%增值税（不计税金额{{ amountWithoutTax }}元，税金{{ taxAmount }}元，税率变化合同价格相应调整）、包装费、运输费（含运输保险费）、装卸费等本合同项下全部费用。</w:t>
            </w:r>
          </w:p>
        </w:tc>
      </w:tr>
    </w:tbl>
    <w:p w14:paraId="334952B6">
      <w:pPr>
        <w:keepNext w:val="0"/>
        <w:keepLines w:val="0"/>
        <w:pageBreakBefore w:val="0"/>
        <w:kinsoku/>
        <w:wordWrap/>
        <w:overflowPunct/>
        <w:topLinePunct w:val="0"/>
        <w:autoSpaceDE/>
        <w:autoSpaceDN/>
        <w:bidi w:val="0"/>
        <w:adjustRightInd/>
        <w:spacing w:line="336" w:lineRule="auto"/>
        <w:ind w:firstLine="0" w:firstLineChars="0"/>
        <w:rPr>
          <w:rFonts w:hint="default" w:eastAsia="仿宋"/>
          <w:color w:val="000000"/>
          <w:sz w:val="24"/>
          <w:szCs w:val="24"/>
          <w:lang w:val="en-US" w:eastAsia="zh-CN"/>
        </w:rPr>
      </w:pPr>
    </w:p>
    <w:p w14:paraId="07A7CF8D">
      <w:pPr>
        <w:keepNext w:val="0"/>
        <w:keepLines w:val="0"/>
        <w:pageBreakBefore w:val="0"/>
        <w:numPr>
          <w:ilvl w:val="0"/>
          <w:numId w:val="2"/>
        </w:numPr>
        <w:kinsoku/>
        <w:wordWrap/>
        <w:overflowPunct/>
        <w:topLinePunct w:val="0"/>
        <w:autoSpaceDE/>
        <w:autoSpaceDN/>
        <w:bidi w:val="0"/>
        <w:adjustRightInd/>
        <w:spacing w:line="336" w:lineRule="auto"/>
        <w:ind w:firstLine="480" w:firstLineChars="200"/>
        <w:rPr>
          <w:rFonts w:hint="default" w:eastAsia="仿宋"/>
          <w:b/>
          <w:bCs/>
          <w:color w:val="000000"/>
          <w:sz w:val="24"/>
          <w:szCs w:val="24"/>
          <w:highlight w:val="yellow"/>
          <w:lang w:val="en-US" w:eastAsia="zh-CN"/>
        </w:rPr>
      </w:pPr>
      <w:r>
        <w:rPr>
          <w:rFonts w:hint="eastAsia" w:eastAsia="仿宋"/>
          <w:color w:val="000000"/>
          <w:sz w:val="24"/>
          <w:szCs w:val="24"/>
          <w:highlight w:val="yellow"/>
          <w:lang w:val="en-US" w:eastAsia="zh-CN"/>
        </w:rPr>
        <w:t>{{ otherTerms }}</w:t>
      </w:r>
    </w:p>
    <w:p w14:paraId="1ECDA49D">
      <w:pPr>
        <w:keepNext w:val="0"/>
        <w:keepLines w:val="0"/>
        <w:pageBreakBefore w:val="0"/>
        <w:numPr>
          <w:ilvl w:val="0"/>
          <w:numId w:val="0"/>
        </w:numPr>
        <w:kinsoku/>
        <w:wordWrap/>
        <w:overflowPunct/>
        <w:topLinePunct w:val="0"/>
        <w:autoSpaceDE/>
        <w:autoSpaceDN/>
        <w:bidi w:val="0"/>
        <w:adjustRightInd/>
        <w:spacing w:line="336" w:lineRule="auto"/>
        <w:rPr>
          <w:rFonts w:hint="default" w:eastAsia="仿宋"/>
          <w:b/>
          <w:bCs/>
          <w:color w:val="000000"/>
          <w:sz w:val="24"/>
          <w:szCs w:val="24"/>
          <w:highlight w:val="yellow"/>
          <w:lang w:val="en-US" w:eastAsia="zh-CN"/>
        </w:rPr>
      </w:pPr>
    </w:p>
    <w:p w14:paraId="7495FB4B">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lang w:val="en-US" w:eastAsia="zh-CN"/>
        </w:rPr>
      </w:pPr>
      <w:r>
        <w:rPr>
          <w:rFonts w:hint="eastAsia" w:eastAsia="仿宋"/>
          <w:b/>
          <w:bCs/>
          <w:color w:val="000000"/>
          <w:sz w:val="24"/>
          <w:szCs w:val="24"/>
          <w:lang w:val="en-US" w:eastAsia="zh-CN"/>
        </w:rPr>
        <w:t>交货地点、发货日期及到货日期</w:t>
      </w:r>
    </w:p>
    <w:p w14:paraId="6DE0F7EA">
      <w:pPr>
        <w:keepNext w:val="0"/>
        <w:keepLines w:val="0"/>
        <w:pageBreakBefore w:val="0"/>
        <w:numPr>
          <w:ilvl w:val="0"/>
          <w:numId w:val="3"/>
        </w:numPr>
        <w:kinsoku/>
        <w:wordWrap/>
        <w:overflowPunct/>
        <w:topLinePunct w:val="0"/>
        <w:autoSpaceDE/>
        <w:autoSpaceDN/>
        <w:bidi w:val="0"/>
        <w:adjustRightInd/>
        <w:spacing w:line="336" w:lineRule="auto"/>
        <w:ind w:firstLine="482" w:firstLineChars="200"/>
        <w:rPr>
          <w:rFonts w:hint="eastAsia" w:eastAsia="仿宋"/>
          <w:b w:val="0"/>
          <w:bCs w:val="0"/>
          <w:color w:val="000000"/>
          <w:sz w:val="24"/>
          <w:szCs w:val="24"/>
          <w:u w:val="none"/>
          <w:lang w:val="en-US" w:eastAsia="zh-CN"/>
        </w:rPr>
      </w:pPr>
      <w:r>
        <w:rPr>
          <w:rFonts w:hint="eastAsia" w:eastAsia="仿宋"/>
          <w:b/>
          <w:bCs/>
          <w:color w:val="000000"/>
          <w:sz w:val="24"/>
          <w:szCs w:val="24"/>
          <w:lang w:val="en-US" w:eastAsia="zh-CN"/>
        </w:rPr>
        <w:t>交货地点：{{ deliveryPlace }}。乙方负责将本合同约定的货物运卸至交货地点，并整齐安全地放置好，相关费用全部由乙方承担。</w:t>
      </w:r>
    </w:p>
    <w:p w14:paraId="692DD194">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eastAsia" w:eastAsia="仿宋"/>
          <w:b w:val="0"/>
          <w:bCs w:val="0"/>
          <w:color w:val="000000"/>
          <w:sz w:val="24"/>
          <w:szCs w:val="24"/>
          <w:u w:val="none"/>
          <w:lang w:val="en-US" w:eastAsia="zh-CN"/>
        </w:rPr>
        <w:t>发货日期：{{ deliveryYear }}年{{ deliveryMonth }}月{{ deliveryDay }}日前，具体发货日期及货物需到达交货地点的日期（下称“到货日期”）以甲方向乙方发送的《发货通知单》中载明时间为准。乙方可根据项目建设的实际情况，要求乙方一次性或者分批发货。在未收到甲方发送的《发货通知单》前，乙方不得擅自提前发货，否则甲方有权拒收，乙方应自行承担由此产生的全部费用和损失。</w:t>
      </w:r>
    </w:p>
    <w:p w14:paraId="341FE814">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eastAsia" w:eastAsia="仿宋"/>
          <w:b w:val="0"/>
          <w:bCs w:val="0"/>
          <w:color w:val="000000"/>
          <w:sz w:val="24"/>
          <w:szCs w:val="24"/>
          <w:highlight w:val="none"/>
          <w:u w:val="single"/>
          <w:lang w:val="en-US" w:eastAsia="zh-CN"/>
        </w:rPr>
        <w:t>《发货通知单》为本合同组成部分，对甲乙双方具有拘束力。</w:t>
      </w:r>
    </w:p>
    <w:p w14:paraId="003D6B90">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default" w:eastAsia="仿宋"/>
          <w:b w:val="0"/>
          <w:bCs w:val="0"/>
          <w:color w:val="000000"/>
          <w:sz w:val="24"/>
          <w:szCs w:val="24"/>
          <w:highlight w:val="none"/>
          <w:u w:val="single"/>
          <w:lang w:eastAsia="zh-CN"/>
          <w:woUserID w:val="2"/>
        </w:rPr>
        <w:t>发货前需提供货物纸质检测报告（出厂）、合格证、发货单、营业执照复印件等资料，电子版统一打包发送采购对接人，如因缺少资料导致现场无法接收，甲方有权拒收，产生的损失由乙方承担。</w:t>
      </w:r>
    </w:p>
    <w:p w14:paraId="2D1C8720">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eastAsia="仿宋"/>
          <w:color w:val="000000"/>
          <w:sz w:val="24"/>
          <w:szCs w:val="24"/>
        </w:rPr>
      </w:pPr>
      <w:r>
        <w:rPr>
          <w:rFonts w:hint="eastAsia" w:eastAsia="仿宋"/>
          <w:b/>
          <w:bCs/>
          <w:color w:val="000000"/>
          <w:sz w:val="24"/>
          <w:szCs w:val="24"/>
          <w:u w:val="none"/>
          <w:lang w:val="en-US" w:eastAsia="zh-CN"/>
        </w:rPr>
        <w:t>包装</w:t>
      </w:r>
    </w:p>
    <w:p w14:paraId="2F343C9B">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80" w:firstLineChars="200"/>
        <w:textAlignment w:val="auto"/>
        <w:rPr>
          <w:rFonts w:hint="eastAsia" w:eastAsia="仿宋"/>
          <w:color w:val="000000"/>
          <w:sz w:val="24"/>
          <w:szCs w:val="24"/>
        </w:rPr>
      </w:pPr>
      <w:r>
        <w:rPr>
          <w:rFonts w:hint="eastAsia" w:eastAsia="仿宋"/>
          <w:b w:val="0"/>
          <w:bCs w:val="0"/>
          <w:color w:val="000000"/>
          <w:sz w:val="24"/>
          <w:szCs w:val="24"/>
          <w:lang w:val="en-US" w:eastAsia="zh-CN"/>
        </w:rPr>
        <w:t>乙方提供的</w:t>
      </w:r>
      <w:r>
        <w:rPr>
          <w:rFonts w:hint="eastAsia" w:eastAsia="仿宋"/>
          <w:color w:val="000000"/>
          <w:sz w:val="24"/>
          <w:szCs w:val="24"/>
          <w:lang w:val="en-US" w:eastAsia="zh-CN"/>
        </w:rPr>
        <w:t>货物</w:t>
      </w:r>
      <w:r>
        <w:rPr>
          <w:rFonts w:hint="eastAsia" w:eastAsia="仿宋"/>
          <w:color w:val="000000"/>
          <w:sz w:val="24"/>
          <w:szCs w:val="24"/>
        </w:rPr>
        <w:t>包装应能适应各种运输</w:t>
      </w:r>
      <w:r>
        <w:rPr>
          <w:rFonts w:hint="eastAsia" w:eastAsia="仿宋"/>
          <w:color w:val="000000"/>
          <w:sz w:val="24"/>
          <w:szCs w:val="24"/>
          <w:lang w:val="en-US" w:eastAsia="zh-CN"/>
        </w:rPr>
        <w:t>方式</w:t>
      </w:r>
      <w:r>
        <w:rPr>
          <w:rFonts w:hint="eastAsia" w:eastAsia="仿宋"/>
          <w:color w:val="000000"/>
          <w:sz w:val="24"/>
          <w:szCs w:val="24"/>
        </w:rPr>
        <w:t>，并应按照符合</w:t>
      </w:r>
      <w:r>
        <w:rPr>
          <w:rFonts w:hint="eastAsia" w:eastAsia="仿宋"/>
          <w:color w:val="000000"/>
          <w:sz w:val="24"/>
          <w:szCs w:val="24"/>
          <w:lang w:val="en-US" w:eastAsia="zh-CN"/>
        </w:rPr>
        <w:t>货物</w:t>
      </w:r>
      <w:r>
        <w:rPr>
          <w:rFonts w:hint="eastAsia" w:eastAsia="仿宋"/>
          <w:color w:val="000000"/>
          <w:sz w:val="24"/>
          <w:szCs w:val="24"/>
        </w:rPr>
        <w:t>防漏、防潮、防震、防腐</w:t>
      </w:r>
      <w:r>
        <w:rPr>
          <w:rFonts w:hint="eastAsia" w:eastAsia="仿宋"/>
          <w:color w:val="000000"/>
          <w:sz w:val="24"/>
          <w:szCs w:val="24"/>
          <w:lang w:eastAsia="zh-CN"/>
        </w:rPr>
        <w:t>、</w:t>
      </w:r>
      <w:r>
        <w:rPr>
          <w:rFonts w:hint="eastAsia" w:eastAsia="仿宋"/>
          <w:color w:val="000000"/>
          <w:sz w:val="24"/>
          <w:szCs w:val="24"/>
        </w:rPr>
        <w:t>防粗鲁搬运</w:t>
      </w:r>
      <w:r>
        <w:rPr>
          <w:rFonts w:hint="eastAsia" w:eastAsia="仿宋"/>
          <w:color w:val="000000"/>
          <w:sz w:val="24"/>
          <w:szCs w:val="24"/>
          <w:lang w:eastAsia="zh-CN"/>
        </w:rPr>
        <w:t>、</w:t>
      </w:r>
      <w:r>
        <w:rPr>
          <w:rFonts w:hint="eastAsia" w:eastAsia="仿宋"/>
          <w:color w:val="000000"/>
          <w:sz w:val="24"/>
          <w:szCs w:val="24"/>
        </w:rPr>
        <w:t>能满足长途运输、足以保障</w:t>
      </w:r>
      <w:r>
        <w:rPr>
          <w:rFonts w:hint="eastAsia" w:eastAsia="仿宋"/>
          <w:color w:val="000000"/>
          <w:sz w:val="24"/>
          <w:szCs w:val="24"/>
          <w:lang w:val="en-US" w:eastAsia="zh-CN"/>
        </w:rPr>
        <w:t>货物</w:t>
      </w:r>
      <w:r>
        <w:rPr>
          <w:rFonts w:hint="eastAsia" w:eastAsia="仿宋"/>
          <w:color w:val="000000"/>
          <w:sz w:val="24"/>
          <w:szCs w:val="24"/>
        </w:rPr>
        <w:t>安全及多次装卸之需要</w:t>
      </w:r>
      <w:r>
        <w:rPr>
          <w:rFonts w:hint="eastAsia" w:eastAsia="仿宋"/>
          <w:color w:val="000000"/>
          <w:sz w:val="24"/>
          <w:szCs w:val="24"/>
          <w:lang w:val="en-US" w:eastAsia="zh-CN"/>
        </w:rPr>
        <w:t>进行</w:t>
      </w:r>
      <w:r>
        <w:rPr>
          <w:rFonts w:hint="eastAsia" w:eastAsia="仿宋"/>
          <w:color w:val="000000"/>
          <w:sz w:val="24"/>
          <w:szCs w:val="24"/>
        </w:rPr>
        <w:t>包装，并符合</w:t>
      </w:r>
      <w:r>
        <w:rPr>
          <w:rFonts w:hint="eastAsia" w:eastAsia="仿宋"/>
          <w:color w:val="000000"/>
          <w:sz w:val="24"/>
          <w:szCs w:val="24"/>
          <w:lang w:val="en-US" w:eastAsia="zh-CN"/>
        </w:rPr>
        <w:t>货物</w:t>
      </w:r>
      <w:r>
        <w:rPr>
          <w:rFonts w:hint="eastAsia" w:eastAsia="仿宋"/>
          <w:color w:val="000000"/>
          <w:sz w:val="24"/>
          <w:szCs w:val="24"/>
        </w:rPr>
        <w:t>在购买、运输、销售、使用过程中所涉及的国家及地方政府主管部门对包装物颁布的包装标准及管制要求。包装物不计价、不回</w:t>
      </w:r>
      <w:r>
        <w:rPr>
          <w:rFonts w:hint="eastAsia" w:eastAsia="仿宋"/>
          <w:color w:val="000000"/>
          <w:sz w:val="24"/>
          <w:szCs w:val="24"/>
          <w:lang w:val="en-US" w:eastAsia="zh-CN"/>
        </w:rPr>
        <w:t>收。</w:t>
      </w:r>
    </w:p>
    <w:p w14:paraId="55BD1233">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val="0"/>
          <w:bCs w:val="0"/>
          <w:color w:val="000000"/>
          <w:sz w:val="24"/>
          <w:szCs w:val="24"/>
          <w:highlight w:val="none"/>
          <w:u w:val="none"/>
          <w:lang w:val="en-US" w:eastAsia="zh-CN"/>
        </w:rPr>
      </w:pPr>
      <w:r>
        <w:rPr>
          <w:rFonts w:hint="eastAsia" w:eastAsia="仿宋"/>
          <w:b/>
          <w:bCs/>
          <w:color w:val="000000"/>
          <w:sz w:val="24"/>
          <w:szCs w:val="24"/>
          <w:highlight w:val="none"/>
          <w:u w:val="none"/>
          <w:lang w:val="en-US" w:eastAsia="zh-CN"/>
        </w:rPr>
        <w:t>质量标准</w:t>
      </w:r>
    </w:p>
    <w:p w14:paraId="15C92138">
      <w:pPr>
        <w:keepNext w:val="0"/>
        <w:keepLines w:val="0"/>
        <w:pageBreakBefore w:val="0"/>
        <w:widowControl w:val="0"/>
        <w:numPr>
          <w:ilvl w:val="0"/>
          <w:numId w:val="4"/>
        </w:numPr>
        <w:kinsoku/>
        <w:wordWrap/>
        <w:overflowPunct/>
        <w:topLinePunct w:val="0"/>
        <w:autoSpaceDE/>
        <w:autoSpaceDN/>
        <w:bidi w:val="0"/>
        <w:adjustRightInd/>
        <w:snapToGrid/>
        <w:spacing w:line="336" w:lineRule="auto"/>
        <w:ind w:firstLine="480" w:firstLineChars="200"/>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执行最新国家及行业</w:t>
      </w:r>
      <w:r>
        <w:rPr>
          <w:rFonts w:hint="eastAsia" w:eastAsia="仿宋"/>
          <w:b w:val="0"/>
          <w:bCs w:val="0"/>
          <w:color w:val="000000"/>
          <w:sz w:val="24"/>
          <w:szCs w:val="24"/>
          <w:u w:val="none"/>
          <w:lang w:val="en-US" w:eastAsia="zh-CN"/>
        </w:rPr>
        <w:t>货物</w:t>
      </w:r>
      <w:r>
        <w:rPr>
          <w:rFonts w:hint="default" w:eastAsia="仿宋"/>
          <w:b w:val="0"/>
          <w:bCs w:val="0"/>
          <w:color w:val="000000"/>
          <w:sz w:val="24"/>
          <w:szCs w:val="24"/>
          <w:u w:val="none"/>
          <w:lang w:val="en-US" w:eastAsia="zh-CN"/>
        </w:rPr>
        <w:t>质量评定合格标准及国家和地方</w:t>
      </w:r>
      <w:r>
        <w:rPr>
          <w:rFonts w:hint="eastAsia" w:eastAsia="仿宋"/>
          <w:b w:val="0"/>
          <w:bCs w:val="0"/>
          <w:color w:val="000000"/>
          <w:sz w:val="24"/>
          <w:szCs w:val="24"/>
          <w:u w:val="none"/>
          <w:lang w:val="en-US" w:eastAsia="zh-CN"/>
        </w:rPr>
        <w:t>相关</w:t>
      </w:r>
      <w:r>
        <w:rPr>
          <w:rFonts w:hint="default" w:eastAsia="仿宋"/>
          <w:b w:val="0"/>
          <w:bCs w:val="0"/>
          <w:color w:val="000000"/>
          <w:sz w:val="24"/>
          <w:szCs w:val="24"/>
          <w:u w:val="none"/>
          <w:lang w:val="en-US" w:eastAsia="zh-CN"/>
        </w:rPr>
        <w:t>部门有关规定。没有上述标准或规定的，按照通常标准或者符合合同目的的特定标准履行，并需符合甲方质量标准要求。</w:t>
      </w:r>
    </w:p>
    <w:p w14:paraId="672E48FD">
      <w:pPr>
        <w:keepNext w:val="0"/>
        <w:keepLines w:val="0"/>
        <w:pageBreakBefore w:val="0"/>
        <w:widowControl w:val="0"/>
        <w:numPr>
          <w:ilvl w:val="0"/>
          <w:numId w:val="4"/>
        </w:numPr>
        <w:kinsoku/>
        <w:wordWrap/>
        <w:overflowPunct/>
        <w:topLinePunct w:val="0"/>
        <w:autoSpaceDE/>
        <w:autoSpaceDN/>
        <w:bidi w:val="0"/>
        <w:adjustRightInd/>
        <w:snapToGrid/>
        <w:spacing w:line="336" w:lineRule="auto"/>
        <w:ind w:firstLine="480" w:firstLineChars="200"/>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乙方应按照本合同约定的</w:t>
      </w:r>
      <w:r>
        <w:rPr>
          <w:rFonts w:hint="eastAsia" w:eastAsia="仿宋"/>
          <w:b w:val="0"/>
          <w:bCs w:val="0"/>
          <w:color w:val="000000"/>
          <w:sz w:val="24"/>
          <w:szCs w:val="24"/>
          <w:u w:val="none"/>
          <w:lang w:val="en-US" w:eastAsia="zh-CN"/>
        </w:rPr>
        <w:t>货物</w:t>
      </w:r>
      <w:r>
        <w:rPr>
          <w:rFonts w:hint="default" w:eastAsia="仿宋"/>
          <w:b w:val="0"/>
          <w:bCs w:val="0"/>
          <w:color w:val="000000"/>
          <w:sz w:val="24"/>
          <w:szCs w:val="24"/>
          <w:u w:val="none"/>
          <w:lang w:val="en-US" w:eastAsia="zh-CN"/>
        </w:rPr>
        <w:t>质量标准以及甲方与</w:t>
      </w:r>
      <w:r>
        <w:rPr>
          <w:rFonts w:hint="eastAsia" w:eastAsia="仿宋"/>
          <w:b w:val="0"/>
          <w:bCs w:val="0"/>
          <w:color w:val="000000"/>
          <w:sz w:val="24"/>
          <w:szCs w:val="24"/>
          <w:u w:val="none"/>
          <w:lang w:val="en-US" w:eastAsia="zh-CN"/>
        </w:rPr>
        <w:t>项目</w:t>
      </w:r>
      <w:r>
        <w:rPr>
          <w:rFonts w:hint="default" w:eastAsia="仿宋"/>
          <w:b w:val="0"/>
          <w:bCs w:val="0"/>
          <w:color w:val="000000"/>
          <w:sz w:val="24"/>
          <w:szCs w:val="24"/>
          <w:u w:val="none"/>
          <w:lang w:val="en-US" w:eastAsia="zh-CN"/>
        </w:rPr>
        <w:t>业主</w:t>
      </w:r>
      <w:r>
        <w:rPr>
          <w:rFonts w:hint="eastAsia" w:eastAsia="仿宋"/>
          <w:b w:val="0"/>
          <w:bCs w:val="0"/>
          <w:color w:val="000000"/>
          <w:sz w:val="24"/>
          <w:szCs w:val="24"/>
          <w:u w:val="none"/>
          <w:lang w:val="en-US" w:eastAsia="zh-CN"/>
        </w:rPr>
        <w:t>方（</w:t>
      </w:r>
      <w:r>
        <w:rPr>
          <w:rFonts w:hint="default" w:eastAsia="仿宋"/>
          <w:b w:val="0"/>
          <w:bCs w:val="0"/>
          <w:color w:val="000000"/>
          <w:sz w:val="24"/>
          <w:szCs w:val="24"/>
          <w:u w:val="none"/>
          <w:lang w:val="en-US" w:eastAsia="zh-CN"/>
        </w:rPr>
        <w:t>或总包人</w:t>
      </w:r>
      <w:r>
        <w:rPr>
          <w:rFonts w:hint="eastAsia" w:eastAsia="仿宋"/>
          <w:b w:val="0"/>
          <w:bCs w:val="0"/>
          <w:color w:val="000000"/>
          <w:sz w:val="24"/>
          <w:szCs w:val="24"/>
          <w:u w:val="none"/>
          <w:lang w:val="en-US" w:eastAsia="zh-CN"/>
        </w:rPr>
        <w:t>）</w:t>
      </w:r>
      <w:r>
        <w:rPr>
          <w:rFonts w:hint="default" w:eastAsia="仿宋"/>
          <w:b w:val="0"/>
          <w:bCs w:val="0"/>
          <w:color w:val="000000"/>
          <w:sz w:val="24"/>
          <w:szCs w:val="24"/>
          <w:u w:val="none"/>
          <w:lang w:val="en-US" w:eastAsia="zh-CN"/>
        </w:rPr>
        <w:t>所签订合同相应质量条款履行，两者不一致的，以质量标准约定较高者执行。</w:t>
      </w:r>
      <w:r>
        <w:rPr>
          <w:rFonts w:hint="eastAsia" w:eastAsia="仿宋"/>
          <w:b w:val="0"/>
          <w:bCs w:val="0"/>
          <w:color w:val="000000"/>
          <w:sz w:val="24"/>
          <w:szCs w:val="24"/>
          <w:u w:val="none"/>
          <w:lang w:val="en-US" w:eastAsia="zh-CN"/>
        </w:rPr>
        <w:t>项目</w:t>
      </w:r>
      <w:r>
        <w:rPr>
          <w:rFonts w:hint="default" w:eastAsia="仿宋"/>
          <w:b w:val="0"/>
          <w:bCs w:val="0"/>
          <w:color w:val="000000"/>
          <w:sz w:val="24"/>
          <w:szCs w:val="24"/>
          <w:u w:val="none"/>
          <w:lang w:val="en-US" w:eastAsia="zh-CN"/>
        </w:rPr>
        <w:t>施工过程中及竣工验收时均应符合业主及监理方提出的质量要求。</w:t>
      </w:r>
    </w:p>
    <w:p w14:paraId="7885AD52">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highlight w:val="none"/>
          <w:u w:val="none"/>
          <w:lang w:val="en-US" w:eastAsia="zh-CN"/>
        </w:rPr>
      </w:pPr>
      <w:r>
        <w:rPr>
          <w:rFonts w:hint="eastAsia" w:eastAsia="仿宋"/>
          <w:b/>
          <w:bCs/>
          <w:color w:val="000000"/>
          <w:sz w:val="24"/>
          <w:szCs w:val="24"/>
          <w:highlight w:val="none"/>
          <w:u w:val="none"/>
          <w:lang w:val="en-US" w:eastAsia="zh-CN"/>
        </w:rPr>
        <w:t>验收</w:t>
      </w:r>
    </w:p>
    <w:p w14:paraId="3DA72F09">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货物运抵交货地点后，由甲乙双方对装箱清单与收货数量是否相符、货物包装、外观、数量、品牌型号、规格及相关资料完整性等进行初步验收。乙方有样品封存于甲方的，验收时按样品（包括品牌、商标、规格、型号等）比照验收。若验收时发现数量、外观有缺损或规格型号等不符合本合同之约定，乙方应在甲方提出异议后{{ replacementDeadlineDays }}日内补足或更换完成，并承担由于补、换货物所发生的与此相关的货物、制造、运输等费用。因补、换货物所发生的相关费用及其所引起的交货迟延或甲方损失的，由乙方按本合同约定承担责任。乙方不予补、换的，甲方有权退货并解除本合同，乙方应退还甲方已付全部货款，并向甲方支付合同总金额{{ qualityPenaltyRate }}%的违约金，同时还需承担由此所引起的交货迟延责任和甲方损失。乙方交付货物超出约定数量的，甲方有权拒收。如经甲方通知后，乙方未能按时到达现场（包括未派人到现场）进行初步验收的，视为乙方默认以甲方的处理方式和结果为准且再无异议。</w:t>
      </w:r>
    </w:p>
    <w:p w14:paraId="25C872BD">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初步验收不排除乙方对货物质量所承诺的责任承担。货物正式投入使用后由甲方对货物的质量、性能等情况进行验收，货物存在质量问题的，乙方应在甲方提出{{ repairDeadlineDays }}日内按照甲方要求进行维修或更换，并承担因此产生的全部费用。因维修、换货物所发生的相关费用及其所引起的交货迟延或甲方损失的，由乙方按本合同约定承担责任。乙方不予维修、更换的，甲方有权退货并解除本合同，乙方应退还甲方已付全部货款，并向甲方支付合同总金额{{ qualityPenaltyRate }}%的违约金，同时还需承担由此所引起的交货迟延责任和甲方损失。</w:t>
      </w:r>
    </w:p>
    <w:p w14:paraId="5B80B772">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验收手续的签署不排除乙方对货物质量所承诺的责任承担。若最终检验结果表明货物质量不符合合同要求，无论该货物是否已被甲方接收，甲方都有权根据合同对乙方的货物进行退货，乙方需根据本合同约定承担逾期交货和赔偿</w:t>
      </w:r>
      <w:r>
        <w:rPr>
          <w:rFonts w:hint="eastAsia" w:eastAsia="仿宋"/>
          <w:b w:val="0"/>
          <w:bCs w:val="0"/>
          <w:color w:val="000000"/>
          <w:sz w:val="24"/>
          <w:szCs w:val="24"/>
          <w:u w:val="single"/>
          <w:lang w:val="en-US" w:eastAsia="zh-CN"/>
        </w:rPr>
        <w:t>甲方损失</w:t>
      </w:r>
      <w:r>
        <w:rPr>
          <w:rFonts w:hint="eastAsia" w:eastAsia="仿宋"/>
          <w:b w:val="0"/>
          <w:bCs w:val="0"/>
          <w:color w:val="000000"/>
          <w:sz w:val="24"/>
          <w:szCs w:val="24"/>
          <w:u w:val="none"/>
          <w:lang w:val="en-US" w:eastAsia="zh-CN"/>
        </w:rPr>
        <w:t>等违约责任。</w:t>
      </w:r>
    </w:p>
    <w:p w14:paraId="5019BE8F">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质保期及售后</w:t>
      </w:r>
    </w:p>
    <w:p w14:paraId="50AF1033">
      <w:pPr>
        <w:keepNext w:val="0"/>
        <w:keepLines w:val="0"/>
        <w:pageBreakBefore w:val="0"/>
        <w:numPr>
          <w:ilvl w:val="0"/>
          <w:numId w:val="0"/>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设备质保期为{{ warrantyYears }}年/{{ warrantyMonths }}个月，自{{ warrantyStartDate }}起算。在质保期内出现属乙方货物的质量问题乙方应进行维修并免费进行零部件及备品备件更换及修理。</w:t>
      </w:r>
    </w:p>
    <w:p w14:paraId="2A7041A8">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付款期限与方式</w:t>
      </w:r>
    </w:p>
    <w:p w14:paraId="3373A1E4">
      <w:pPr>
        <w:keepNext w:val="0"/>
        <w:keepLines w:val="0"/>
        <w:pageBreakBefore w:val="0"/>
        <w:numPr>
          <w:ilvl w:val="0"/>
          <w:numId w:val="6"/>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付款期限</w:t>
      </w:r>
    </w:p>
    <w:p w14:paraId="75EED8B0">
      <w:pPr>
        <w:keepNext w:val="0"/>
        <w:keepLines w:val="0"/>
        <w:pageBreakBefore w:val="0"/>
        <w:numPr>
          <w:ilvl w:val="0"/>
          <w:numId w:val="0"/>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yellow"/>
          <w:u w:val="none"/>
          <w:lang w:val="en-US" w:eastAsia="zh-CN"/>
        </w:rPr>
      </w:pPr>
      <w:r>
        <w:rPr>
          <w:rFonts w:hint="eastAsia" w:eastAsia="仿宋"/>
          <w:b w:val="0"/>
          <w:bCs w:val="0"/>
          <w:color w:val="000000"/>
          <w:sz w:val="24"/>
          <w:szCs w:val="24"/>
          <w:highlight w:val="yellow"/>
          <w:u w:val="none"/>
          <w:lang w:val="en-US" w:eastAsia="zh-CN"/>
        </w:rPr>
        <w:t>本合同生效后7个工作日内支付合同总价的{{ advancePaymentRate }}%作为预付款；乙方按约将本合同项下全部货物运抵至交货地点并经甲方验收后15个工作日内支付合同总价的{{ acceptancePaymentRate }}%；剩余合同总价的{{ warrantyDepositRate }}%作为质保金，在货物质保期满且无重大问题时，由甲方扣除乙方应承担的违约金、维修费、罚款等各项费用支付给乙方。</w:t>
      </w:r>
    </w:p>
    <w:p w14:paraId="34BDE68E">
      <w:pPr>
        <w:keepNext w:val="0"/>
        <w:keepLines w:val="0"/>
        <w:pageBreakBefore w:val="0"/>
        <w:numPr>
          <w:ilvl w:val="0"/>
          <w:numId w:val="6"/>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付款方式：电汇或银行承兑汇票。乙方在收款前应向甲方开具正规的13%增值税专用发票，否则，甲方有权顺延支付相应的款项。</w:t>
      </w:r>
    </w:p>
    <w:p w14:paraId="53E2FE6D">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双方的权利和义务</w:t>
      </w:r>
    </w:p>
    <w:p w14:paraId="3CA2B54B">
      <w:pPr>
        <w:keepNext w:val="0"/>
        <w:keepLines w:val="0"/>
        <w:pageBreakBefore w:val="0"/>
        <w:widowControl w:val="0"/>
        <w:numPr>
          <w:ilvl w:val="0"/>
          <w:numId w:val="7"/>
        </w:numPr>
        <w:kinsoku/>
        <w:wordWrap/>
        <w:overflowPunct/>
        <w:topLinePunct w:val="0"/>
        <w:autoSpaceDE/>
        <w:autoSpaceDN/>
        <w:bidi w:val="0"/>
        <w:adjustRightInd/>
        <w:spacing w:line="336" w:lineRule="auto"/>
        <w:ind w:firstLine="480" w:firstLineChars="200"/>
        <w:jc w:val="both"/>
        <w:rPr>
          <w:rFonts w:hint="default" w:eastAsia="仿宋"/>
          <w:b w:val="0"/>
          <w:bCs w:val="0"/>
          <w:color w:val="000000"/>
          <w:sz w:val="24"/>
          <w:szCs w:val="24"/>
          <w:highlight w:val="none"/>
          <w:u w:val="none"/>
          <w:lang w:val="en-US" w:eastAsia="zh-CN"/>
        </w:rPr>
      </w:pPr>
      <w:r>
        <w:rPr>
          <w:rFonts w:hint="eastAsia" w:eastAsia="仿宋"/>
          <w:b w:val="0"/>
          <w:bCs w:val="0"/>
          <w:color w:val="000000"/>
          <w:sz w:val="24"/>
          <w:szCs w:val="24"/>
          <w:highlight w:val="none"/>
          <w:u w:val="none"/>
          <w:lang w:val="en-US" w:eastAsia="zh-CN"/>
        </w:rPr>
        <w:t>乙方指派{{ supplierRepresentativeName }}（身份证号码：{{ supplierRepresentativeIdNo }}、联系电话{{ supplierRepresentativePhone }}、联系地址{{ supplierRepresentativeAddress }}、邮箱{{ supplierRepresentativeEmail }}）为乙方代表（下称“乙方代表人”），全面负责本合同的履行、沟通、协调事宜，其所签署的文件乙方均予以认可。上述人员如有变更，乙方应立即书面通知甲方。</w:t>
      </w:r>
    </w:p>
    <w:p w14:paraId="4610F230">
      <w:pPr>
        <w:keepNext w:val="0"/>
        <w:keepLines w:val="0"/>
        <w:pageBreakBefore w:val="0"/>
        <w:widowControl w:val="0"/>
        <w:numPr>
          <w:ilvl w:val="0"/>
          <w:numId w:val="7"/>
        </w:numPr>
        <w:kinsoku/>
        <w:wordWrap/>
        <w:overflowPunct/>
        <w:topLinePunct w:val="0"/>
        <w:autoSpaceDE/>
        <w:autoSpaceDN/>
        <w:bidi w:val="0"/>
        <w:adjustRightInd/>
        <w:spacing w:line="336" w:lineRule="auto"/>
        <w:ind w:firstLine="480" w:firstLineChars="200"/>
        <w:jc w:val="both"/>
        <w:rPr>
          <w:rFonts w:hint="default" w:eastAsia="仿宋"/>
          <w:b w:val="0"/>
          <w:bCs w:val="0"/>
          <w:color w:val="000000"/>
          <w:sz w:val="24"/>
          <w:szCs w:val="24"/>
          <w:highlight w:val="none"/>
          <w:u w:val="none"/>
          <w:lang w:val="en-US" w:eastAsia="zh-CN"/>
        </w:rPr>
      </w:pPr>
      <w:r>
        <w:rPr>
          <w:rFonts w:hint="default" w:eastAsia="仿宋"/>
          <w:b w:val="0"/>
          <w:bCs w:val="0"/>
          <w:color w:val="000000"/>
          <w:sz w:val="24"/>
          <w:szCs w:val="24"/>
          <w:highlight w:val="none"/>
          <w:u w:val="none"/>
          <w:lang w:val="en-US" w:eastAsia="zh-CN"/>
        </w:rPr>
        <w:t>因乙方</w:t>
      </w:r>
      <w:r>
        <w:rPr>
          <w:rFonts w:hint="eastAsia" w:eastAsia="仿宋"/>
          <w:b w:val="0"/>
          <w:bCs w:val="0"/>
          <w:color w:val="000000"/>
          <w:sz w:val="24"/>
          <w:szCs w:val="24"/>
          <w:highlight w:val="none"/>
          <w:u w:val="none"/>
          <w:lang w:val="en-US" w:eastAsia="zh-CN"/>
        </w:rPr>
        <w:t>货物缺陷</w:t>
      </w:r>
      <w:r>
        <w:rPr>
          <w:rFonts w:hint="default" w:eastAsia="仿宋"/>
          <w:b w:val="0"/>
          <w:bCs w:val="0"/>
          <w:color w:val="000000"/>
          <w:sz w:val="24"/>
          <w:szCs w:val="24"/>
          <w:highlight w:val="none"/>
          <w:u w:val="none"/>
          <w:lang w:val="en-US" w:eastAsia="zh-CN"/>
        </w:rPr>
        <w:t>原因使</w:t>
      </w:r>
      <w:r>
        <w:rPr>
          <w:rFonts w:hint="eastAsia" w:eastAsia="仿宋"/>
          <w:b w:val="0"/>
          <w:bCs w:val="0"/>
          <w:color w:val="000000"/>
          <w:sz w:val="24"/>
          <w:szCs w:val="24"/>
          <w:highlight w:val="none"/>
          <w:u w:val="none"/>
          <w:lang w:val="en-US" w:eastAsia="zh-CN"/>
        </w:rPr>
        <w:t>项目</w:t>
      </w:r>
      <w:r>
        <w:rPr>
          <w:rFonts w:hint="default" w:eastAsia="仿宋"/>
          <w:b w:val="0"/>
          <w:bCs w:val="0"/>
          <w:color w:val="000000"/>
          <w:sz w:val="24"/>
          <w:szCs w:val="24"/>
          <w:highlight w:val="none"/>
          <w:u w:val="none"/>
          <w:lang w:val="en-US" w:eastAsia="zh-CN"/>
        </w:rPr>
        <w:t>质量达不到约定的质量标准，或</w:t>
      </w:r>
      <w:r>
        <w:rPr>
          <w:rFonts w:hint="eastAsia" w:eastAsia="仿宋"/>
          <w:b w:val="0"/>
          <w:bCs w:val="0"/>
          <w:color w:val="000000"/>
          <w:sz w:val="24"/>
          <w:szCs w:val="24"/>
          <w:highlight w:val="none"/>
          <w:u w:val="none"/>
          <w:lang w:val="en-US" w:eastAsia="zh-CN"/>
        </w:rPr>
        <w:t>项目</w:t>
      </w:r>
      <w:r>
        <w:rPr>
          <w:rFonts w:hint="default" w:eastAsia="仿宋"/>
          <w:b w:val="0"/>
          <w:bCs w:val="0"/>
          <w:color w:val="000000"/>
          <w:sz w:val="24"/>
          <w:szCs w:val="24"/>
          <w:highlight w:val="none"/>
          <w:u w:val="none"/>
          <w:lang w:val="en-US" w:eastAsia="zh-CN"/>
        </w:rPr>
        <w:t>业主或监理对</w:t>
      </w:r>
      <w:r>
        <w:rPr>
          <w:rFonts w:hint="eastAsia" w:eastAsia="仿宋"/>
          <w:b w:val="0"/>
          <w:bCs w:val="0"/>
          <w:color w:val="000000"/>
          <w:sz w:val="24"/>
          <w:szCs w:val="24"/>
          <w:highlight w:val="none"/>
          <w:u w:val="none"/>
          <w:lang w:val="en-US" w:eastAsia="zh-CN"/>
        </w:rPr>
        <w:t>货物</w:t>
      </w:r>
      <w:r>
        <w:rPr>
          <w:rFonts w:hint="default" w:eastAsia="仿宋"/>
          <w:b w:val="0"/>
          <w:bCs w:val="0"/>
          <w:color w:val="000000"/>
          <w:sz w:val="24"/>
          <w:szCs w:val="24"/>
          <w:highlight w:val="none"/>
          <w:u w:val="none"/>
          <w:lang w:val="en-US" w:eastAsia="zh-CN"/>
        </w:rPr>
        <w:t>品质、品相等质量问题提出整改要求的，乙方应当根据甲方通知要求及时整改到位并承担一切费用，直至甲方及业主、监理验收满意为止</w:t>
      </w:r>
      <w:r>
        <w:rPr>
          <w:rFonts w:hint="eastAsia" w:eastAsia="仿宋"/>
          <w:b w:val="0"/>
          <w:bCs w:val="0"/>
          <w:color w:val="000000"/>
          <w:sz w:val="24"/>
          <w:szCs w:val="24"/>
          <w:highlight w:val="none"/>
          <w:u w:val="none"/>
          <w:lang w:val="en-US" w:eastAsia="zh-CN"/>
        </w:rPr>
        <w:t>。</w:t>
      </w:r>
    </w:p>
    <w:p w14:paraId="1FD49CA7">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合同解除与违约责任</w:t>
      </w:r>
    </w:p>
    <w:p w14:paraId="5092FD36">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乙方未在到货日期将货物送至交货地点的，每逾期1天，应按当批货物总价的{{ lateDeliveryPenaltyRate }}%计算违约金，若迟延交货导致甲方损失的，由乙方承担赔偿责任。货物逾期到达交货地点超过{{ lateTerminationDays }}日的，甲方有权解除合同，并要求乙方支付本合同总价{{ lateTerminationPenaltyRate }}%的违约金，且另还需赔偿造成的甲方损失。</w:t>
      </w:r>
    </w:p>
    <w:p w14:paraId="2323DB71">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合同当事人一方违约，守约方发出整改通知书之日起满15个工作日内，违约方仍不进行整改的，守约方有权解除合同，违约方应向守约方支付本合同总价{{ generalPenaltyRate }}%的违约金，同时还需赔偿对方（甲方/乙方）损失。</w:t>
      </w:r>
    </w:p>
    <w:p w14:paraId="470AB74A">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woUserID w:val="2"/>
        </w:rPr>
        <w:t>乙方知晓并同意，因乙方违约将对甲方造成不可挽回的损失，本合同下所有因乙方违约产生的违约金乙方不得申请法院或仲裁机构调减。</w:t>
      </w:r>
    </w:p>
    <w:p w14:paraId="4B4DE513">
      <w:pPr>
        <w:keepNext w:val="0"/>
        <w:keepLines w:val="0"/>
        <w:pageBreakBefore w:val="0"/>
        <w:widowControl w:val="0"/>
        <w:numPr>
          <w:ilvl w:val="0"/>
          <w:numId w:val="8"/>
        </w:numPr>
        <w:kinsoku/>
        <w:wordWrap/>
        <w:overflowPunct/>
        <w:topLinePunct w:val="0"/>
        <w:autoSpaceDE/>
        <w:autoSpaceDN/>
        <w:bidi w:val="0"/>
        <w:adjustRightInd/>
        <w:snapToGrid/>
        <w:spacing w:line="348"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woUserID w:val="2"/>
        </w:rPr>
        <w:t>乙方知晓并同意，因乙方违约将对甲方造成不可挽回的损失，本合同下所有因乙方违约产生的违约金乙方不得申请法院或仲裁机构调减。</w:t>
      </w:r>
    </w:p>
    <w:p w14:paraId="020697B9">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争议解决方式</w:t>
      </w:r>
    </w:p>
    <w:p w14:paraId="24FDD3A1">
      <w:pPr>
        <w:keepNext w:val="0"/>
        <w:keepLines w:val="0"/>
        <w:pageBreakBefore w:val="0"/>
        <w:numPr>
          <w:ilvl w:val="0"/>
          <w:numId w:val="9"/>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凡与本合同或执行本合同而发生的一切争议，双方应通过友好协商解决。如不能协商不成，任何一方均可向甲方住所地有管辖权的人民法院提起诉讼。</w:t>
      </w:r>
    </w:p>
    <w:p w14:paraId="2701AE1A">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其他</w:t>
      </w:r>
    </w:p>
    <w:p w14:paraId="4DEF9503">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highlight w:val="none"/>
          <w:u w:val="none"/>
          <w:lang w:val="en-US" w:eastAsia="zh-CN"/>
        </w:rPr>
      </w:pPr>
      <w:r>
        <w:rPr>
          <w:rFonts w:hint="eastAsia" w:eastAsia="仿宋"/>
          <w:b w:val="0"/>
          <w:bCs w:val="0"/>
          <w:color w:val="000000"/>
          <w:sz w:val="24"/>
          <w:szCs w:val="24"/>
          <w:highlight w:val="none"/>
          <w:u w:val="none"/>
          <w:lang w:val="en-US" w:eastAsia="zh-CN"/>
        </w:rPr>
        <w:t>本合同项下“甲方损失”的定位为：包括但不限于因货物质量问题造成的甲方工期延误损失、甲方停工窝工损失、货物重新安装损失、项目业主方或其他第三方向因货物问题而向甲方进行索赔而导致甲方产生的任何损失以及甲方向乙方主张权利所发生的诉讼费、律师费、保全担保费等一切费用及其他甲方间接损失或可得利益。</w:t>
      </w:r>
    </w:p>
    <w:p w14:paraId="0D4A9D22">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本合同附件是本合同不可分割的一部分，与合同正文具有同等效力。</w:t>
      </w:r>
    </w:p>
    <w:p w14:paraId="3DBE7157">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本合同正本一式两份，双方各执一份。自双方盖章之日起正式生效</w:t>
      </w:r>
      <w:r>
        <w:rPr>
          <w:rFonts w:hint="eastAsia" w:eastAsia="仿宋"/>
          <w:b w:val="0"/>
          <w:bCs w:val="0"/>
          <w:color w:val="000000"/>
          <w:sz w:val="24"/>
          <w:szCs w:val="24"/>
          <w:u w:val="none"/>
          <w:lang w:val="en-US" w:eastAsia="zh-CN"/>
        </w:rPr>
        <w:t>，如果本合同的任何条款因任何原因无效，该条款的无效并不影响本合同其他条款的有效性和可执行性，各方应当继续履行本合同其他条款。</w:t>
      </w:r>
    </w:p>
    <w:p w14:paraId="49ABEA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（以下无正文）</w:t>
      </w:r>
    </w:p>
    <w:p w14:paraId="545E30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仿宋"/>
          <w:b w:val="0"/>
          <w:bCs w:val="0"/>
          <w:color w:val="000000"/>
          <w:sz w:val="24"/>
          <w:szCs w:val="24"/>
          <w:u w:val="none"/>
          <w:lang w:val="en-US" w:eastAsia="zh-CN"/>
        </w:rPr>
      </w:pPr>
    </w:p>
    <w:p w14:paraId="6F963243">
      <w:pPr>
        <w:spacing w:line="360" w:lineRule="auto"/>
        <w:ind w:firstLine="482" w:firstLineChars="200"/>
        <w:rPr>
          <w:rFonts w:hint="eastAsia" w:ascii="仿宋" w:hAnsi="仿宋" w:eastAsia="仿宋" w:cs="仿宋"/>
          <w:sz w:val="24"/>
          <w:u w:val="single"/>
        </w:rPr>
      </w:pPr>
      <w:r>
        <w:rPr>
          <w:rFonts w:hint="eastAsia" w:ascii="仿宋" w:hAnsi="仿宋" w:eastAsia="仿宋" w:cs="仿宋"/>
          <w:b/>
          <w:bCs/>
          <w:sz w:val="24"/>
        </w:rPr>
        <w:t>甲方：浙江沃乐科技股份有限公司              乙方：{{ supplierName }}</w:t>
      </w:r>
    </w:p>
    <w:p w14:paraId="6167F6BA">
      <w:pPr>
        <w:spacing w:line="360" w:lineRule="auto"/>
        <w:ind w:firstLine="480" w:firstLineChars="200"/>
        <w:rPr>
          <w:rFonts w:hint="eastAsia" w:ascii="仿宋" w:hAnsi="仿宋" w:eastAsia="仿宋" w:cs="仿宋"/>
          <w:sz w:val="24"/>
        </w:rPr>
      </w:pPr>
    </w:p>
    <w:p w14:paraId="7DDD6CA1">
      <w:pPr>
        <w:spacing w:line="360" w:lineRule="auto"/>
        <w:ind w:firstLine="480" w:firstLineChars="200"/>
        <w:rPr>
          <w:rFonts w:hint="eastAsia" w:ascii="仿宋" w:hAnsi="仿宋" w:eastAsia="仿宋" w:cs="仿宋"/>
          <w:sz w:val="24"/>
          <w:u w:val="single"/>
          <w:lang w:val="en-US" w:eastAsia="zh-CN"/>
        </w:rPr>
      </w:pPr>
      <w:r>
        <w:rPr>
          <w:rFonts w:hint="eastAsia" w:ascii="仿宋" w:hAnsi="仿宋" w:eastAsia="仿宋" w:cs="仿宋"/>
          <w:sz w:val="24"/>
          <w:lang w:val="en-US" w:eastAsia="zh-CN"/>
        </w:rPr>
        <w:t>授权权代表：{{ buyerAuthorizedRepresentative }}                            授权代表：{{ supplierAuthorizedRepresentative }}</w:t>
      </w:r>
    </w:p>
    <w:p w14:paraId="45B02F78">
      <w:pPr>
        <w:spacing w:line="360" w:lineRule="auto"/>
        <w:ind w:firstLine="480" w:firstLineChars="200"/>
        <w:rPr>
          <w:rFonts w:hint="eastAsia" w:ascii="仿宋" w:hAnsi="仿宋" w:eastAsia="仿宋" w:cs="仿宋"/>
          <w:sz w:val="24"/>
        </w:rPr>
      </w:pPr>
    </w:p>
    <w:p w14:paraId="463C2E9E">
      <w:pPr>
        <w:spacing w:line="360" w:lineRule="auto"/>
        <w:ind w:firstLine="5280" w:firstLineChars="2200"/>
        <w:rPr>
          <w:rFonts w:hint="eastAsia" w:ascii="仿宋" w:hAnsi="仿宋" w:eastAsia="仿宋" w:cs="仿宋"/>
          <w:sz w:val="24"/>
        </w:rPr>
      </w:pPr>
      <w:r>
        <w:rPr>
          <w:rFonts w:hint="eastAsia" w:ascii="仿宋" w:hAnsi="仿宋" w:eastAsia="仿宋" w:cs="仿宋"/>
          <w:sz w:val="24"/>
        </w:rPr>
        <w:t>日期：{{ signatureYear }}年{{ signatureMonth }}月{{ signatureDay }}日</w:t>
      </w:r>
    </w:p>
    <w:p w14:paraId="3CF1E7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eastAsia="仿宋"/>
          <w:b/>
          <w:bCs/>
          <w:color w:val="000000"/>
          <w:sz w:val="24"/>
          <w:szCs w:val="24"/>
          <w:u w:val="none"/>
          <w:lang w:val="en-US" w:eastAsia="zh-CN"/>
        </w:rPr>
      </w:pPr>
    </w:p>
    <w:sectPr>
      <w:headerReference r:id="rId3" w:type="default"/>
      <w:footerReference r:id="rId4" w:type="default"/>
      <w:pgSz w:w="11906" w:h="16838"/>
      <w:pgMar w:top="1440" w:right="1440" w:bottom="1440" w:left="144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06"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2BEE">
    <w:pPr>
      <w:pStyle w:val="5"/>
      <w:jc w:val="center"/>
    </w:pPr>
  </w:p>
  <w:p w14:paraId="1CFE842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F25DF4">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1CF25DF4">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3B63488">
    <w:pPr>
      <w:pStyle w:val="5"/>
    </w:pPr>
  </w:p>
  <w:p w14:paraId="0E89B761">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F2DDF">
    <w:pPr>
      <w:jc w:val="left"/>
      <w:rPr>
        <w:b/>
        <w:bCs/>
        <w:color w:val="002060"/>
        <w:sz w:val="24"/>
        <w:szCs w:val="24"/>
      </w:rPr>
    </w:pPr>
    <w:r>
      <w:rPr>
        <w:rFonts w:hint="eastAsia"/>
        <w:b/>
        <w:bCs/>
        <w:color w:val="4F81BD"/>
        <w:sz w:val="24"/>
        <w:szCs w:val="24"/>
        <w:lang w:val="en-US" w:eastAsia="zh-CN"/>
      </w:rPr>
      <w:t xml:space="preserve">沃乐环境                                                       </w:t>
    </w:r>
    <w:r>
      <w:rPr>
        <w:rFonts w:hint="eastAsia"/>
        <w:b/>
        <w:bCs/>
        <w:color w:val="4F81BD"/>
        <w:sz w:val="24"/>
        <w:szCs w:val="24"/>
      </w:rPr>
      <w:t>Water</w:t>
    </w:r>
    <w:r>
      <w:rPr>
        <w:rFonts w:hint="eastAsia"/>
        <w:b/>
        <w:bCs/>
        <w:sz w:val="24"/>
        <w:szCs w:val="24"/>
      </w:rPr>
      <w:t xml:space="preserve"> </w:t>
    </w:r>
    <w:r>
      <w:rPr>
        <w:rFonts w:hint="eastAsia"/>
        <w:b/>
        <w:bCs/>
        <w:color w:val="002060"/>
        <w:sz w:val="24"/>
        <w:szCs w:val="24"/>
      </w:rPr>
      <w:t>Healer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suff w:val="nothing"/>
      <w:lvlText w:val="%1、"/>
      <w:lvlJc w:val="left"/>
      <w:rPr>
        <w:rFonts w:hint="eastAsia"/>
        <w:b/>
        <w:bCs/>
      </w:rPr>
    </w:lvl>
  </w:abstractNum>
  <w:abstractNum w:abstractNumId="1">
    <w:nsid w:val="9073CEDB"/>
    <w:multiLevelType w:val="singleLevel"/>
    <w:tmpl w:val="9073CEDB"/>
    <w:lvl w:ilvl="0" w:tentative="0">
      <w:start w:val="1"/>
      <w:numFmt w:val="decimal"/>
      <w:lvlText w:val="%1."/>
      <w:lvlJc w:val="left"/>
      <w:pPr>
        <w:tabs>
          <w:tab w:val="left" w:pos="312"/>
        </w:tabs>
      </w:pPr>
    </w:lvl>
  </w:abstractNum>
  <w:abstractNum w:abstractNumId="2">
    <w:nsid w:val="9FBB1064"/>
    <w:multiLevelType w:val="singleLevel"/>
    <w:tmpl w:val="9FBB1064"/>
    <w:lvl w:ilvl="0" w:tentative="0">
      <w:start w:val="1"/>
      <w:numFmt w:val="decimal"/>
      <w:lvlText w:val="%1."/>
      <w:lvlJc w:val="left"/>
      <w:pPr>
        <w:tabs>
          <w:tab w:val="left" w:pos="312"/>
        </w:tabs>
      </w:pPr>
    </w:lvl>
  </w:abstractNum>
  <w:abstractNum w:abstractNumId="3">
    <w:nsid w:val="AE1EBD70"/>
    <w:multiLevelType w:val="singleLevel"/>
    <w:tmpl w:val="AE1EBD70"/>
    <w:lvl w:ilvl="0" w:tentative="0">
      <w:start w:val="1"/>
      <w:numFmt w:val="decimal"/>
      <w:lvlText w:val="%1."/>
      <w:lvlJc w:val="left"/>
      <w:pPr>
        <w:tabs>
          <w:tab w:val="left" w:pos="312"/>
        </w:tabs>
      </w:pPr>
    </w:lvl>
  </w:abstractNum>
  <w:abstractNum w:abstractNumId="4">
    <w:nsid w:val="C9F2582D"/>
    <w:multiLevelType w:val="singleLevel"/>
    <w:tmpl w:val="C9F2582D"/>
    <w:lvl w:ilvl="0" w:tentative="0">
      <w:start w:val="1"/>
      <w:numFmt w:val="decimal"/>
      <w:lvlText w:val="%1."/>
      <w:lvlJc w:val="left"/>
      <w:pPr>
        <w:tabs>
          <w:tab w:val="left" w:pos="312"/>
        </w:tabs>
      </w:pPr>
    </w:lvl>
  </w:abstractNum>
  <w:abstractNum w:abstractNumId="5">
    <w:nsid w:val="EDEF0632"/>
    <w:multiLevelType w:val="singleLevel"/>
    <w:tmpl w:val="EDEF0632"/>
    <w:lvl w:ilvl="0" w:tentative="0">
      <w:start w:val="1"/>
      <w:numFmt w:val="decimal"/>
      <w:lvlText w:val="%1."/>
      <w:lvlJc w:val="left"/>
      <w:pPr>
        <w:tabs>
          <w:tab w:val="left" w:pos="312"/>
        </w:tabs>
      </w:pPr>
    </w:lvl>
  </w:abstractNum>
  <w:abstractNum w:abstractNumId="6">
    <w:nsid w:val="21C3DC5A"/>
    <w:multiLevelType w:val="singleLevel"/>
    <w:tmpl w:val="21C3DC5A"/>
    <w:lvl w:ilvl="0" w:tentative="0">
      <w:start w:val="1"/>
      <w:numFmt w:val="decimal"/>
      <w:lvlText w:val="%1."/>
      <w:lvlJc w:val="left"/>
      <w:pPr>
        <w:tabs>
          <w:tab w:val="left" w:pos="312"/>
        </w:tabs>
      </w:pPr>
      <w:rPr>
        <w:rFonts w:hint="default"/>
        <w:b w:val="0"/>
        <w:bCs w:val="0"/>
      </w:rPr>
    </w:lvl>
  </w:abstractNum>
  <w:abstractNum w:abstractNumId="7">
    <w:nsid w:val="25EA1CB0"/>
    <w:multiLevelType w:val="singleLevel"/>
    <w:tmpl w:val="25EA1CB0"/>
    <w:lvl w:ilvl="0" w:tentative="0">
      <w:start w:val="1"/>
      <w:numFmt w:val="decimal"/>
      <w:lvlText w:val="%1."/>
      <w:lvlJc w:val="left"/>
      <w:pPr>
        <w:tabs>
          <w:tab w:val="left" w:pos="312"/>
        </w:tabs>
      </w:pPr>
    </w:lvl>
  </w:abstractNum>
  <w:abstractNum w:abstractNumId="8">
    <w:nsid w:val="34DCE140"/>
    <w:multiLevelType w:val="singleLevel"/>
    <w:tmpl w:val="34DCE140"/>
    <w:lvl w:ilvl="0" w:tentative="0">
      <w:start w:val="1"/>
      <w:numFmt w:val="decimal"/>
      <w:lvlText w:val="%1."/>
      <w:lvlJc w:val="left"/>
      <w:pPr>
        <w:tabs>
          <w:tab w:val="left" w:pos="312"/>
        </w:tabs>
      </w:pPr>
    </w:lvl>
  </w:abstractNum>
  <w:abstractNum w:abstractNumId="9">
    <w:nsid w:val="4ED6106F"/>
    <w:multiLevelType w:val="singleLevel"/>
    <w:tmpl w:val="4ED6106F"/>
    <w:lvl w:ilvl="0" w:tentative="0">
      <w:start w:val="1"/>
      <w:numFmt w:val="decimal"/>
      <w:lvlText w:val="%1."/>
      <w:lvlJc w:val="left"/>
      <w:pPr>
        <w:tabs>
          <w:tab w:val="left" w:pos="312"/>
        </w:tabs>
      </w:pPr>
    </w:lvl>
  </w:abstractNum>
  <w:num w:numId="1">
    <w:abstractNumId w:val="0"/>
  </w:num>
  <w:num w:numId="2">
    <w:abstractNumId w:val="2"/>
  </w:num>
  <w:num w:numId="3">
    <w:abstractNumId w:val="5"/>
  </w:num>
  <w:num w:numId="4">
    <w:abstractNumId w:val="3"/>
  </w:num>
  <w:num w:numId="5">
    <w:abstractNumId w:val="1"/>
  </w:num>
  <w:num w:numId="6">
    <w:abstractNumId w:val="6"/>
  </w:num>
  <w:num w:numId="7">
    <w:abstractNumId w:val="8"/>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EC107AA"/>
    <w:rsid w:val="00011777"/>
    <w:rsid w:val="000133F7"/>
    <w:rsid w:val="0002344B"/>
    <w:rsid w:val="00036960"/>
    <w:rsid w:val="00093BF4"/>
    <w:rsid w:val="000D7D2D"/>
    <w:rsid w:val="00194D93"/>
    <w:rsid w:val="001F745C"/>
    <w:rsid w:val="00215AE1"/>
    <w:rsid w:val="00217848"/>
    <w:rsid w:val="00221C45"/>
    <w:rsid w:val="00242FAD"/>
    <w:rsid w:val="00292EA8"/>
    <w:rsid w:val="002C54EB"/>
    <w:rsid w:val="002C7451"/>
    <w:rsid w:val="00312B92"/>
    <w:rsid w:val="00317A20"/>
    <w:rsid w:val="00332321"/>
    <w:rsid w:val="00336737"/>
    <w:rsid w:val="00362756"/>
    <w:rsid w:val="00386B18"/>
    <w:rsid w:val="0041457E"/>
    <w:rsid w:val="00465E5A"/>
    <w:rsid w:val="00466B6E"/>
    <w:rsid w:val="004B3655"/>
    <w:rsid w:val="00557E19"/>
    <w:rsid w:val="00566EE7"/>
    <w:rsid w:val="00596B3E"/>
    <w:rsid w:val="005B65FE"/>
    <w:rsid w:val="00637EF0"/>
    <w:rsid w:val="006572F4"/>
    <w:rsid w:val="006C20C1"/>
    <w:rsid w:val="006D6E2F"/>
    <w:rsid w:val="007122C0"/>
    <w:rsid w:val="00724C1E"/>
    <w:rsid w:val="0073673F"/>
    <w:rsid w:val="007705BD"/>
    <w:rsid w:val="007C40CE"/>
    <w:rsid w:val="007D17AB"/>
    <w:rsid w:val="00853BF9"/>
    <w:rsid w:val="00861697"/>
    <w:rsid w:val="00871998"/>
    <w:rsid w:val="008D11E5"/>
    <w:rsid w:val="0090736F"/>
    <w:rsid w:val="009215F4"/>
    <w:rsid w:val="009E54E1"/>
    <w:rsid w:val="009F650E"/>
    <w:rsid w:val="00A364FF"/>
    <w:rsid w:val="00AB0451"/>
    <w:rsid w:val="00B10F2D"/>
    <w:rsid w:val="00B12A32"/>
    <w:rsid w:val="00B648C4"/>
    <w:rsid w:val="00B75821"/>
    <w:rsid w:val="00B8335B"/>
    <w:rsid w:val="00B90D0C"/>
    <w:rsid w:val="00BA6FCC"/>
    <w:rsid w:val="00BB6ED7"/>
    <w:rsid w:val="00BC6276"/>
    <w:rsid w:val="00BC7BAB"/>
    <w:rsid w:val="00C055C8"/>
    <w:rsid w:val="00C40F68"/>
    <w:rsid w:val="00C47071"/>
    <w:rsid w:val="00CA4D36"/>
    <w:rsid w:val="00CE380F"/>
    <w:rsid w:val="00CE40BD"/>
    <w:rsid w:val="00D1082C"/>
    <w:rsid w:val="00D334A6"/>
    <w:rsid w:val="00D50205"/>
    <w:rsid w:val="00D52EB5"/>
    <w:rsid w:val="00E02F83"/>
    <w:rsid w:val="00E54936"/>
    <w:rsid w:val="00EA46CF"/>
    <w:rsid w:val="00EC5450"/>
    <w:rsid w:val="00EC778C"/>
    <w:rsid w:val="00EF1873"/>
    <w:rsid w:val="00F02D6C"/>
    <w:rsid w:val="00F10ADD"/>
    <w:rsid w:val="00F35329"/>
    <w:rsid w:val="00F42B08"/>
    <w:rsid w:val="00F550E5"/>
    <w:rsid w:val="00F757E5"/>
    <w:rsid w:val="08AD5A32"/>
    <w:rsid w:val="0B772A1C"/>
    <w:rsid w:val="0CCD1E26"/>
    <w:rsid w:val="0D33563A"/>
    <w:rsid w:val="0D564973"/>
    <w:rsid w:val="0EC107AA"/>
    <w:rsid w:val="0EFD435B"/>
    <w:rsid w:val="102962AF"/>
    <w:rsid w:val="158A3C94"/>
    <w:rsid w:val="180C08E3"/>
    <w:rsid w:val="1A374954"/>
    <w:rsid w:val="1AFC13E0"/>
    <w:rsid w:val="21051963"/>
    <w:rsid w:val="22EF585C"/>
    <w:rsid w:val="236A72D8"/>
    <w:rsid w:val="23B83A3D"/>
    <w:rsid w:val="27832E0C"/>
    <w:rsid w:val="286C69BE"/>
    <w:rsid w:val="2D0F4D53"/>
    <w:rsid w:val="322E5C7B"/>
    <w:rsid w:val="35D2691D"/>
    <w:rsid w:val="38414117"/>
    <w:rsid w:val="38E75B61"/>
    <w:rsid w:val="3D7E8BE8"/>
    <w:rsid w:val="3FAED48C"/>
    <w:rsid w:val="44280EB1"/>
    <w:rsid w:val="49090450"/>
    <w:rsid w:val="4BBC3957"/>
    <w:rsid w:val="542F3D3D"/>
    <w:rsid w:val="55C4407D"/>
    <w:rsid w:val="59EF6DB7"/>
    <w:rsid w:val="5AC53235"/>
    <w:rsid w:val="5AFC5A9A"/>
    <w:rsid w:val="5C377492"/>
    <w:rsid w:val="5CDD4F96"/>
    <w:rsid w:val="61ED04B8"/>
    <w:rsid w:val="629934BE"/>
    <w:rsid w:val="65FE7137"/>
    <w:rsid w:val="729F369D"/>
    <w:rsid w:val="76CB7860"/>
    <w:rsid w:val="78FD6BFC"/>
    <w:rsid w:val="799676C1"/>
    <w:rsid w:val="7F7E679B"/>
    <w:rsid w:val="BEB70E2D"/>
    <w:rsid w:val="F73FA25A"/>
    <w:rsid w:val="F7ED9A7C"/>
    <w:rsid w:val="F7FF9EA6"/>
    <w:rsid w:val="FCFC5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0" w:beforeAutospacing="1" w:after="0" w:afterAutospacing="1"/>
      <w:ind w:left="0" w:right="0"/>
      <w:jc w:val="left"/>
    </w:pPr>
    <w:rPr>
      <w:rFonts w:ascii="SimSun" w:hAnsi="SimSun" w:eastAsia="SimSun" w:cs="SimSun"/>
      <w:kern w:val="0"/>
      <w:sz w:val="24"/>
      <w:szCs w:val="24"/>
      <w:lang w:val="en-US" w:eastAsia="zh-CN" w:bidi="ar"/>
    </w:rPr>
  </w:style>
  <w:style w:type="character" w:styleId="8">
    <w:name w:val="Placeholder Text"/>
    <w:basedOn w:val="2"/>
    <w:semiHidden/>
    <w:qFormat/>
    <w:uiPriority w:val="99"/>
    <w:rPr>
      <w:color w:val="808080"/>
    </w:rPr>
  </w:style>
  <w:style w:type="character" w:customStyle="1" w:styleId="9">
    <w:name w:val="页眉 字符"/>
    <w:basedOn w:val="2"/>
    <w:link w:val="6"/>
    <w:qFormat/>
    <w:uiPriority w:val="0"/>
    <w:rPr>
      <w:kern w:val="2"/>
      <w:sz w:val="18"/>
      <w:szCs w:val="18"/>
    </w:rPr>
  </w:style>
  <w:style w:type="paragraph" w:styleId="10">
    <w:name w:val="List Paragraph"/>
    <w:basedOn w:val="1"/>
    <w:qFormat/>
    <w:uiPriority w:val="0"/>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2990</Words>
  <Characters>3059</Characters>
  <Lines>1</Lines>
  <Paragraphs>1</Paragraphs>
  <TotalTime>0</TotalTime>
  <ScaleCrop>false</ScaleCrop>
  <LinksUpToDate>false</LinksUpToDate>
  <CharactersWithSpaces>3267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2021-03-14T10:01:00Z</dcterms:created>
  <dc:creator>admin</dc:creator>
  <cp:lastModifiedBy>杨宇卿</cp:lastModifiedBy>
  <dcterms:modified xsi:type="dcterms:W3CDTF">2026-05-16T17:27:02Z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534DCC6637CFEEE224161364A5994F5F_43</vt:lpwstr>
  </property>
  <property fmtid="{D5CDD505-2E9C-101B-9397-08002B2CF9AE}" pid="4" name="KSOTemplateDocerSaveRecord">
    <vt:lpwstr>eyJoZGlkIjoiMzEwNTM5NzYwMDRjMzkwZTVkZjY2ODkwMGIxNGU0OTUiLCJ1c2VySWQiOiIzNTU5ODA1MDIifQ==</vt:lpwstr>
  </property>
</Properties>
</file>