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40" w:before="0"/>
      </w:pPr>
      <w:r>
        <w:rPr>
          <w:rFonts w:ascii="Times New Roman" w:hAnsi="Times New Roman" w:cs="Times New Roman"/>
          <w:b/>
          <w:i w:val="0"/>
          <w:sz w:val="22"/>
        </w:rPr>
        <w:t>УДК 004.85:519.237.8</w:t>
      </w:r>
    </w:p>
    <w:p>
      <w:pPr>
        <w:spacing w:line="240" w:lineRule="auto" w:after="40" w:before="0"/>
      </w:pPr>
      <w:r>
        <w:rPr>
          <w:rFonts w:ascii="Times New Roman" w:hAnsi="Times New Roman" w:cs="Times New Roman"/>
          <w:b/>
          <w:i w:val="0"/>
          <w:sz w:val="22"/>
        </w:rPr>
        <w:t>Y. Kuzhii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(ORCID: 0000-0000-0000-0000 — *уточнити*), аспірант, Львівський національний університет імені Івана Франка</w:t>
      </w:r>
    </w:p>
    <w:p>
      <w:pPr>
        <w:spacing w:line="240" w:lineRule="auto" w:after="40" w:before="0"/>
      </w:pPr>
      <w:r>
        <w:rPr>
          <w:rFonts w:ascii="Times New Roman" w:hAnsi="Times New Roman" w:cs="Times New Roman"/>
          <w:b/>
          <w:i w:val="0"/>
          <w:sz w:val="22"/>
        </w:rPr>
        <w:t>Y. Furgala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(ORCID: *за наявності*), канд. техн. наук, доцент, Львівський національний університет імені Івана Франка</w:t>
      </w:r>
    </w:p>
    <w:p>
      <w:pPr>
        <w:spacing w:before="200" w:after="60" w:line="240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Ідентифікація контекстно-інваріантних метрик майстерності гравця у кіберспорті на основі аналізу розмірів ефекту</w:t>
      </w:r>
    </w:p>
    <w:p>
      <w:pPr>
        <w:spacing w:before="200" w:after="60" w:line="240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Identification of context-invariant player skill metrics in esports through effect-size analysis</w:t>
      </w:r>
    </w:p>
    <w:p>
      <w:pPr>
        <w:spacing w:before="160" w:after="60" w:line="240" w:lineRule="auto"/>
      </w:pPr>
      <w:r>
        <w:rPr>
          <w:rFonts w:ascii="Times New Roman" w:hAnsi="Times New Roman" w:cs="Times New Roman"/>
          <w:b/>
          <w:i w:val="0"/>
          <w:sz w:val="22"/>
        </w:rPr>
        <w:t>Анотація (укр.)</w:t>
      </w:r>
    </w:p>
    <w:p>
      <w:pPr>
        <w:spacing w:line="240" w:lineRule="auto" w:after="40" w:before="0"/>
        <w:ind w:firstLine="567"/>
      </w:pPr>
      <w:r>
        <w:rPr>
          <w:rFonts w:ascii="Times New Roman" w:hAnsi="Times New Roman" w:cs="Times New Roman"/>
          <w:b w:val="0"/>
          <w:i w:val="0"/>
          <w:sz w:val="18"/>
        </w:rPr>
        <w:t>Оцінювання індивідуальної майстерності гравця у командних кіберспортивних дисциплінах ускладнюється тим, що спостережувані метрики продуктивності залежать від контексту матчу — конкретної карти, версії гри та сторони. У роботі досліджено інваріантність 46 метрик продуктивності гравців Counter-Strike за трьома вимірами на наборі з 3486 спостережень «гравець×карта» (1820 — Counter-Strike 2, період 2023–2025; 1666 — Counter-Strike: Global Offensive, період 2012–2023), зібраному з відкритого ресурсу HLTV.org для восьми карт. Інваріантність визначено за розміром ефекту, а не за p-значенням, оскільки за вибірок у кілька тисяч спостережень останнє вказує на значущість навіть за практично незначних відмінностей. Застосовано однофакторний дисперсійний аналіз з η² (карти), критерій Манна–Уітні з Cohen's d (версії) та парний t-критерій з Cohen's d (сторони). Встановлено, що 76,1 % метрик інваріантні до карти, 93,5 % — до версії гри і лише 47,8 % — до сторони, тобто сторона є найсильнішим джерелом контекстного зміщення. Шістнадцять метрик виявилися інваріантними одночасно за всіма трьома вимірами; цей «триінваріантний» набір (загальний рейтинг, вогнева міць, метрики відкриваючих дуелей і клатчів, снайперські мультікіли) відображає внутрішні здібності гравця і придатний для побудови робастних моделей оцінювання майстерності та скаутингу. Аналіз чутливості підтвердив стійкість висновків у межах кожної версії гри: усі 33 map-інваріантні в CS2 метрики залишаються інваріантними і в CSGO.</w:t>
      </w:r>
    </w:p>
    <w:p>
      <w:pPr>
        <w:spacing w:line="240" w:lineRule="auto" w:after="40" w:before="0"/>
      </w:pPr>
      <w:r>
        <w:rPr>
          <w:rFonts w:ascii="Times New Roman" w:hAnsi="Times New Roman" w:cs="Times New Roman"/>
          <w:b/>
          <w:i w:val="0"/>
          <w:sz w:val="18"/>
        </w:rPr>
        <w:t>Ключові слова:</w:t>
      </w:r>
      <w:r>
        <w:rPr>
          <w:rFonts w:ascii="Times New Roman" w:hAnsi="Times New Roman" w:cs="Times New Roman"/>
          <w:b w:val="0"/>
          <w:i w:val="0"/>
          <w:sz w:val="18"/>
        </w:rPr>
        <w:t xml:space="preserve"> кіберспорт; розпізнавання образів; інваріантність ознак; розмір ефекту; відбір ознак; оцінювання майстерності; Counter-Strike; дисперсійний аналіз.</w:t>
      </w:r>
    </w:p>
    <w:p>
      <w:pPr>
        <w:spacing w:before="160" w:after="60" w:line="240" w:lineRule="auto"/>
      </w:pPr>
      <w:r>
        <w:rPr>
          <w:rFonts w:ascii="Times New Roman" w:hAnsi="Times New Roman" w:cs="Times New Roman"/>
          <w:b/>
          <w:i w:val="0"/>
          <w:sz w:val="22"/>
        </w:rPr>
        <w:t>Abstract (eng.)</w:t>
      </w:r>
    </w:p>
    <w:p>
      <w:pPr>
        <w:spacing w:line="240" w:lineRule="auto" w:after="40" w:before="0"/>
        <w:ind w:firstLine="567"/>
      </w:pPr>
      <w:r>
        <w:rPr>
          <w:rFonts w:ascii="Times New Roman" w:hAnsi="Times New Roman" w:cs="Times New Roman"/>
          <w:b w:val="0"/>
          <w:i w:val="0"/>
          <w:sz w:val="18"/>
        </w:rPr>
        <w:t>Assessing individual player skill in team-based esports is complicated by the dependence of observed performance metrics on match context — the particular map, the game version, and the side played. This study examines the invariance of 46 Counter-Strike player performance metrics across three dimensions, using 3486 player×map observations (1820 from Counter-Strike 2, period 2023–2025; 1666 from Counter-Strike: Global Offensive, period 2012–2023) collected from the public resource HLTV.org across eight maps. Invariance is defined by effect size rather than by the p-value, because for samples of several thousand observations the latter indicates significance even for practically negligible differences. One-way ANOVA with η² (maps), the Mann–Whitney U test with Cohen's d (versions), and a paired t-test with Cohen's d (sides) are applied. We find that 76.1 % of metrics are invariant to the map, 93.5 % to the game version, and only 47.8 % to the side, so that the side is the strongest source of contextual bias. Sixteen metrics are simultaneously invariant across all three dimensions; this "triple-invariant" set (overall rating, firepower, opening-duel and clutch metrics, sniper multi-kills) reflects intrinsic player ability and is suitable for building robust skill-assessment and scouting models. A sensitivity analysis confirms the robustness of the conclusions within each game version: all 33 metrics that are map-invariant in CS2 remain invariant in CSGO as well.</w:t>
      </w:r>
    </w:p>
    <w:p>
      <w:pPr>
        <w:spacing w:line="240" w:lineRule="auto" w:after="40" w:before="0"/>
      </w:pPr>
      <w:r>
        <w:rPr>
          <w:rFonts w:ascii="Times New Roman" w:hAnsi="Times New Roman" w:cs="Times New Roman"/>
          <w:b/>
          <w:i w:val="0"/>
          <w:sz w:val="18"/>
        </w:rPr>
        <w:t>Keywords:</w:t>
      </w:r>
      <w:r>
        <w:rPr>
          <w:rFonts w:ascii="Times New Roman" w:hAnsi="Times New Roman" w:cs="Times New Roman"/>
          <w:b w:val="0"/>
          <w:i w:val="0"/>
          <w:sz w:val="18"/>
        </w:rPr>
        <w:t xml:space="preserve"> esports; pattern recognition; feature invariance; effect size; feature selection; skill assessment; Counter-Strike; analysis of variance.</w:t>
      </w:r>
    </w:p>
    <w:p>
      <w:pPr>
        <w:spacing w:before="160" w:after="60" w:line="240" w:lineRule="auto"/>
      </w:pPr>
      <w:r>
        <w:rPr>
          <w:rFonts w:ascii="Times New Roman" w:hAnsi="Times New Roman" w:cs="Times New Roman"/>
          <w:b/>
          <w:i w:val="0"/>
          <w:sz w:val="22"/>
        </w:rPr>
        <w:t>1. Вступ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Кіберспортивна аналітика дедалі ширше використовує методи машинного навчання та розпізнавання образів для оцінювання індивідуальної майстерності гравців і відбору ознак, що характеризують продуктивність [1]. Counter-Strike — одна з найпопулярніших командних дисциплін, для якої доступні детальні статистичні профілі гравців на рівні окремих карт. Однак спостережувані метрики продуктивності формуються не лише індивідуальними здібностями гравця, а й контекстом матчу: конкретною картою, версією гри (перехід від Counter-Strike: Global Offensive до Counter-Strike 2) та стороною (атака — терористи, оборона — контр-терористи).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 xml:space="preserve">Для побудови робастних моделей оцінювання майстерності критично відокремити </w:t>
      </w:r>
      <w:r>
        <w:rPr>
          <w:rFonts w:ascii="Times New Roman" w:hAnsi="Times New Roman" w:cs="Times New Roman"/>
          <w:b/>
          <w:i w:val="0"/>
          <w:sz w:val="22"/>
        </w:rPr>
        <w:t>контекстно-інваріантні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метрики, що відображають стабільні здібності гравця, від </w:t>
      </w:r>
      <w:r>
        <w:rPr>
          <w:rFonts w:ascii="Times New Roman" w:hAnsi="Times New Roman" w:cs="Times New Roman"/>
          <w:b/>
          <w:i w:val="0"/>
          <w:sz w:val="22"/>
        </w:rPr>
        <w:t>контекстно-залежних</w:t>
      </w:r>
      <w:r>
        <w:rPr>
          <w:rFonts w:ascii="Times New Roman" w:hAnsi="Times New Roman" w:cs="Times New Roman"/>
          <w:b w:val="0"/>
          <w:i w:val="0"/>
          <w:sz w:val="22"/>
        </w:rPr>
        <w:t>, які радше характеризують ситуацію, ніж гравця. Така постановка належить до класичної задачі відбору ознак [2] та узгоджується з проблемою зсуву розподілу даних (dataset shift), коли властивості простору ознак змінюються між умовами спостереження [3].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 xml:space="preserve">Мета роботи — ідентифікувати метрики продуктивності гравця Counter-Strike, інваріантні щодо карти, версії гри та сторони, і виокремити підмножину, інваріантну одночасно за всіма трьома вимірами. На відміну від поширеного підходу, що спирається на статистичну значущість, ми визначаємо інваріантність через </w:t>
      </w:r>
      <w:r>
        <w:rPr>
          <w:rFonts w:ascii="Times New Roman" w:hAnsi="Times New Roman" w:cs="Times New Roman"/>
          <w:b/>
          <w:i w:val="0"/>
          <w:sz w:val="22"/>
        </w:rPr>
        <w:t>розмір ефекту</w:t>
      </w:r>
      <w:r>
        <w:rPr>
          <w:rFonts w:ascii="Times New Roman" w:hAnsi="Times New Roman" w:cs="Times New Roman"/>
          <w:b w:val="0"/>
          <w:i w:val="0"/>
          <w:sz w:val="22"/>
        </w:rPr>
        <w:t>, оскільки за обсягу вибірки в кілька тисяч спостережень навіть практично незначні відмінності стають статистично значущими [5, 6].</w:t>
      </w:r>
    </w:p>
    <w:p>
      <w:pPr>
        <w:spacing w:before="160" w:after="60" w:line="240" w:lineRule="auto"/>
      </w:pPr>
      <w:r>
        <w:rPr>
          <w:rFonts w:ascii="Times New Roman" w:hAnsi="Times New Roman" w:cs="Times New Roman"/>
          <w:b/>
          <w:i w:val="0"/>
          <w:sz w:val="22"/>
        </w:rPr>
        <w:t>2. Матеріали і методи</w:t>
      </w:r>
    </w:p>
    <w:p>
      <w:pPr>
        <w:spacing w:before="120" w:after="60" w:line="240" w:lineRule="auto"/>
      </w:pPr>
      <w:r>
        <w:rPr>
          <w:rFonts w:ascii="Times New Roman" w:hAnsi="Times New Roman" w:cs="Times New Roman"/>
          <w:b/>
          <w:i w:val="0"/>
          <w:sz w:val="22"/>
        </w:rPr>
        <w:t>2.1. Набір даних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 xml:space="preserve">Дані зібрано з відкритого ресурсу HLTV.org — статистичні профілі гравців на рівні карт. Кожне спостереження відповідає парі «гравець×карта» і містить агрегований профіль метрик загалом та окремо для сторін CT і T. Після об'єднання двох версій гри, фільтрації валідних карт (назви з префіксом </w:t>
      </w:r>
      <w:r>
        <w:rPr>
          <w:rFonts w:ascii="Times New Roman" w:hAnsi="Times New Roman" w:cs="Times New Roman"/>
          <w:b w:val="0"/>
          <w:i w:val="0"/>
          <w:sz w:val="22"/>
        </w:rPr>
        <w:t>de_</w:t>
      </w:r>
      <w:r>
        <w:rPr>
          <w:rFonts w:ascii="Times New Roman" w:hAnsi="Times New Roman" w:cs="Times New Roman"/>
          <w:b w:val="0"/>
          <w:i w:val="0"/>
          <w:sz w:val="22"/>
        </w:rPr>
        <w:t xml:space="preserve">) та вилучення записів без позначки версії отримано </w:t>
      </w:r>
      <w:r>
        <w:rPr>
          <w:rFonts w:ascii="Times New Roman" w:hAnsi="Times New Roman" w:cs="Times New Roman"/>
          <w:b/>
          <w:i w:val="0"/>
          <w:sz w:val="22"/>
        </w:rPr>
        <w:t>3486 спостережень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(CS2 — 1820, період 2023-09-27…2025-12-31; CSGO — 1666, період 2012-08-21…2023-09-26) для </w:t>
      </w:r>
      <w:r>
        <w:rPr>
          <w:rFonts w:ascii="Times New Roman" w:hAnsi="Times New Roman" w:cs="Times New Roman"/>
          <w:b/>
          <w:i w:val="0"/>
          <w:sz w:val="22"/>
        </w:rPr>
        <w:t>8 карт</w:t>
      </w:r>
      <w:r>
        <w:rPr>
          <w:rFonts w:ascii="Times New Roman" w:hAnsi="Times New Roman" w:cs="Times New Roman"/>
          <w:b w:val="0"/>
          <w:i w:val="0"/>
          <w:sz w:val="22"/>
        </w:rPr>
        <w:t>: de_ancient, de_anubis, de_dust2, de_inferno, de_mirage, de_nuke, de_train, de_vertigo.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 xml:space="preserve">Проаналізовано </w:t>
      </w:r>
      <w:r>
        <w:rPr>
          <w:rFonts w:ascii="Times New Roman" w:hAnsi="Times New Roman" w:cs="Times New Roman"/>
          <w:b/>
          <w:i w:val="0"/>
          <w:sz w:val="22"/>
        </w:rPr>
        <w:t>46 базових (overall) метрик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продуктивності, що відповідають семи атрибутам стилю гри за класифікацією HLTV [7]: вогнева міць (firepower), ентрі (entrying), трейдинг (trading), відкриваючі дуелі (opening), клатчі (clutching), снайпінг (sniping) та використання утиліт (utility). Усі числові стовпці приведено до числового типу з коректним обробленням маркерів пропусків.</w:t>
      </w:r>
    </w:p>
    <w:p>
      <w:pPr>
        <w:spacing w:before="120" w:after="60" w:line="240" w:lineRule="auto"/>
      </w:pPr>
      <w:r>
        <w:rPr>
          <w:rFonts w:ascii="Times New Roman" w:hAnsi="Times New Roman" w:cs="Times New Roman"/>
          <w:b/>
          <w:i w:val="0"/>
          <w:sz w:val="22"/>
        </w:rPr>
        <w:t>2.2. Визначення інваріантності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 xml:space="preserve">Метрику вважаємо </w:t>
      </w:r>
      <w:r>
        <w:rPr>
          <w:rFonts w:ascii="Times New Roman" w:hAnsi="Times New Roman" w:cs="Times New Roman"/>
          <w:b/>
          <w:i w:val="0"/>
          <w:sz w:val="22"/>
        </w:rPr>
        <w:t>інваріантною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до виміру, якщо розмір ефекту відмінностей між групами не перевищує помірного порогу за класифікацією Коена [5]. p-значення наводимо довідково, але не використовуємо як критерій, оскільки за n ≈ 3486 воно майже завжди вказує на значущість незалежно від практичної величини відмінностей [5, 6].</w:t>
      </w:r>
    </w:p>
    <w:p>
      <w:pPr>
        <w:spacing w:before="120" w:after="60" w:line="240" w:lineRule="auto"/>
      </w:pPr>
      <w:r>
        <w:rPr>
          <w:rFonts w:ascii="Times New Roman" w:hAnsi="Times New Roman" w:cs="Times New Roman"/>
          <w:b/>
          <w:i w:val="0"/>
          <w:sz w:val="22"/>
        </w:rPr>
        <w:t>2.3. Статистичні методи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/>
          <w:i w:val="0"/>
          <w:sz w:val="22"/>
        </w:rPr>
        <w:t>Карти (8 груп, незалежні).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Однофакторний дисперсійний аналіз (ANOVA) з розміром ефекту η² = SS_between / SS_total. Поріг інваріантності: η² &lt; 0,06 (менш ніж середній ефект).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/>
          <w:i w:val="0"/>
          <w:sz w:val="22"/>
        </w:rPr>
        <w:t>Версія гри (2 групи, незалежні).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Непараметричний критерій Манна–Уітні (стійкий до порушень нормальності й викидів, типових для ігрової статистики) з розміром ефекту Cohen's d = |μ₁ − μ₂| / σ_pooled, σ_pooled = √((σ₁² + σ₂²)/2). Поріг: d &lt; 0,5. Зауважимо, що тест є ранговим, а Cohen's d — параметричним показником; ми свідомо поєднуємо їх задля єдиної шкали розміру ефекту в усіх трьох вимірах, усвідомлюючи, що ранговий показник (наприклад, δ Кліффа) був би строго узгодженішим.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/>
          <w:i w:val="0"/>
          <w:sz w:val="22"/>
        </w:rPr>
        <w:t>Сторона (2 групи, парні).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Кожен гравець має парні спостереження CT і T у межах того самого профілю, тож застосовано парний t-критерій з парним Cohen's d = |μ_diff| / σ_diff (внутрішньосуб'єктна форма). Порогові значення запозичено з конвенцій Коена для незалежних вибірок; для парного d це робить оцінки величини ефекту дещо консервативнішими, що слід враховувати при інтерпретації саме виміру сторони.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/>
          <w:i w:val="0"/>
          <w:sz w:val="22"/>
        </w:rPr>
        <w:t>Оброблення пропусків.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Кожен тест використовує наявні спостереження для відповідної метрики (попарне видалення), тому обсяг вибірки залежить від метрики: для більшості метрик частка пропусків не перевищувала 1 %, сягаючи 9–21 % лише для похідних снайперських відсоткових метрик (наприклад, </w:t>
      </w:r>
      <w:r>
        <w:rPr>
          <w:rFonts w:ascii="Times New Roman" w:hAnsi="Times New Roman" w:cs="Times New Roman"/>
          <w:b w:val="0"/>
          <w:i w:val="0"/>
          <w:sz w:val="22"/>
        </w:rPr>
        <w:t>1on1_win_percentage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має n_CS2 = 1754; для парного аналізу сторін </w:t>
      </w:r>
      <w:r>
        <w:rPr>
          <w:rFonts w:ascii="Times New Roman" w:hAnsi="Times New Roman" w:cs="Times New Roman"/>
          <w:b w:val="0"/>
          <w:i w:val="0"/>
          <w:sz w:val="22"/>
        </w:rPr>
        <w:t>1on1_win_percentage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дає 3026 пар проти 3486 для повних метрик). Усі значення n фіксуються у вихідних таблицях.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/>
          <w:i w:val="0"/>
          <w:sz w:val="22"/>
        </w:rPr>
        <w:t>Зниження розмірності.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Аналіз головних компонент (PCA) на стандартизованих overall-метриках для візуалізації роздільності груп за картою та версією [4].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/>
          <w:i w:val="0"/>
          <w:sz w:val="22"/>
        </w:rPr>
        <w:t>Перетини.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«Універсально інваріантний» набір — перетин map- та version-інваріантних метрик; «триінваріантний» — додатковий перетин зі side-інваріантними.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/>
          <w:i w:val="0"/>
          <w:sz w:val="22"/>
        </w:rPr>
        <w:t>Аналіз чутливості.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Оскільки під час аналізу карт версія гри є потенційним змішувальним фактором (конфаундером; дані об'єднано), map-інваріантність додатково обчислено окремо в межах кожної версії.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Усі обчислення виконано відтворюваними скриптами (Python: pandas, numpy, scipy, scikit-learn, matplotlib); вихідні таблиці й рисунки згенеровано автоматично.</w:t>
      </w:r>
    </w:p>
    <w:p>
      <w:pPr>
        <w:spacing w:before="160" w:after="60" w:line="240" w:lineRule="auto"/>
      </w:pPr>
      <w:r>
        <w:rPr>
          <w:rFonts w:ascii="Times New Roman" w:hAnsi="Times New Roman" w:cs="Times New Roman"/>
          <w:b/>
          <w:i w:val="0"/>
          <w:sz w:val="22"/>
        </w:rPr>
        <w:t>3. Результати</w:t>
      </w:r>
    </w:p>
    <w:p>
      <w:pPr>
        <w:spacing w:before="120" w:after="60" w:line="240" w:lineRule="auto"/>
      </w:pPr>
      <w:r>
        <w:rPr>
          <w:rFonts w:ascii="Times New Roman" w:hAnsi="Times New Roman" w:cs="Times New Roman"/>
          <w:b/>
          <w:i w:val="0"/>
          <w:sz w:val="22"/>
        </w:rPr>
        <w:t>3.1. Інваріантність до карти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 xml:space="preserve">З 46 метрик </w:t>
      </w:r>
      <w:r>
        <w:rPr>
          <w:rFonts w:ascii="Times New Roman" w:hAnsi="Times New Roman" w:cs="Times New Roman"/>
          <w:b/>
          <w:i w:val="0"/>
          <w:sz w:val="22"/>
        </w:rPr>
        <w:t>35 (76,1 %)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інваріантні до карти (η² &lt; 0,06). Найвища інваріантність — у метрик відкриваючих дуелей (</w:t>
      </w:r>
      <w:r>
        <w:rPr>
          <w:rFonts w:ascii="Times New Roman" w:hAnsi="Times New Roman" w:cs="Times New Roman"/>
          <w:b w:val="0"/>
          <w:i w:val="0"/>
          <w:sz w:val="22"/>
        </w:rPr>
        <w:t>opening_deaths_per_round</w:t>
      </w:r>
      <w:r>
        <w:rPr>
          <w:rFonts w:ascii="Times New Roman" w:hAnsi="Times New Roman" w:cs="Times New Roman"/>
          <w:b w:val="0"/>
          <w:i w:val="0"/>
          <w:sz w:val="22"/>
        </w:rPr>
        <w:t xml:space="preserve">, </w:t>
      </w:r>
      <w:r>
        <w:rPr>
          <w:rFonts w:ascii="Times New Roman" w:hAnsi="Times New Roman" w:cs="Times New Roman"/>
          <w:b w:val="0"/>
          <w:i w:val="0"/>
          <w:sz w:val="22"/>
        </w:rPr>
        <w:t>opening_attempts</w:t>
      </w:r>
      <w:r>
        <w:rPr>
          <w:rFonts w:ascii="Times New Roman" w:hAnsi="Times New Roman" w:cs="Times New Roman"/>
          <w:b w:val="0"/>
          <w:i w:val="0"/>
          <w:sz w:val="22"/>
        </w:rPr>
        <w:t>) та дуелей 1-в-1 (</w:t>
      </w:r>
      <w:r>
        <w:rPr>
          <w:rFonts w:ascii="Times New Roman" w:hAnsi="Times New Roman" w:cs="Times New Roman"/>
          <w:b w:val="0"/>
          <w:i w:val="0"/>
          <w:sz w:val="22"/>
        </w:rPr>
        <w:t>1on1_win_percentage</w:t>
      </w:r>
      <w:r>
        <w:rPr>
          <w:rFonts w:ascii="Times New Roman" w:hAnsi="Times New Roman" w:cs="Times New Roman"/>
          <w:b w:val="0"/>
          <w:i w:val="0"/>
          <w:sz w:val="22"/>
        </w:rPr>
        <w:t xml:space="preserve">), усі з η² &lt; 0,001. Найбільша залежність від карти — у метрик, пов'язаних з утилітами: </w:t>
      </w:r>
      <w:r>
        <w:rPr>
          <w:rFonts w:ascii="Times New Roman" w:hAnsi="Times New Roman" w:cs="Times New Roman"/>
          <w:b w:val="0"/>
          <w:i w:val="0"/>
          <w:sz w:val="22"/>
        </w:rPr>
        <w:t>utility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(η² = 0,247), </w:t>
      </w:r>
      <w:r>
        <w:rPr>
          <w:rFonts w:ascii="Times New Roman" w:hAnsi="Times New Roman" w:cs="Times New Roman"/>
          <w:b w:val="0"/>
          <w:i w:val="0"/>
          <w:sz w:val="22"/>
        </w:rPr>
        <w:t>utility_damage_per_round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(η² = 0,243), </w:t>
      </w:r>
      <w:r>
        <w:rPr>
          <w:rFonts w:ascii="Times New Roman" w:hAnsi="Times New Roman" w:cs="Times New Roman"/>
          <w:b w:val="0"/>
          <w:i w:val="0"/>
          <w:sz w:val="22"/>
        </w:rPr>
        <w:t>flashes_thrown_per_round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(η² = 0,209).</w:t>
      </w:r>
    </w:p>
    <w:p>
      <w:pPr>
        <w:spacing w:before="120" w:after="60" w:line="240" w:lineRule="auto"/>
      </w:pPr>
      <w:r>
        <w:rPr>
          <w:rFonts w:ascii="Times New Roman" w:hAnsi="Times New Roman" w:cs="Times New Roman"/>
          <w:b/>
          <w:i w:val="0"/>
          <w:sz w:val="22"/>
        </w:rPr>
        <w:t>3.2. Інваріантність до версії гри (CS2 vs CSGO)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/>
          <w:i w:val="0"/>
          <w:sz w:val="22"/>
        </w:rPr>
        <w:t>43 з 46 метрик (93,5 %)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інваріантні до версії (Cohen's d &lt; 0,5). Найстабільніші: </w:t>
      </w:r>
      <w:r>
        <w:rPr>
          <w:rFonts w:ascii="Times New Roman" w:hAnsi="Times New Roman" w:cs="Times New Roman"/>
          <w:b w:val="0"/>
          <w:i w:val="0"/>
          <w:sz w:val="22"/>
        </w:rPr>
        <w:t>opening_deaths_per_round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(d = 0,003), </w:t>
      </w:r>
      <w:r>
        <w:rPr>
          <w:rFonts w:ascii="Times New Roman" w:hAnsi="Times New Roman" w:cs="Times New Roman"/>
          <w:b w:val="0"/>
          <w:i w:val="0"/>
          <w:sz w:val="22"/>
        </w:rPr>
        <w:t>utility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(d = 0,004), </w:t>
      </w:r>
      <w:r>
        <w:rPr>
          <w:rFonts w:ascii="Times New Roman" w:hAnsi="Times New Roman" w:cs="Times New Roman"/>
          <w:b w:val="0"/>
          <w:i w:val="0"/>
          <w:sz w:val="22"/>
        </w:rPr>
        <w:t>last_alive_percentage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(d = 0,015). Найбільші відмінності — у метриках командної взаємодії: </w:t>
      </w:r>
      <w:r>
        <w:rPr>
          <w:rFonts w:ascii="Times New Roman" w:hAnsi="Times New Roman" w:cs="Times New Roman"/>
          <w:b w:val="0"/>
          <w:i w:val="0"/>
          <w:sz w:val="22"/>
        </w:rPr>
        <w:t>assisted_kills_percentage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(d = 2,51; 27,1 % у CS2 проти 17,8 % у CSGO), </w:t>
      </w:r>
      <w:r>
        <w:rPr>
          <w:rFonts w:ascii="Times New Roman" w:hAnsi="Times New Roman" w:cs="Times New Roman"/>
          <w:b w:val="0"/>
          <w:i w:val="0"/>
          <w:sz w:val="22"/>
        </w:rPr>
        <w:t>assists_per_round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(d = 1,80), </w:t>
      </w:r>
      <w:r>
        <w:rPr>
          <w:rFonts w:ascii="Times New Roman" w:hAnsi="Times New Roman" w:cs="Times New Roman"/>
          <w:b w:val="0"/>
          <w:i w:val="0"/>
          <w:sz w:val="22"/>
        </w:rPr>
        <w:t>support_rounds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(d = 0,96).</w:t>
      </w:r>
    </w:p>
    <w:p>
      <w:pPr>
        <w:spacing w:before="120" w:after="60" w:line="240" w:lineRule="auto"/>
      </w:pPr>
      <w:r>
        <w:rPr>
          <w:rFonts w:ascii="Times New Roman" w:hAnsi="Times New Roman" w:cs="Times New Roman"/>
          <w:b/>
          <w:i w:val="0"/>
          <w:sz w:val="22"/>
        </w:rPr>
        <w:t>3.3. Інваріантність до сторони (T vs CT)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 xml:space="preserve">Сторона має найсильніший вплив: лише </w:t>
      </w:r>
      <w:r>
        <w:rPr>
          <w:rFonts w:ascii="Times New Roman" w:hAnsi="Times New Roman" w:cs="Times New Roman"/>
          <w:b/>
          <w:i w:val="0"/>
          <w:sz w:val="22"/>
        </w:rPr>
        <w:t>22 з 46 метрик (47,8 %)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інваріантні. Найстабільніші: </w:t>
      </w:r>
      <w:r>
        <w:rPr>
          <w:rFonts w:ascii="Times New Roman" w:hAnsi="Times New Roman" w:cs="Times New Roman"/>
          <w:b w:val="0"/>
          <w:i w:val="0"/>
          <w:sz w:val="22"/>
        </w:rPr>
        <w:t>opening_attempts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(d = 0,001), </w:t>
      </w:r>
      <w:r>
        <w:rPr>
          <w:rFonts w:ascii="Times New Roman" w:hAnsi="Times New Roman" w:cs="Times New Roman"/>
          <w:b w:val="0"/>
          <w:i w:val="0"/>
          <w:sz w:val="22"/>
        </w:rPr>
        <w:t>entrying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(d = 0,005), </w:t>
      </w:r>
      <w:r>
        <w:rPr>
          <w:rFonts w:ascii="Times New Roman" w:hAnsi="Times New Roman" w:cs="Times New Roman"/>
          <w:b w:val="0"/>
          <w:i w:val="0"/>
          <w:sz w:val="22"/>
        </w:rPr>
        <w:t>pistol_round_rating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(d = 0,009). Найбільш залежні від сторони: </w:t>
      </w:r>
      <w:r>
        <w:rPr>
          <w:rFonts w:ascii="Times New Roman" w:hAnsi="Times New Roman" w:cs="Times New Roman"/>
          <w:b w:val="0"/>
          <w:i w:val="0"/>
          <w:sz w:val="22"/>
        </w:rPr>
        <w:t>saves_per_round_loss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(d = 1,96), </w:t>
      </w:r>
      <w:r>
        <w:rPr>
          <w:rFonts w:ascii="Times New Roman" w:hAnsi="Times New Roman" w:cs="Times New Roman"/>
          <w:b w:val="0"/>
          <w:i w:val="0"/>
          <w:sz w:val="22"/>
        </w:rPr>
        <w:t>trade_kills_percentage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(d = 1,00), </w:t>
      </w:r>
      <w:r>
        <w:rPr>
          <w:rFonts w:ascii="Times New Roman" w:hAnsi="Times New Roman" w:cs="Times New Roman"/>
          <w:b w:val="0"/>
          <w:i w:val="0"/>
          <w:sz w:val="22"/>
        </w:rPr>
        <w:t>saved_by_teammate_per_round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(d = 0,98), </w:t>
      </w:r>
      <w:r>
        <w:rPr>
          <w:rFonts w:ascii="Times New Roman" w:hAnsi="Times New Roman" w:cs="Times New Roman"/>
          <w:b w:val="0"/>
          <w:i w:val="0"/>
          <w:sz w:val="22"/>
        </w:rPr>
        <w:t>flashes_thrown_per_round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(d = 0,97).</w:t>
      </w:r>
    </w:p>
    <w:p>
      <w:pPr>
        <w:spacing w:before="120" w:after="60" w:line="240" w:lineRule="auto"/>
      </w:pPr>
      <w:r>
        <w:rPr>
          <w:rFonts w:ascii="Times New Roman" w:hAnsi="Times New Roman" w:cs="Times New Roman"/>
          <w:b/>
          <w:i w:val="0"/>
          <w:sz w:val="22"/>
        </w:rPr>
        <w:t>3.4. Триінваріантні метрики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 xml:space="preserve">Перетин трьох вимірів дає </w:t>
      </w:r>
      <w:r>
        <w:rPr>
          <w:rFonts w:ascii="Times New Roman" w:hAnsi="Times New Roman" w:cs="Times New Roman"/>
          <w:b/>
          <w:i w:val="0"/>
          <w:sz w:val="22"/>
        </w:rPr>
        <w:t>33 універсально інваріантні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(карта + версія) і </w:t>
      </w:r>
      <w:r>
        <w:rPr>
          <w:rFonts w:ascii="Times New Roman" w:hAnsi="Times New Roman" w:cs="Times New Roman"/>
          <w:b/>
          <w:i w:val="0"/>
          <w:sz w:val="22"/>
        </w:rPr>
        <w:t>16 триінваріантних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метрик (карта + версія + сторона), наведених у табл. 1.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/>
          <w:i w:val="0"/>
          <w:sz w:val="22"/>
        </w:rPr>
        <w:t>Табл. 1.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Триінваріантні метрики (інваріантні до карти, версії та сторони)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Times New Roman" w:hAnsi="Times New Roman" w:cs="Times New Roman"/>
                <w:b/>
                <w:i w:val="0"/>
                <w:sz w:val="20"/>
              </w:rPr>
              <w:t>Категорія (атрибут HLTV)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 w:cs="Times New Roman"/>
                <w:b/>
                <w:i w:val="0"/>
                <w:sz w:val="20"/>
              </w:rPr>
              <w:t>Метрики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Вогнева міць (firepower)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firepower; damage_per_kill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Ентрі (entrying)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entrying; traded_deaths_percentage; opening_deaths_traded_percentage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Відкриваючі дуелі (opening)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opening; opening_attempts; win_after_opening_kill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Клатчі (clutching)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clutching; clutch_points_per_round; 1on1_win_percentage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Снайпінг (sniping)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sniping; sniper_multi_kill_rounds; sniper_opening_kills_per_round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Загальні / ситуативні (поза 7 атрибутами HLTV)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rating_3.0; pistol_round_rating</w:t>
            </w:r>
          </w:p>
        </w:tc>
      </w:tr>
    </w:tbl>
    <w:p>
      <w:pPr>
        <w:spacing w:before="120" w:after="60" w:line="240" w:lineRule="auto"/>
      </w:pPr>
      <w:r>
        <w:rPr>
          <w:rFonts w:ascii="Times New Roman" w:hAnsi="Times New Roman" w:cs="Times New Roman"/>
          <w:b/>
          <w:i w:val="0"/>
          <w:sz w:val="22"/>
        </w:rPr>
        <w:t>3.5. PCA та аналіз чутливості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 xml:space="preserve">Перші дві головні компоненти пояснюють 23,1 % і 18,2 % дисперсії (разом 41,3 %). На проєкції PCA групи за картою та за версією значно перекриваються (рис. 2), що візуально підтверджує переважну інваріантність простору ознак. Аналіз чутливості показав близькі частки map-інваріантних метрик у межах кожної версії — 71,7 % (CS2, 33/46) і 76,1 % (CSGO, 35/46) проти 76,1 % на об'єднаних даних. Важливо, що ці частки є окремою величиною від частки універсально інваріантного набору (також 33/46), яка з ними чисельно збігається. Набори стабільні за складом: усі 33 map-інваріантні в CS2 метрики також інваріантні в CSGO (різниця — лише дві додаткові метрики в CSGO: </w:t>
      </w:r>
      <w:r>
        <w:rPr>
          <w:rFonts w:ascii="Times New Roman" w:hAnsi="Times New Roman" w:cs="Times New Roman"/>
          <w:b w:val="0"/>
          <w:i w:val="0"/>
          <w:sz w:val="22"/>
        </w:rPr>
        <w:t>assisted_kills_percentage</w:t>
      </w:r>
      <w:r>
        <w:rPr>
          <w:rFonts w:ascii="Times New Roman" w:hAnsi="Times New Roman" w:cs="Times New Roman"/>
          <w:b w:val="0"/>
          <w:i w:val="0"/>
          <w:sz w:val="22"/>
        </w:rPr>
        <w:t xml:space="preserve">, </w:t>
      </w:r>
      <w:r>
        <w:rPr>
          <w:rFonts w:ascii="Times New Roman" w:hAnsi="Times New Roman" w:cs="Times New Roman"/>
          <w:b w:val="0"/>
          <w:i w:val="0"/>
          <w:sz w:val="22"/>
        </w:rPr>
        <w:t>attacks_per_round</w:t>
      </w:r>
      <w:r>
        <w:rPr>
          <w:rFonts w:ascii="Times New Roman" w:hAnsi="Times New Roman" w:cs="Times New Roman"/>
          <w:b w:val="0"/>
          <w:i w:val="0"/>
          <w:sz w:val="22"/>
        </w:rPr>
        <w:t>), отже, об'єднання версій не спотворює висновків щодо карт.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009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ariance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00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80" w:before="0"/>
        <w:jc w:val="center"/>
      </w:pPr>
      <w:r>
        <w:rPr>
          <w:rFonts w:ascii="Times New Roman" w:hAnsi="Times New Roman" w:cs="Times New Roman"/>
          <w:b/>
          <w:i w:val="0"/>
          <w:sz w:val="18"/>
        </w:rPr>
        <w:t>Рис. 1.</w:t>
      </w:r>
      <w:r>
        <w:rPr>
          <w:rFonts w:ascii="Times New Roman" w:hAnsi="Times New Roman" w:cs="Times New Roman"/>
          <w:b w:val="0"/>
          <w:i w:val="0"/>
          <w:sz w:val="18"/>
        </w:rPr>
        <w:t xml:space="preserve"> Розміри ефектів для трьох вимірів інваріантності (</w:t>
      </w:r>
      <w:r>
        <w:rPr>
          <w:rFonts w:ascii="Times New Roman" w:hAnsi="Times New Roman" w:cs="Times New Roman"/>
          <w:b w:val="0"/>
          <w:i w:val="0"/>
          <w:sz w:val="18"/>
        </w:rPr>
        <w:t>outputs/figures/invariance_summary.png</w:t>
      </w:r>
      <w:r>
        <w:rPr>
          <w:rFonts w:ascii="Times New Roman" w:hAnsi="Times New Roman" w:cs="Times New Roman"/>
          <w:b w:val="0"/>
          <w:i w:val="0"/>
          <w:sz w:val="18"/>
        </w:rPr>
        <w:t>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081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proj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08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80" w:before="0"/>
        <w:jc w:val="center"/>
      </w:pPr>
      <w:r>
        <w:rPr>
          <w:rFonts w:ascii="Times New Roman" w:hAnsi="Times New Roman" w:cs="Times New Roman"/>
          <w:b/>
          <w:i w:val="0"/>
          <w:sz w:val="18"/>
        </w:rPr>
        <w:t>Рис. 2.</w:t>
      </w:r>
      <w:r>
        <w:rPr>
          <w:rFonts w:ascii="Times New Roman" w:hAnsi="Times New Roman" w:cs="Times New Roman"/>
          <w:b w:val="0"/>
          <w:i w:val="0"/>
          <w:sz w:val="18"/>
        </w:rPr>
        <w:t xml:space="preserve"> PCA-проєкція простору ознак за картою та версією (</w:t>
      </w:r>
      <w:r>
        <w:rPr>
          <w:rFonts w:ascii="Times New Roman" w:hAnsi="Times New Roman" w:cs="Times New Roman"/>
          <w:b w:val="0"/>
          <w:i w:val="0"/>
          <w:sz w:val="18"/>
        </w:rPr>
        <w:t>outputs/figures/pca_projection.png</w:t>
      </w:r>
      <w:r>
        <w:rPr>
          <w:rFonts w:ascii="Times New Roman" w:hAnsi="Times New Roman" w:cs="Times New Roman"/>
          <w:b w:val="0"/>
          <w:i w:val="0"/>
          <w:sz w:val="18"/>
        </w:rPr>
        <w:t>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4071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d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407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80" w:before="0"/>
        <w:jc w:val="center"/>
      </w:pPr>
      <w:r>
        <w:rPr>
          <w:rFonts w:ascii="Times New Roman" w:hAnsi="Times New Roman" w:cs="Times New Roman"/>
          <w:b/>
          <w:i w:val="0"/>
          <w:sz w:val="18"/>
        </w:rPr>
        <w:t>Рис. 3.</w:t>
      </w:r>
      <w:r>
        <w:rPr>
          <w:rFonts w:ascii="Times New Roman" w:hAnsi="Times New Roman" w:cs="Times New Roman"/>
          <w:b w:val="0"/>
          <w:i w:val="0"/>
          <w:sz w:val="18"/>
        </w:rPr>
        <w:t xml:space="preserve"> Порівняння середніх CT vs T (</w:t>
      </w:r>
      <w:r>
        <w:rPr>
          <w:rFonts w:ascii="Times New Roman" w:hAnsi="Times New Roman" w:cs="Times New Roman"/>
          <w:b w:val="0"/>
          <w:i w:val="0"/>
          <w:sz w:val="18"/>
        </w:rPr>
        <w:t>outputs/figures/side_comparison.png</w:t>
      </w:r>
      <w:r>
        <w:rPr>
          <w:rFonts w:ascii="Times New Roman" w:hAnsi="Times New Roman" w:cs="Times New Roman"/>
          <w:b w:val="0"/>
          <w:i w:val="0"/>
          <w:sz w:val="18"/>
        </w:rPr>
        <w:t>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276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distribu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7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80" w:before="0"/>
        <w:jc w:val="center"/>
      </w:pPr>
      <w:r>
        <w:rPr>
          <w:rFonts w:ascii="Times New Roman" w:hAnsi="Times New Roman" w:cs="Times New Roman"/>
          <w:b/>
          <w:i w:val="0"/>
          <w:sz w:val="18"/>
        </w:rPr>
        <w:t>Рис. 4.</w:t>
      </w:r>
      <w:r>
        <w:rPr>
          <w:rFonts w:ascii="Times New Roman" w:hAnsi="Times New Roman" w:cs="Times New Roman"/>
          <w:b w:val="0"/>
          <w:i w:val="0"/>
          <w:sz w:val="18"/>
        </w:rPr>
        <w:t xml:space="preserve"> Розподіли ключових метрик CS2 vs CSGO (</w:t>
      </w:r>
      <w:r>
        <w:rPr>
          <w:rFonts w:ascii="Times New Roman" w:hAnsi="Times New Roman" w:cs="Times New Roman"/>
          <w:b w:val="0"/>
          <w:i w:val="0"/>
          <w:sz w:val="18"/>
        </w:rPr>
        <w:t>outputs/figures/feature_distributions.png</w:t>
      </w:r>
      <w:r>
        <w:rPr>
          <w:rFonts w:ascii="Times New Roman" w:hAnsi="Times New Roman" w:cs="Times New Roman"/>
          <w:b w:val="0"/>
          <w:i w:val="0"/>
          <w:sz w:val="18"/>
        </w:rPr>
        <w:t>).</w:t>
      </w:r>
    </w:p>
    <w:p>
      <w:pPr>
        <w:spacing w:before="160" w:after="60" w:line="240" w:lineRule="auto"/>
      </w:pPr>
      <w:r>
        <w:rPr>
          <w:rFonts w:ascii="Times New Roman" w:hAnsi="Times New Roman" w:cs="Times New Roman"/>
          <w:b/>
          <w:i w:val="0"/>
          <w:sz w:val="22"/>
        </w:rPr>
        <w:t>4. Обговорення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Отримані результати окреслюють чітку ієрархію впливу контексту: найслабший — версія гри (7 % варіантних метрик), помірний — карта (24 %), найсильніший — сторона (52 %). Це означає, що для міжконтекстного оцінювання майстерності сторона є визначальним джерелом зміщення, і метрики слід або нормувати за стороною, або обмежуватися side-інваріантним набором.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Картина результатів узгоджується з ігровою логікою. Висока залежність утиліт від карти пояснюється тим, що різні карти потребують різних гранатних стратегій, тоді як стабільність метрик відкриваючих дуелей відображає індивідуальну майстерність у перших боях. Переважна інваріантність до версії свідчить, що базові механічні навички переносяться між CSGO та CS2, а найбільші відмінності зосереджені в метриках асистів і підтримки, що може бути пов'язано зі змінами механіки CS2; це твердження має кореляційний характер і потребує окремої перевірки. Залежність метрик збереження зброї (saves) та утиліт від сторони відповідає різним економічним і позиційним завданням CT та T.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Триінваріантні метрики переважно стосуються індивідуальних навичок прицілювання та прийняття рішень у ключових ситуаціях (перші бої, клатчі, пістолетні раунди), а не командної координації (асисти, підтримка, сейви), яка очікувано залежить від ролі та сторони. Це робить їх природними кандидатами для ознак у моделях оцінювання майстерності та скаутингу (пошуку талантів).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Порівняно з поширеним підходом на основі статистичної значущості, визначення інваріантності за розміром ефекту дає змістовно інші результати: за n ≈ 3486 переважна більшість метрик «значуще» відрізняється (p &lt; 0,05) навіть за нехтовних відмінностей, тож критерій значущості тут непридатний.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/>
          <w:i w:val="0"/>
          <w:sz w:val="22"/>
        </w:rPr>
        <w:t>Обмеження.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(1) Дані агреговані на рівні карти, без розрізнення суперників і періоду форми гравця. (2) Період CS2 коротший за CSGO, що може спричиняти зсув складу гравців. (3) Частина снайперських відсоткових метрик має до 21 % пропусків. (4) Аналіз кореляційний; причинні твердження про механіку гри потребують додаткової перевірки. (5) Довірчі інтервали для η² та Cohen's d не обчислювалися; їх додавання (наприклад, бутстреп) посилило б центральний аргумент про розміри ефекту.</w:t>
      </w:r>
    </w:p>
    <w:p>
      <w:pPr>
        <w:spacing w:before="160" w:after="60" w:line="240" w:lineRule="auto"/>
      </w:pPr>
      <w:r>
        <w:rPr>
          <w:rFonts w:ascii="Times New Roman" w:hAnsi="Times New Roman" w:cs="Times New Roman"/>
          <w:b/>
          <w:i w:val="0"/>
          <w:sz w:val="22"/>
        </w:rPr>
        <w:t>5. Висновки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1. Ідентифіковано контекстно-інваріантні метрики продуктивності гравців Counter-Strike на наборі з 3486 спостережень за трьома вимірами на основі розмірів ефекту.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2. Інваріантними є 76,1 % метрик до карти, 93,5 % — до версії гри, 47,8 % — до сторони; сторона — найсильніше джерело контекстного зміщення.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3. Виокремлено 16 триінваріантних метрик, що відображають внутрішні здібності гравця і придатні для робастного відбору ознак.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4. Показано перевагу критерію розміру ефекту над статистичною значущістю для великих вибірок; аналіз чутливості підтвердив стійкість висновків у межах кожної версії гри.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5. Перспектива — застосування триінваріантного набору у моделях оцінювання майстерності та виявлення аномальних патернів поведінки гравців як наступного етапу серії публікацій.</w:t>
      </w:r>
    </w:p>
    <w:p>
      <w:pPr>
        <w:spacing w:before="160" w:after="60" w:line="240" w:lineRule="auto"/>
      </w:pPr>
      <w:r>
        <w:rPr>
          <w:rFonts w:ascii="Times New Roman" w:hAnsi="Times New Roman" w:cs="Times New Roman"/>
          <w:b/>
          <w:i w:val="0"/>
          <w:sz w:val="22"/>
        </w:rPr>
        <w:t>Список бібліографічного опису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1. Bishop C. M. Pattern Recognition and Machine Learning. New York: Springer, 2006. 738 p.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2. Guyon I., Elisseeff A. An introduction to variable and feature selection // Journal of Machine Learning Research. 2003. Vol. 3. P. 1157–1182.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3. Quiñonero-Candela J., Sugiyama M., Schwaighofer A., Lawrence N. D. (eds.). Dataset Shift in Machine Learning. Cambridge, MA: MIT Press, 2009. 248 p.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4. Jolliffe I. T. Principal Component Analysis. 2nd ed. New York: Springer, 2002. 487 p.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5. Cohen J. Statistical Power Analysis for the Behavioral Sciences. 2nd ed. Hillsdale, NJ: Lawrence Erlbaum Associates, 1988. 567 p.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6. Sullivan G. M., Feinn R. Using effect size — or why the p value is not enough // Journal of Graduate Medical Education. 2012. Vol. 4, No. 3. P. 279–282.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7. Introducing HLTV attributes : [Електронний ресурс]. HLTV.org. URL: https://www.hltv.org/news/39672/introducing-hltv-attributes (дата звернення: 29.06.2026).</w:t>
      </w:r>
    </w:p>
    <w:p>
      <w:pPr>
        <w:spacing w:line="240" w:lineRule="auto" w:after="20" w:before="0"/>
      </w:pPr>
      <w:r>
        <w:rPr>
          <w:rFonts w:ascii="Times New Roman" w:hAnsi="Times New Roman" w:cs="Times New Roman"/>
          <w:b w:val="0"/>
          <w:i w:val="0"/>
          <w:sz w:val="18"/>
        </w:rPr>
        <w:t>*Примітка для авторів:* за бажання редакції можна додати предметне джерело з аналітики кіберспорту</w:t>
      </w:r>
    </w:p>
    <w:p>
      <w:pPr>
        <w:spacing w:line="240" w:lineRule="auto" w:after="20" w:before="0"/>
      </w:pPr>
      <w:r>
        <w:rPr>
          <w:rFonts w:ascii="Times New Roman" w:hAnsi="Times New Roman" w:cs="Times New Roman"/>
          <w:b w:val="0"/>
          <w:i w:val="0"/>
          <w:sz w:val="18"/>
        </w:rPr>
        <w:t>(огляд застосувань ML в esports) — потребує верифікації перед включенням, тому не внесено автоматично.</w:t>
      </w:r>
    </w:p>
    <w:p>
      <w:pPr>
        <w:spacing w:before="160" w:after="60" w:line="240" w:lineRule="auto"/>
      </w:pPr>
      <w:r>
        <w:rPr>
          <w:rFonts w:ascii="Times New Roman" w:hAnsi="Times New Roman" w:cs="Times New Roman"/>
          <w:b/>
          <w:i w:val="0"/>
          <w:sz w:val="22"/>
        </w:rPr>
        <w:t>References (transliterated/romanized)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1. Bishop, C. M. (2006). Pattern Recognition and Machine Learning. New York: Springer.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2. Guyon, I., &amp; Elisseeff, A. (2003). An introduction to variable and feature selection. Journal of Machine Learning Research, 3, 1157–1182.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3. Quiñonero-Candela, J., Sugiyama, M., Schwaighofer, A., &amp; Lawrence, N. D. (Eds.). (2009). Dataset Shift in Machine Learning. Cambridge, MA: MIT Press.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4. Jolliffe, I. T. (2002). Principal Component Analysis (2nd ed.). New York: Springer.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5. Cohen, J. (1988). Statistical Power Analysis for the Behavioral Sciences (2nd ed.). Hillsdale, NJ: Lawrence Erlbaum Associates.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6. Sullivan, G. M., &amp; Feinn, R. (2012). Using effect size — or why the p value is not enough. Journal of Graduate Medical Education, 4(3), 279–282.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7. Introducing HLTV attributes. HLTV.org. Retrieved June 29, 2026, from https://www.hltv.org/news/39672/introducing-hltv-attributes</w:t>
      </w:r>
    </w:p>
    <w:p>
      <w:pPr>
        <w:spacing w:line="240" w:lineRule="auto" w:after="20" w:before="0"/>
      </w:pPr>
      <w:r>
        <w:rPr>
          <w:rFonts w:ascii="Times New Roman" w:hAnsi="Times New Roman" w:cs="Times New Roman"/>
          <w:b/>
          <w:i w:val="0"/>
          <w:sz w:val="18"/>
        </w:rPr>
        <w:t>Provenance:</w:t>
      </w:r>
      <w:r>
        <w:rPr>
          <w:rFonts w:ascii="Times New Roman" w:hAnsi="Times New Roman" w:cs="Times New Roman"/>
          <w:b w:val="0"/>
          <w:i w:val="0"/>
          <w:sz w:val="18"/>
        </w:rPr>
        <w:t xml:space="preserve"> усі числові значення взято з </w:t>
      </w:r>
      <w:r>
        <w:rPr>
          <w:rFonts w:ascii="Times New Roman" w:hAnsi="Times New Roman" w:cs="Times New Roman"/>
          <w:b w:val="0"/>
          <w:i w:val="0"/>
          <w:sz w:val="18"/>
        </w:rPr>
        <w:t>outputs/tables/</w:t>
      </w:r>
      <w:r>
        <w:rPr>
          <w:rFonts w:ascii="Times New Roman" w:hAnsi="Times New Roman" w:cs="Times New Roman"/>
          <w:b w:val="0"/>
          <w:i w:val="0"/>
          <w:sz w:val="18"/>
        </w:rPr>
        <w:t xml:space="preserve"> (map_invariance.csv, version_invariance.csv,</w:t>
      </w:r>
    </w:p>
    <w:p>
      <w:pPr>
        <w:spacing w:line="240" w:lineRule="auto" w:after="20" w:before="0"/>
      </w:pPr>
      <w:r>
        <w:rPr>
          <w:rFonts w:ascii="Times New Roman" w:hAnsi="Times New Roman" w:cs="Times New Roman"/>
          <w:b w:val="0"/>
          <w:i w:val="0"/>
          <w:sz w:val="18"/>
        </w:rPr>
        <w:t>side_invariance.csv, invariant_features_summary.csv, map_invariance_by_version.csv, map_invariance_{cs2,csgo}.csv)</w:t>
      </w:r>
    </w:p>
    <w:p>
      <w:pPr>
        <w:spacing w:line="240" w:lineRule="auto" w:after="20" w:before="0"/>
      </w:pPr>
      <w:r>
        <w:rPr>
          <w:rFonts w:ascii="Times New Roman" w:hAnsi="Times New Roman" w:cs="Times New Roman"/>
          <w:b w:val="0"/>
          <w:i w:val="0"/>
          <w:sz w:val="18"/>
        </w:rPr>
        <w:t xml:space="preserve">та </w:t>
      </w:r>
      <w:r>
        <w:rPr>
          <w:rFonts w:ascii="Times New Roman" w:hAnsi="Times New Roman" w:cs="Times New Roman"/>
          <w:b w:val="0"/>
          <w:i w:val="0"/>
          <w:sz w:val="18"/>
        </w:rPr>
        <w:t>outputs/logs/</w:t>
      </w:r>
      <w:r>
        <w:rPr>
          <w:rFonts w:ascii="Times New Roman" w:hAnsi="Times New Roman" w:cs="Times New Roman"/>
          <w:b w:val="0"/>
          <w:i w:val="0"/>
          <w:sz w:val="18"/>
        </w:rPr>
        <w:t xml:space="preserve">. Рисунки — </w:t>
      </w:r>
      <w:r>
        <w:rPr>
          <w:rFonts w:ascii="Times New Roman" w:hAnsi="Times New Roman" w:cs="Times New Roman"/>
          <w:b w:val="0"/>
          <w:i w:val="0"/>
          <w:sz w:val="18"/>
        </w:rPr>
        <w:t>outputs/figures/</w:t>
      </w:r>
      <w:r>
        <w:rPr>
          <w:rFonts w:ascii="Times New Roman" w:hAnsi="Times New Roman" w:cs="Times New Roman"/>
          <w:b w:val="0"/>
          <w:i w:val="0"/>
          <w:sz w:val="18"/>
        </w:rPr>
        <w:t>. Жодне число не введено вручну поза цими артефактами.</w:t>
      </w:r>
    </w:p>
    <w:p>
      <w:pPr>
        <w:spacing w:line="240" w:lineRule="auto" w:after="20" w:before="0"/>
      </w:pPr>
      <w:r>
        <w:rPr>
          <w:rFonts w:ascii="Times New Roman" w:hAnsi="Times New Roman" w:cs="Times New Roman"/>
          <w:b/>
          <w:i w:val="0"/>
          <w:sz w:val="18"/>
        </w:rPr>
        <w:t>Невирішене (для авторів/редакції):</w:t>
      </w:r>
      <w:r>
        <w:rPr>
          <w:rFonts w:ascii="Times New Roman" w:hAnsi="Times New Roman" w:cs="Times New Roman"/>
          <w:b w:val="0"/>
          <w:i w:val="0"/>
          <w:sz w:val="18"/>
        </w:rPr>
        <w:t xml:space="preserve"> (1) реальний ORCID Kuzhii і ORCID співавтора; (2) APC з урахуванням</w:t>
      </w:r>
    </w:p>
    <w:p>
      <w:pPr>
        <w:spacing w:line="240" w:lineRule="auto" w:after="20" w:before="0"/>
      </w:pPr>
      <w:r>
        <w:rPr>
          <w:rFonts w:ascii="Times New Roman" w:hAnsi="Times New Roman" w:cs="Times New Roman"/>
          <w:b w:val="0"/>
          <w:i w:val="0"/>
          <w:sz w:val="18"/>
        </w:rPr>
        <w:t>співавторства (пільга одноосібного авторства, ймовірно, не діє); (3) звірка з офіційним Word-шаблоном №85.</w:t>
      </w:r>
    </w:p>
    <w:sectPr w:rsidR="00FC693F" w:rsidRPr="0006063C" w:rsidSect="00034616">
      <w:mirrorMargins/>
      <w:pgSz w:w="11906" w:h="16838"/>
      <w:pgMar w:top="850" w:right="1134" w:bottom="850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