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both"/>
      </w:pPr>
      <w:r>
        <w:rPr>
          <w:rFonts w:ascii="Times New Roman" w:hAnsi="Times New Roman" w:cs="Times New Roman"/>
          <w:b/>
          <w:i w:val="0"/>
          <w:sz w:val="28"/>
          <w:lang w:val="uk-UA"/>
        </w:rPr>
        <w:t>УДК 004.93:336.7</w:t>
      </w:r>
    </w:p>
    <w:p>
      <w:pPr>
        <w:spacing w:line="360" w:lineRule="auto" w:after="0" w:before="0"/>
        <w:jc w:val="both"/>
      </w:pPr>
      <w:r>
        <w:rPr>
          <w:rFonts w:ascii="Times New Roman" w:hAnsi="Times New Roman" w:cs="Times New Roman"/>
          <w:b/>
          <w:i w:val="0"/>
          <w:sz w:val="28"/>
          <w:lang w:val="en-US"/>
        </w:rPr>
        <w:t>ORCID:</w:t>
      </w:r>
      <w:r>
        <w:rPr>
          <w:rFonts w:ascii="Times New Roman" w:hAnsi="Times New Roman" w:cs="Times New Roman"/>
          <w:b w:val="0"/>
          <w:i w:val="0"/>
          <w:sz w:val="28"/>
          <w:lang w:val="uk-UA"/>
        </w:rPr>
        <w:t xml:space="preserve"> Ю. І. Кужій — https://orcid.org/0009-0001-7890-8575; Ю. М. Фургала — https://orcid.org/0000-0001-7316-7424</w:t>
      </w:r>
    </w:p>
    <w:p>
      <w:pPr>
        <w:spacing w:line="360" w:lineRule="auto" w:after="0" w:before="0"/>
        <w:jc w:val="both"/>
      </w:pPr>
      <w:r>
        <w:rPr>
          <w:rFonts w:ascii="Times New Roman" w:hAnsi="Times New Roman" w:cs="Times New Roman"/>
          <w:b/>
          <w:i w:val="0"/>
          <w:sz w:val="28"/>
          <w:lang w:val="en-US"/>
        </w:rPr>
        <w:t>Scopus Author ID:</w:t>
      </w:r>
      <w:r>
        <w:rPr>
          <w:rFonts w:ascii="Times New Roman" w:hAnsi="Times New Roman" w:cs="Times New Roman"/>
          <w:b w:val="0"/>
          <w:i w:val="0"/>
          <w:sz w:val="28"/>
          <w:lang w:val="uk-UA"/>
        </w:rPr>
        <w:t xml:space="preserve"> (TODO: уточнити або вилучити, якщо відсутній)</w:t>
      </w:r>
    </w:p>
    <w:p>
      <w:pPr>
        <w:spacing w:line="360" w:lineRule="auto" w:after="0" w:before="0"/>
        <w:jc w:val="both"/>
      </w:pPr>
      <w:r>
        <w:rPr>
          <w:rFonts w:ascii="Times New Roman" w:hAnsi="Times New Roman" w:cs="Times New Roman"/>
          <w:b/>
          <w:i w:val="0"/>
          <w:sz w:val="28"/>
          <w:lang w:val="en-US"/>
        </w:rPr>
        <w:t>To cite:</w:t>
      </w:r>
      <w:r>
        <w:rPr>
          <w:rFonts w:ascii="Times New Roman" w:hAnsi="Times New Roman" w:cs="Times New Roman"/>
          <w:b w:val="0"/>
          <w:i w:val="0"/>
          <w:sz w:val="28"/>
          <w:lang w:val="en-US"/>
        </w:rPr>
        <w:t xml:space="preserve"> Kuzhii, Yu. I., &amp; Furgala, Yu. M. (2026). Identification of user behavioral patterns in online financial services via feature engineering. </w:t>
      </w:r>
      <w:r>
        <w:rPr>
          <w:rFonts w:ascii="Times New Roman" w:hAnsi="Times New Roman" w:cs="Times New Roman"/>
          <w:b w:val="0"/>
          <w:i/>
          <w:sz w:val="28"/>
          <w:lang w:val="en-US"/>
        </w:rPr>
        <w:t>Information Technology: Computer Science, Software Engineering and Cyber Security</w:t>
      </w:r>
      <w:r>
        <w:rPr>
          <w:rFonts w:ascii="Times New Roman" w:hAnsi="Times New Roman" w:cs="Times New Roman"/>
          <w:b w:val="0"/>
          <w:i w:val="0"/>
          <w:sz w:val="28"/>
          <w:lang w:val="uk-UA"/>
        </w:rPr>
        <w:t>, (X), XX–XX. https://doi.org/10.32782/IT/2026-X-XX (TODO: уточнити номер/сторінки/DOI після верстки)</w:t>
      </w:r>
    </w:p>
    <w:p>
      <w:pPr>
        <w:spacing w:line="360" w:lineRule="auto" w:after="0" w:before="0"/>
        <w:jc w:val="both"/>
      </w:pPr>
      <w:r>
        <w:rPr>
          <w:rFonts w:ascii="Times New Roman" w:hAnsi="Times New Roman" w:cs="Times New Roman"/>
          <w:b/>
          <w:i w:val="0"/>
          <w:sz w:val="28"/>
          <w:lang w:val="uk-UA"/>
        </w:rPr>
        <w:t>Ю. І. Кужій, Ю. М. Фургала</w:t>
      </w:r>
    </w:p>
    <w:p>
      <w:pPr>
        <w:spacing w:line="360" w:lineRule="auto" w:after="0" w:before="0"/>
        <w:ind w:firstLine="709"/>
        <w:jc w:val="both"/>
      </w:pPr>
      <w:r>
        <w:rPr>
          <w:rFonts w:ascii="Times New Roman" w:hAnsi="Times New Roman" w:cs="Times New Roman"/>
          <w:b w:val="0"/>
          <w:i/>
          <w:sz w:val="28"/>
          <w:lang w:val="uk-UA"/>
        </w:rPr>
        <w:t>Львівський національний університет імені Івана Франка, факультет електроніки та комп'ютерних технологій, вул. Драгоманова, 50, 79005 Львів, Україна</w:t>
      </w:r>
    </w:p>
    <w:p>
      <w:pPr>
        <w:spacing w:line="360" w:lineRule="auto" w:after="0" w:before="0"/>
        <w:ind w:firstLine="709"/>
        <w:jc w:val="both"/>
      </w:pPr>
      <w:r>
        <w:rPr>
          <w:rFonts w:ascii="Times New Roman" w:hAnsi="Times New Roman" w:cs="Times New Roman"/>
          <w:b w:val="0"/>
          <w:i/>
          <w:sz w:val="28"/>
          <w:lang w:val="en-US"/>
        </w:rPr>
        <w:t>e-mail: yurii.kuzhii@lnu.edu.ua</w:t>
      </w:r>
    </w:p>
    <w:p>
      <w:pPr>
        <w:spacing w:before="200" w:after="60" w:line="360" w:lineRule="auto"/>
        <w:jc w:val="center"/>
      </w:pPr>
      <w:r>
        <w:rPr>
          <w:rFonts w:ascii="Times New Roman" w:hAnsi="Times New Roman" w:cs="Times New Roman"/>
          <w:b/>
          <w:i w:val="0"/>
          <w:sz w:val="28"/>
          <w:lang w:val="uk-UA"/>
        </w:rPr>
        <w:t>ІДЕНТИФІКАЦІЯ ПОВЕДІНКОВИХ ШАБЛОНІВ КОРИСТУВАЧІВ ФІНАНСОВИХ ОНЛАЙН-СЕРВІСІВ НА ОСНОВІ ІНЖЕНЕРІЇ ОЗНАК</w:t>
      </w:r>
    </w:p>
    <w:p>
      <w:pPr>
        <w:spacing w:before="160" w:after="60" w:line="360" w:lineRule="auto"/>
      </w:pPr>
      <w:r>
        <w:rPr>
          <w:rFonts w:ascii="Times New Roman" w:hAnsi="Times New Roman" w:cs="Times New Roman"/>
          <w:b/>
          <w:i w:val="0"/>
          <w:sz w:val="28"/>
          <w:lang w:val="uk-UA"/>
        </w:rPr>
        <w:t>Анотація</w:t>
      </w:r>
    </w:p>
    <w:p>
      <w:pPr>
        <w:spacing w:line="360" w:lineRule="auto" w:after="0" w:before="0"/>
        <w:ind w:firstLine="567"/>
        <w:jc w:val="both"/>
      </w:pPr>
      <w:r>
        <w:rPr>
          <w:rFonts w:ascii="Times New Roman" w:hAnsi="Times New Roman" w:cs="Times New Roman"/>
          <w:b w:val="0"/>
          <w:i w:val="0"/>
          <w:sz w:val="24"/>
          <w:lang w:val="uk-UA"/>
        </w:rPr>
        <w:t>Робота присвячена задачі ідентифікації поведінкових шаблонів користувачів фінансових онлайн-сервісів на основі аналізу транзакційних даних. Шахрайство з платіжними картками у e-commerce залишається масовою загрозою: лише у 2023 р. в Бразилії зафіксовано близько 3,7 млн шахрайських операцій із сумарними втратами ~3,5 млрд BRL. Типова практика побудови антифрод-систем ґрунтується на емпіричному доборі десятків і сотень ознак без їхньої систематичної типологізації, що породжує ефект прихованого спільного чинника: ознаки, які на перший погляд мають власну прогностичну силу (година доби, день тижня, вихідний, кратність суми), насправді виявляються опосередкованими показниками глибших поведінкових шаблонів. У цій роботі запропоновано побудову поведінкового простору ознак карткових транзакцій, упорядкованого у чотири функціональні сімейства: часові, швидкісні, структурні за сумою та ідентифікаційні (цільовокодовані). На публічному наборі даних Predict Chargeback Frauds (Kaggle, 11 127 транзакцій, травень 2015) методами аналізу головних компонент (PCA), однофакторного ANOVA, багатовимірного MANOVA, silhouette-індексу та класифікаційних експериментів із послідовним вилученням сімейств показано, що: (і) шахрайські транзакції утворюють статистично значущо відокремлену область простору ознак (Wilks λ = 0,547, F = 352,9, p &lt; 0,001); (іі) швидкісне сімейство ознак (інтервал між транзакціями картки, щільність у вікнах часу, повторення суми) є домінантним інваріантом шахрайської поведінки (silhouette = 0,81 проти 0,06 для часових ознак); (ііі) часові ознаки є опосередкованими непрямими показниками швидкісного шаблону, які майже повністю втрачають прогностичну силу після контролю на нього (χ²(weekend × fraud) падає з 11,7 до 0,56 при стратифікації за швидкісним вікном). Ідентифікована складена поведінкова ознака «≥2 транзакцій картки за годину з повторенням суми у вікні 10 хв» має частку шахрайства 80,6 % і охоплює 32,7 % усього шахрайства у наборі, формуючи характерний підпис так званих card-testing атак. Практичне значення: структурне ядро ознакового простору антифрод-систем доцільно формувати зі швидкісних поведінкових ознак; часові та формальні ознаки сум є допоміжними без самостійного сигналу.</w:t>
      </w:r>
    </w:p>
    <w:p>
      <w:pPr>
        <w:spacing w:line="360" w:lineRule="auto" w:after="0" w:before="0"/>
        <w:jc w:val="both"/>
      </w:pPr>
      <w:r>
        <w:rPr>
          <w:rFonts w:ascii="Times New Roman" w:hAnsi="Times New Roman" w:cs="Times New Roman"/>
          <w:b/>
          <w:i w:val="0"/>
          <w:sz w:val="24"/>
          <w:lang w:val="uk-UA"/>
        </w:rPr>
        <w:t>Ключові слова:</w:t>
      </w:r>
      <w:r>
        <w:rPr>
          <w:rFonts w:ascii="Times New Roman" w:hAnsi="Times New Roman" w:cs="Times New Roman"/>
          <w:b w:val="0"/>
          <w:i w:val="0"/>
          <w:sz w:val="24"/>
          <w:lang w:val="uk-UA"/>
        </w:rPr>
        <w:t xml:space="preserve"> ідентифікація шаблонів поведінки, інженерія ознак, простір ознак, аналіз головних компонент, MANOVA, виявлення шахрайства, card-testing.</w:t>
      </w:r>
    </w:p>
    <w:p>
      <w:pPr>
        <w:spacing w:before="200" w:after="60" w:line="360" w:lineRule="auto"/>
        <w:jc w:val="center"/>
      </w:pPr>
      <w:r>
        <w:rPr>
          <w:rFonts w:ascii="Times New Roman" w:hAnsi="Times New Roman" w:cs="Times New Roman"/>
          <w:b/>
          <w:i w:val="0"/>
          <w:sz w:val="28"/>
          <w:lang w:val="en-US"/>
        </w:rPr>
        <w:t>IDENTIFICATION OF USER BEHAVIORAL PATTERNS IN ONLINE FINANCIAL SERVICES VIA FEATURE ENGINEERING</w:t>
      </w:r>
    </w:p>
    <w:p>
      <w:pPr>
        <w:spacing w:line="360" w:lineRule="auto" w:after="0" w:before="0"/>
        <w:jc w:val="both"/>
      </w:pPr>
      <w:r>
        <w:rPr>
          <w:rFonts w:ascii="Times New Roman" w:hAnsi="Times New Roman" w:cs="Times New Roman"/>
          <w:b/>
          <w:i w:val="0"/>
          <w:sz w:val="24"/>
          <w:lang w:val="en-US"/>
        </w:rPr>
        <w:t>Yu. I. Kuzhii, Yu. M. Furgala</w:t>
      </w:r>
    </w:p>
    <w:p>
      <w:pPr>
        <w:spacing w:line="360" w:lineRule="auto" w:after="0" w:before="0"/>
        <w:ind w:firstLine="567"/>
        <w:jc w:val="both"/>
      </w:pPr>
      <w:r>
        <w:rPr>
          <w:rFonts w:ascii="Times New Roman" w:hAnsi="Times New Roman" w:cs="Times New Roman"/>
          <w:b w:val="0"/>
          <w:i/>
          <w:sz w:val="24"/>
          <w:lang w:val="en-US"/>
        </w:rPr>
        <w:t>Ivan Franko National University of Lviv, Faculty of Electronics and Computer Technologies, 50 Drahomanova Str., 79005 Lviv, Ukraine</w:t>
      </w:r>
    </w:p>
    <w:p>
      <w:pPr>
        <w:spacing w:line="360" w:lineRule="auto" w:after="0" w:before="0"/>
        <w:jc w:val="both"/>
      </w:pPr>
      <w:r>
        <w:rPr>
          <w:rFonts w:ascii="Times New Roman" w:hAnsi="Times New Roman" w:cs="Times New Roman"/>
          <w:b/>
          <w:i w:val="0"/>
          <w:sz w:val="24"/>
          <w:lang w:val="en-US"/>
        </w:rPr>
        <w:t>Abstract.</w:t>
      </w:r>
      <w:r>
        <w:rPr>
          <w:rFonts w:ascii="Times New Roman" w:hAnsi="Times New Roman" w:cs="Times New Roman"/>
          <w:b w:val="0"/>
          <w:i w:val="0"/>
          <w:sz w:val="24"/>
          <w:lang w:val="en-US"/>
        </w:rPr>
        <w:t xml:space="preserve"> This paper addresses behavioral pattern identification in online financial services through the analysis of card transaction data. Payment-card fraud in e-commerce remains a major threat: in 2023 alone, approximately 3.7 million fraudulent transactions with aggregate losses of ~3.5 billion BRL were recorded in Brazil. Industrial anti-fraud systems typically rely on the empirical selection of dozens to hundreds of features without a systematic taxonomy, which produces confounded signals: features that appear individually predictive (hour of day, day of week, weekend, amount roundness) turn out to be indirect proxies of deeper behavioral patterns. We propose structuring the behavioral feature space of card transactions into four functional families: temporal, velocity, amount-structure, and identity (target-encoded). On the public Predict Chargeback Frauds dataset (Kaggle, 11 127 transactions, May 2015) we apply principal component analysis (PCA), univariate ANOVA, multivariate MANOVA, silhouette analysis and feature-family ablation of classifiers and show that: (i) fraudulent transactions occupy a statistically separable region of the feature space (Wilks λ = 0.547, F = 352.9, p &lt; 0.001); (ii) the velocity family (inter-transaction gap, rolling counts, amount repetition) is the dominant behavioral invariant (silhouette = 0.81 vs. 0.06 for temporal features); (iii) temporal features are indirect proxies of the velocity pattern and lose nearly all predictive power once velocity is controlled for (weekend × fraud χ² drops from 11.7, p &lt; 0.001, to 0.56, p = 0.46, under velocity stratification). A composite signature «≥2 transactions per hour with the same amount within 10 min» achieves an 80.6 % fraud rate and covers 32.7 % of all fraud, capturing the characteristic pattern of card-testing attacks. Practical implication: the structural core of the anti-fraud feature space should be built around velocity behavioral features; temporal and amount-structure features are auxiliary and carry no independent signal.</w:t>
      </w:r>
    </w:p>
    <w:p>
      <w:pPr>
        <w:spacing w:line="360" w:lineRule="auto" w:after="0" w:before="0"/>
        <w:jc w:val="both"/>
      </w:pPr>
      <w:r>
        <w:rPr>
          <w:rFonts w:ascii="Times New Roman" w:hAnsi="Times New Roman" w:cs="Times New Roman"/>
          <w:b/>
          <w:i w:val="0"/>
          <w:sz w:val="24"/>
          <w:lang w:val="en-US"/>
        </w:rPr>
        <w:t>Keywords:</w:t>
      </w:r>
      <w:r>
        <w:rPr>
          <w:rFonts w:ascii="Times New Roman" w:hAnsi="Times New Roman" w:cs="Times New Roman"/>
          <w:b w:val="0"/>
          <w:i w:val="0"/>
          <w:sz w:val="24"/>
          <w:lang w:val="en-US"/>
        </w:rPr>
        <w:t xml:space="preserve"> behavioral pattern identification, feature engineering, feature space, PCA, MANOVA, fraud detection, card-testing.</w:t>
      </w:r>
    </w:p>
    <w:p>
      <w:pPr>
        <w:spacing w:before="160" w:after="60" w:line="360" w:lineRule="auto"/>
      </w:pPr>
      <w:r>
        <w:rPr>
          <w:rFonts w:ascii="Times New Roman" w:hAnsi="Times New Roman" w:cs="Times New Roman"/>
          <w:b/>
          <w:i w:val="0"/>
          <w:sz w:val="28"/>
          <w:lang w:val="uk-UA"/>
        </w:rPr>
        <w:t>1. Вступ</w:t>
      </w:r>
    </w:p>
    <w:p>
      <w:pPr>
        <w:spacing w:line="360" w:lineRule="auto" w:after="0" w:before="0"/>
        <w:ind w:firstLine="709"/>
        <w:jc w:val="both"/>
      </w:pPr>
      <w:r>
        <w:rPr>
          <w:rFonts w:ascii="Times New Roman" w:hAnsi="Times New Roman" w:cs="Times New Roman"/>
          <w:b w:val="0"/>
          <w:i w:val="0"/>
          <w:sz w:val="28"/>
          <w:lang w:val="uk-UA"/>
        </w:rPr>
        <w:t>Сучасні онлайн-сервіси — банківські системи електронної торгівлі, маркетплейси, платіжні шлюзи — акумулюють великі обсяги поведінкових даних користувачів у вигляді послідовностей подій із часовими мітками. Автоматизоване виявлення поведінкових шаблонів у таких даних є задачею розпізнавання образів у багатовимірному просторі ознак і має практичне значення для виявлення аномальної чи зловмисної активності, рекомендаційних систем, а також для антифрод-систем — основного фокусу цієї роботи.</w:t>
      </w:r>
    </w:p>
    <w:p>
      <w:pPr>
        <w:spacing w:line="360" w:lineRule="auto" w:after="0" w:before="0"/>
        <w:ind w:firstLine="709"/>
        <w:jc w:val="both"/>
      </w:pPr>
      <w:r>
        <w:rPr>
          <w:rFonts w:ascii="Times New Roman" w:hAnsi="Times New Roman" w:cs="Times New Roman"/>
          <w:b w:val="0"/>
          <w:i w:val="0"/>
          <w:sz w:val="28"/>
          <w:lang w:val="uk-UA"/>
        </w:rPr>
        <w:t>Шахрайство з платіжними картками у e-commerce є соціально та економічно значущою проблемою. За даними дослідження CyberSource, у 2016 р. частка шахрайських операцій у e-commerce Латинської Америки становила 1,4 % від загального обсягу; у 2023 р. лише в Бразилії зафіксовано близько 3,7 млн шахрайських операцій із втратами ~3,5 млрд BRL. В Україні, за звітами Національного банку, втрати від карткового шахрайства щороку зростають разом із популяризацією безконтактних і онлайн-платежів, що розширює простір потенційних зловживань.</w:t>
      </w:r>
    </w:p>
    <w:p>
      <w:pPr>
        <w:spacing w:line="360" w:lineRule="auto" w:after="0" w:before="0"/>
        <w:ind w:firstLine="709"/>
        <w:jc w:val="both"/>
      </w:pPr>
      <w:r>
        <w:rPr>
          <w:rFonts w:ascii="Times New Roman" w:hAnsi="Times New Roman" w:cs="Times New Roman"/>
          <w:b w:val="0"/>
          <w:i w:val="0"/>
          <w:sz w:val="28"/>
          <w:lang w:val="uk-UA"/>
        </w:rPr>
        <w:t>У практиці побудови антифрод-систем поширеним є емпіричний підхід до конструювання ознак: використовуються десятки і сотні окремих атрибутів — час доби, день тижня, сума, продавець, країна, пристрій — без їхньої систематичної типологізації. Така побудова ознакового простору призводить до трьох негативних наслідків: (а) переобтяженості моделей та їх схильності до перенавчання на малих частках позитивного класу; (б) низької прозорості для експертного аналізу, оскільки внески окремих ознак не групуються за функціональним призначенням; (в) типових помилок інтерпретації, коли статистично значущий сигнал окремої ознаки насправді є опосередкованим проявом іншої, глибшої поведінкової змінної — ефектом прихованого спільного чинника. Зокрема, поширене галузеве переконання про підвищену активність шахраїв «у вихідні» чи «вночі» при уважному аналізі часто виявляється артефактом збігу таких часових слотів із періодами підвищеної швидкісної активності зловмисних сценаріїв.</w:t>
      </w:r>
    </w:p>
    <w:p>
      <w:pPr>
        <w:spacing w:line="360" w:lineRule="auto" w:after="0" w:before="0"/>
        <w:ind w:firstLine="709"/>
        <w:jc w:val="both"/>
      </w:pPr>
      <w:r>
        <w:rPr>
          <w:rFonts w:ascii="Times New Roman" w:hAnsi="Times New Roman" w:cs="Times New Roman"/>
          <w:b w:val="0"/>
          <w:i w:val="0"/>
          <w:sz w:val="28"/>
          <w:lang w:val="uk-UA"/>
        </w:rPr>
        <w:t>У цій роботі запропоновано альтернативний підхід: будувати простір поведінкових ознак транзакцій систематично, структуруючи ознаки у функціональні сімейства за природою інформації, яку вони відображають (часова позиція, швидкісна динаміка, структура суми, ідентифікаційні характеристики), після чого досліджувати розділюваність цих сімейств у задачі легітимна/шахрайська транзакція методами розпізнавання образів — аналізом головних компонент (PCA), однофакторним та багатовимірним аналізом варіації (ANOVA, MANOVA), silhouette-індексом, а також експериментами з послідовним вилученням сімейств на класифікаційних моделях. Подібний методологічний підхід до побудови структурованого ознакового простору застосовувався раніше у задачі ідентифікації рольових поведінкових шаблонів гравців Counter-Strike 2 (Кужій &amp; Фургала, 2025) і довів свою продуктивність поза межами фінансової галузі.</w:t>
      </w:r>
    </w:p>
    <w:p>
      <w:pPr>
        <w:spacing w:line="360" w:lineRule="auto" w:after="0" w:before="0"/>
        <w:ind w:firstLine="709"/>
        <w:jc w:val="both"/>
      </w:pPr>
      <w:r>
        <w:rPr>
          <w:rFonts w:ascii="Times New Roman" w:hAnsi="Times New Roman" w:cs="Times New Roman"/>
          <w:b w:val="0"/>
          <w:i w:val="0"/>
          <w:sz w:val="28"/>
          <w:lang w:val="uk-UA"/>
        </w:rPr>
        <w:t>Метою цієї статті є побудова систематизованого поведінкового простору ознак карткових транзакцій, експериментальне дослідження розділюваності шахрайських і легітимних транзакцій у цьому просторі та ідентифікація інваріантного сімейства ознак, що визначає характерний підпис шахрайської поведінки незалежно від другорядних чинників часу доби, дня тижня та конкретної суми. Відповідно, задачі роботи: (1) запропонувати таксономію сімейств поведінкових ознак карткових транзакцій; (2) оцінити статистичну значущість і геометричну відокремленість розділення класів у кожному сімействі та у повному просторі; (3) експериментально виявити конфаундингові зв'язки між сімействами ознак; (4) ідентифікувати складену поведінкову ознаку, що охоплює суттєву частку шахрайства при мінімальній кількості помилок.</w:t>
      </w:r>
    </w:p>
    <w:p>
      <w:pPr>
        <w:spacing w:before="160" w:after="60" w:line="360" w:lineRule="auto"/>
      </w:pPr>
      <w:r>
        <w:rPr>
          <w:rFonts w:ascii="Times New Roman" w:hAnsi="Times New Roman" w:cs="Times New Roman"/>
          <w:b/>
          <w:i w:val="0"/>
          <w:sz w:val="28"/>
          <w:lang w:val="uk-UA"/>
        </w:rPr>
        <w:t>2. Аналіз останніх досліджень і публікацій</w:t>
      </w:r>
    </w:p>
    <w:p>
      <w:pPr>
        <w:spacing w:line="360" w:lineRule="auto" w:after="0" w:before="0"/>
        <w:ind w:firstLine="709"/>
        <w:jc w:val="both"/>
      </w:pPr>
      <w:r>
        <w:rPr>
          <w:rFonts w:ascii="Times New Roman" w:hAnsi="Times New Roman" w:cs="Times New Roman"/>
          <w:b w:val="0"/>
          <w:i w:val="0"/>
          <w:sz w:val="28"/>
          <w:lang w:val="uk-UA"/>
        </w:rPr>
        <w:t>Класичні підходи до виявлення карткового шахрайства ґрунтуються переважно на прикладних моделях машинного навчання, у яких інженерія ознак відіграє допоміжну роль. Робота (Dal Pozzolo et al., 2015) формалізує проблему сильної розбалансованості класів (fraud rate &lt; 1 %) і пропонує калібрування за допомогою знижувальної вибірки (недовибірки). У роботі (Jurgovsky et al., 2018) розглянуто послідовну природу транзакцій і застосовано LSTM для класифікації карткових послідовностей. Дослідження (Lucas et al., 2020) розвиває мультиперспективні приховані марковські моделі, що явно кодують короткострокові транзакційні шаблони — мабуть, найближчу до теми цієї роботи постановку у літературі.</w:t>
      </w:r>
    </w:p>
    <w:p>
      <w:pPr>
        <w:spacing w:line="360" w:lineRule="auto" w:after="0" w:before="0"/>
        <w:ind w:firstLine="709"/>
        <w:jc w:val="both"/>
      </w:pPr>
      <w:r>
        <w:rPr>
          <w:rFonts w:ascii="Times New Roman" w:hAnsi="Times New Roman" w:cs="Times New Roman"/>
          <w:b w:val="0"/>
          <w:i w:val="0"/>
          <w:sz w:val="28"/>
          <w:lang w:val="uk-UA"/>
        </w:rPr>
        <w:t>Робота (Bahnsen et al., 2016) є однією з перших систематичних праць зі стратегій інженерії ознак для карткового фроду: автори вводять агреговані атрибути за часовими вікнами (періодичні фічі, cumulative counts, rolling sums) і демонструють, що такі ознаки підвищують якість класифікатора у 1,5–3 рази. Їхній висновок підтверджує загальну ідею, що поведінкова динаміка картки (а не окрема транзакція) несе основний сигнал аномалії.</w:t>
      </w:r>
    </w:p>
    <w:p>
      <w:pPr>
        <w:spacing w:line="360" w:lineRule="auto" w:after="0" w:before="0"/>
        <w:ind w:firstLine="709"/>
        <w:jc w:val="both"/>
      </w:pPr>
      <w:r>
        <w:rPr>
          <w:rFonts w:ascii="Times New Roman" w:hAnsi="Times New Roman" w:cs="Times New Roman"/>
          <w:b w:val="0"/>
          <w:i w:val="0"/>
          <w:sz w:val="28"/>
          <w:lang w:val="uk-UA"/>
        </w:rPr>
        <w:t>У системі APATE (Van Vlasselaer et al., 2015) будуються мережеві ознаки на основі зв'язків картка-продавець, що підтверджує специфічну графову структуру швидкого поширення шахрайської поведінки між скомпрометованими картками.</w:t>
      </w:r>
    </w:p>
    <w:p>
      <w:pPr>
        <w:spacing w:line="360" w:lineRule="auto" w:after="0" w:before="0"/>
        <w:ind w:firstLine="709"/>
        <w:jc w:val="both"/>
      </w:pPr>
      <w:r>
        <w:rPr>
          <w:rFonts w:ascii="Times New Roman" w:hAnsi="Times New Roman" w:cs="Times New Roman"/>
          <w:b w:val="0"/>
          <w:i w:val="0"/>
          <w:sz w:val="28"/>
          <w:lang w:val="uk-UA"/>
        </w:rPr>
        <w:t>Серед досліджень на реальних бразильських транзакційних даних слід згадати (Carneiro et al., 2017) (дані PagSeguro), де повторювані суми явно відзначено як типовий артефакт тестування вкрадених карток, та (De Sá et al., 2018), де за допомогою еволюційного пошуку отримано алгоритм Fraud-BNC, оптимізований під економічну функцію ринку. Гібридні стратегії, що поєднують кероване й некероване навчання у потоковій постановці, розвинено у (Carcillo et al., 2021).</w:t>
      </w:r>
    </w:p>
    <w:p>
      <w:pPr>
        <w:spacing w:line="360" w:lineRule="auto" w:after="0" w:before="0"/>
        <w:ind w:firstLine="709"/>
        <w:jc w:val="both"/>
      </w:pPr>
      <w:r>
        <w:rPr>
          <w:rFonts w:ascii="Times New Roman" w:hAnsi="Times New Roman" w:cs="Times New Roman"/>
          <w:b w:val="0"/>
          <w:i w:val="0"/>
          <w:sz w:val="28"/>
          <w:lang w:val="uk-UA"/>
        </w:rPr>
        <w:t>Важливо, що концепція card-testing (перевірка вкрадених карток шляхом серії дрібних транзакцій на різних продавцях) документується у галузевих звітах Visa, Stripe і Adyen як один з найпоширеніших типів атак, але рідко виділяється як окрема аналітична категорія в академічній літературі. Наявні роботи фактично виявляють ознаки card-testing (інтервали між транзакціями, повторення суми) серед десятків інших, не акцентуючи їхню інваріантну природу.</w:t>
      </w:r>
    </w:p>
    <w:p>
      <w:pPr>
        <w:spacing w:line="360" w:lineRule="auto" w:after="0" w:before="0"/>
        <w:ind w:firstLine="709"/>
        <w:jc w:val="both"/>
      </w:pPr>
      <w:r>
        <w:rPr>
          <w:rFonts w:ascii="Times New Roman" w:hAnsi="Times New Roman" w:cs="Times New Roman"/>
          <w:b w:val="0"/>
          <w:i w:val="0"/>
          <w:sz w:val="28"/>
          <w:lang w:val="uk-UA"/>
        </w:rPr>
        <w:t>Таким чином, у літературі бракує систематизованого уявлення про те, яке саме сімейство ознак є структурно домінантним у просторі поведінкових ознак шахрайських транзакцій, і наскільки популярні часові ознаки (година, вихідний) є незалежними сигналами, а наскільки — опосередкованими непрямими показниками швидкісної поведінки. У цій роботі цю прогалину заповнено експериментальним аналізом розподілу сили розділення між функціональними сімействами ознак на реальних транзакційних даних. Близький методологічний підхід — структурування поведінкового простору ознак у функціональні сімейства з подальшим аналізом їх розділювальної сили — раніше застосовувався авторами у задачі класифікації рольових шаблонів гравців Counter-Strike 2 (Кужій &amp; Фургала, 2025).</w:t>
      </w:r>
    </w:p>
    <w:p>
      <w:pPr>
        <w:spacing w:before="160" w:after="60" w:line="360" w:lineRule="auto"/>
      </w:pPr>
      <w:r>
        <w:rPr>
          <w:rFonts w:ascii="Times New Roman" w:hAnsi="Times New Roman" w:cs="Times New Roman"/>
          <w:b/>
          <w:i w:val="0"/>
          <w:sz w:val="28"/>
          <w:lang w:val="uk-UA"/>
        </w:rPr>
        <w:t>3. Матеріали та методи</w:t>
      </w:r>
    </w:p>
    <w:p>
      <w:pPr>
        <w:spacing w:before="120" w:after="60" w:line="360" w:lineRule="auto"/>
      </w:pPr>
      <w:r>
        <w:rPr>
          <w:rFonts w:ascii="Times New Roman" w:hAnsi="Times New Roman" w:cs="Times New Roman"/>
          <w:b/>
          <w:i w:val="0"/>
          <w:sz w:val="28"/>
          <w:lang w:val="uk-UA"/>
        </w:rPr>
        <w:t>3.1. Постановка задачі</w:t>
      </w:r>
    </w:p>
    <w:p>
      <w:pPr>
        <w:spacing w:line="360" w:lineRule="auto" w:after="0" w:before="0"/>
        <w:ind w:firstLine="709"/>
        <w:jc w:val="both"/>
      </w:pPr>
      <w:r>
        <w:rPr>
          <w:rFonts w:ascii="Times New Roman" w:hAnsi="Times New Roman" w:cs="Times New Roman"/>
          <w:b w:val="0"/>
          <w:i w:val="0"/>
          <w:sz w:val="28"/>
          <w:lang w:val="uk-UA"/>
        </w:rPr>
        <w:t xml:space="preserve">Нехай задано множину транзакцій </w:t>
      </w:r>
      <m:oMath>
        <m:r>
          <m:t xml:space="preserve">T</m:t>
        </m:r>
        <m:r>
          <m:t xml:space="preserve">=</m:t>
        </m:r>
        <m:r>
          <m:t xml:space="preserve">{</m:t>
        </m:r>
        <m:sSub>
          <m:e>
            <m:r>
              <m:t xml:space="preserve">t</m:t>
            </m:r>
          </m:e>
          <m:sub>
            <m:r>
              <m:t xml:space="preserve">1</m:t>
            </m:r>
          </m:sub>
        </m:sSub>
        <m:r>
          <m:t xml:space="preserve">,</m:t>
        </m:r>
        <m:sSub>
          <m:e>
            <m:r>
              <m:t xml:space="preserve">t</m:t>
            </m:r>
          </m:e>
          <m:sub>
            <m:r>
              <m:t xml:space="preserve">2</m:t>
            </m:r>
          </m:sub>
        </m:sSub>
        <m:r>
          <m:t xml:space="preserve">,</m:t>
        </m:r>
        <m:r>
          <m:t xml:space="preserve">…</m:t>
        </m:r>
        <m:r>
          <m:t xml:space="preserve">,</m:t>
        </m:r>
        <m:sSub>
          <m:e>
            <m:r>
              <m:t xml:space="preserve">t</m:t>
            </m:r>
          </m:e>
          <m:sub>
            <m:r>
              <m:t xml:space="preserve">N</m:t>
            </m:r>
          </m:sub>
        </m:sSub>
        <m:r>
          <m:t xml:space="preserve">}</m:t>
        </m:r>
      </m:oMath>
      <w:r>
        <w:rPr>
          <w:rFonts w:ascii="Times New Roman" w:hAnsi="Times New Roman" w:cs="Times New Roman"/>
          <w:b w:val="0"/>
          <w:i w:val="0"/>
          <w:sz w:val="28"/>
          <w:lang w:val="uk-UA"/>
        </w:rPr>
        <w:t xml:space="preserve">, у якій кожна транзакція описана атрибутами </w:t>
      </w:r>
      <m:oMath>
        <m:r>
          <m:t xml:space="preserve">(</m:t>
        </m:r>
        <m:sSub>
          <m:e>
            <m:r>
              <m:t xml:space="preserve">c</m:t>
            </m:r>
          </m:e>
          <m:sub>
            <m:r>
              <m:t xml:space="preserve">i</m:t>
            </m:r>
          </m:sub>
        </m:sSub>
        <m:r>
          <m:t xml:space="preserve">,</m:t>
        </m:r>
        <m:sSub>
          <m:e>
            <m:r>
              <m:t xml:space="preserve">d</m:t>
            </m:r>
          </m:e>
          <m:sub>
            <m:r>
              <m:t xml:space="preserve">i</m:t>
            </m:r>
          </m:sub>
        </m:sSub>
        <m:r>
          <m:t xml:space="preserve">,</m:t>
        </m:r>
        <m:sSub>
          <m:e>
            <m:r>
              <m:t xml:space="preserve">a</m:t>
            </m:r>
          </m:e>
          <m:sub>
            <m:r>
              <m:t xml:space="preserve">i</m:t>
            </m:r>
          </m:sub>
        </m:sSub>
        <m:r>
          <m:t xml:space="preserve">,</m:t>
        </m:r>
        <m:sSub>
          <m:e>
            <m:r>
              <m:t xml:space="preserve">y</m:t>
            </m:r>
          </m:e>
          <m:sub>
            <m:r>
              <m:t xml:space="preserve">i</m:t>
            </m:r>
          </m:sub>
        </m:sSub>
        <m:r>
          <m:t xml:space="preserve">)</m:t>
        </m:r>
      </m:oMath>
      <w:r>
        <w:rPr>
          <w:rFonts w:ascii="Times New Roman" w:hAnsi="Times New Roman" w:cs="Times New Roman"/>
          <w:b w:val="0"/>
          <w:i w:val="0"/>
          <w:sz w:val="28"/>
          <w:lang w:val="uk-UA"/>
        </w:rPr>
        <w:t xml:space="preserve">, де </w:t>
      </w:r>
      <m:oMath>
        <m:sSub>
          <m:e>
            <m:r>
              <m:t xml:space="preserve">c</m:t>
            </m:r>
          </m:e>
          <m:sub>
            <m:r>
              <m:t xml:space="preserve">i</m:t>
            </m:r>
          </m:sub>
        </m:sSub>
      </m:oMath>
      <w:r>
        <w:rPr>
          <w:rFonts w:ascii="Times New Roman" w:hAnsi="Times New Roman" w:cs="Times New Roman"/>
          <w:b w:val="0"/>
          <w:i w:val="0"/>
          <w:sz w:val="28"/>
          <w:lang w:val="uk-UA"/>
        </w:rPr>
        <w:t xml:space="preserve"> — ідентифікатор платіжної картки, </w:t>
      </w:r>
      <m:oMath>
        <m:sSub>
          <m:e>
            <m:r>
              <m:t xml:space="preserve">d</m:t>
            </m:r>
          </m:e>
          <m:sub>
            <m:r>
              <m:t xml:space="preserve">i</m:t>
            </m:r>
          </m:sub>
        </m:sSub>
      </m:oMath>
      <w:r>
        <w:rPr>
          <w:rFonts w:ascii="Times New Roman" w:hAnsi="Times New Roman" w:cs="Times New Roman"/>
          <w:b w:val="0"/>
          <w:i w:val="0"/>
          <w:sz w:val="28"/>
          <w:lang w:val="uk-UA"/>
        </w:rPr>
        <w:t xml:space="preserve"> — дата-час транзакції, </w:t>
      </w:r>
      <m:oMath>
        <m:sSub>
          <m:e>
            <m:r>
              <m:t xml:space="preserve">a</m:t>
            </m:r>
          </m:e>
          <m:sub>
            <m:r>
              <m:t xml:space="preserve">i</m:t>
            </m:r>
          </m:sub>
        </m:sSub>
      </m:oMath>
      <w:r>
        <w:rPr>
          <w:rFonts w:ascii="Times New Roman" w:hAnsi="Times New Roman" w:cs="Times New Roman"/>
          <w:b w:val="0"/>
          <w:i w:val="0"/>
          <w:sz w:val="28"/>
          <w:lang w:val="uk-UA"/>
        </w:rPr>
        <w:t xml:space="preserve"> — сума, </w:t>
      </w:r>
      <m:oMath>
        <m:sSub>
          <m:e>
            <m:r>
              <m:t xml:space="preserve">y</m:t>
            </m:r>
          </m:e>
          <m:sub>
            <m:r>
              <m:t xml:space="preserve">i</m:t>
            </m:r>
          </m:sub>
        </m:sSub>
        <m:r>
          <m:t xml:space="preserve">∈</m:t>
        </m:r>
        <m:r>
          <m:t xml:space="preserve">{</m:t>
        </m:r>
        <m:r>
          <m:t xml:space="preserve">0</m:t>
        </m:r>
        <m:r>
          <m:t xml:space="preserve">,</m:t>
        </m:r>
        <m:r>
          <m:t xml:space="preserve">1</m:t>
        </m:r>
        <m:r>
          <m:t xml:space="preserve">}</m:t>
        </m:r>
      </m:oMath>
      <w:r>
        <w:rPr>
          <w:rFonts w:ascii="Times New Roman" w:hAnsi="Times New Roman" w:cs="Times New Roman"/>
          <w:b w:val="0"/>
          <w:i w:val="0"/>
          <w:sz w:val="28"/>
          <w:lang w:val="uk-UA"/>
        </w:rPr>
        <w:t xml:space="preserve"> — мітка шахрайства (0 — легітимна, 1 — шахрайська, CBK — chargeback).</w:t>
      </w:r>
    </w:p>
    <w:p>
      <w:pPr>
        <w:spacing w:line="360" w:lineRule="auto" w:after="0" w:before="0"/>
        <w:ind w:firstLine="709"/>
        <w:jc w:val="both"/>
      </w:pPr>
      <w:r>
        <w:rPr>
          <w:rFonts w:ascii="Times New Roman" w:hAnsi="Times New Roman" w:cs="Times New Roman"/>
          <w:b w:val="0"/>
          <w:i w:val="0"/>
          <w:sz w:val="28"/>
          <w:lang w:val="uk-UA"/>
        </w:rPr>
        <w:t xml:space="preserve">Задача: побудувати відображення </w:t>
      </w:r>
      <m:oMath>
        <m:r>
          <m:t xml:space="preserve">φ</m:t>
        </m:r>
        <m:r>
          <m:t xml:space="preserve">:</m:t>
        </m:r>
        <m:r>
          <m:t xml:space="preserve">T</m:t>
        </m:r>
        <m:r>
          <m:t xml:space="preserve">→</m:t>
        </m:r>
        <m:sSup>
          <m:e>
            <m:r>
              <m:t xml:space="preserve">ℝ</m:t>
            </m:r>
          </m:e>
          <m:sup>
            <m:r>
              <m:t xml:space="preserve">m</m:t>
            </m:r>
          </m:sup>
        </m:sSup>
      </m:oMath>
      <w:r>
        <w:rPr>
          <w:rFonts w:ascii="Times New Roman" w:hAnsi="Times New Roman" w:cs="Times New Roman"/>
          <w:b w:val="0"/>
          <w:i w:val="0"/>
          <w:sz w:val="28"/>
          <w:lang w:val="uk-UA"/>
        </w:rPr>
        <w:t xml:space="preserve">, що переводить транзакцію у вектор поведінкових ознак </w:t>
      </w:r>
      <m:oMath>
        <m:sSub>
          <m:e>
            <m:r>
              <m:rPr>
                <m:sty m:val="b"/>
              </m:rPr>
              <m:t xml:space="preserve">x</m:t>
            </m:r>
          </m:e>
          <m:sub>
            <m:r>
              <m:t xml:space="preserve">i</m:t>
            </m:r>
          </m:sub>
        </m:sSub>
        <m:r>
          <m:t xml:space="preserve">=</m:t>
        </m:r>
        <m:r>
          <m:t xml:space="preserve">φ</m:t>
        </m:r>
        <m:r>
          <m:t xml:space="preserve">(</m:t>
        </m:r>
        <m:sSub>
          <m:e>
            <m:r>
              <m:t xml:space="preserve">t</m:t>
            </m:r>
          </m:e>
          <m:sub>
            <m:r>
              <m:t xml:space="preserve">i</m:t>
            </m:r>
          </m:sub>
        </m:sSub>
        <m:r>
          <m:t xml:space="preserve">)</m:t>
        </m:r>
      </m:oMath>
      <w:r>
        <w:rPr>
          <w:rFonts w:ascii="Times New Roman" w:hAnsi="Times New Roman" w:cs="Times New Roman"/>
          <w:b w:val="0"/>
          <w:i w:val="0"/>
          <w:sz w:val="28"/>
          <w:lang w:val="uk-UA"/>
        </w:rPr>
        <w:t xml:space="preserve">, і дослідити, чи утворюють класи </w:t>
      </w:r>
      <m:oMath>
        <m:r>
          <m:t xml:space="preserve">{</m:t>
        </m:r>
        <m:r>
          <m:t xml:space="preserve">y</m:t>
        </m:r>
        <m:r>
          <m:t xml:space="preserve">=</m:t>
        </m:r>
        <m:r>
          <m:t xml:space="preserve">0</m:t>
        </m:r>
        <m:r>
          <m:t xml:space="preserve">}</m:t>
        </m:r>
      </m:oMath>
      <w:r>
        <w:rPr>
          <w:rFonts w:ascii="Times New Roman" w:hAnsi="Times New Roman" w:cs="Times New Roman"/>
          <w:b w:val="0"/>
          <w:i w:val="0"/>
          <w:sz w:val="28"/>
          <w:lang w:val="uk-UA"/>
        </w:rPr>
        <w:t xml:space="preserve"> та </w:t>
      </w:r>
      <m:oMath>
        <m:r>
          <m:t xml:space="preserve">{</m:t>
        </m:r>
        <m:r>
          <m:t xml:space="preserve">y</m:t>
        </m:r>
        <m:r>
          <m:t xml:space="preserve">=</m:t>
        </m:r>
        <m:r>
          <m:t xml:space="preserve">1</m:t>
        </m:r>
        <m:r>
          <m:t xml:space="preserve">}</m:t>
        </m:r>
      </m:oMath>
      <w:r>
        <w:rPr>
          <w:rFonts w:ascii="Times New Roman" w:hAnsi="Times New Roman" w:cs="Times New Roman"/>
          <w:b w:val="0"/>
          <w:i w:val="0"/>
          <w:sz w:val="28"/>
          <w:lang w:val="uk-UA"/>
        </w:rPr>
        <w:t xml:space="preserve"> розділювані області у просторі ознак </w:t>
      </w:r>
      <m:oMath>
        <m:sSup>
          <m:e>
            <m:r>
              <m:t xml:space="preserve">ℝ</m:t>
            </m:r>
          </m:e>
          <m:sup>
            <m:r>
              <m:t xml:space="preserve">m</m:t>
            </m:r>
          </m:sup>
        </m:sSup>
      </m:oMath>
      <w:r>
        <w:rPr>
          <w:rFonts w:ascii="Times New Roman" w:hAnsi="Times New Roman" w:cs="Times New Roman"/>
          <w:b w:val="0"/>
          <w:i w:val="0"/>
          <w:sz w:val="28"/>
          <w:lang w:val="uk-UA"/>
        </w:rPr>
        <w:t>; якщо так — ідентифікувати, які саме групи ознак є інваріантним маркером шахрайства.</w:t>
      </w:r>
    </w:p>
    <w:p>
      <w:pPr>
        <w:spacing w:line="360" w:lineRule="auto" w:after="0" w:before="0"/>
        <w:ind w:firstLine="709"/>
        <w:jc w:val="both"/>
      </w:pPr>
      <w:r>
        <w:rPr>
          <w:rFonts w:ascii="Times New Roman" w:hAnsi="Times New Roman" w:cs="Times New Roman"/>
          <w:b w:val="0"/>
          <w:i w:val="0"/>
          <w:sz w:val="28"/>
          <w:lang w:val="uk-UA"/>
        </w:rPr>
        <w:t xml:space="preserve">Формально, для кожного сімейства ознак </w:t>
      </w:r>
      <m:oMath>
        <m:sSub>
          <m:e>
            <m:r>
              <m:t xml:space="preserve">F</m:t>
            </m:r>
          </m:e>
          <m:sub>
            <m:r>
              <m:t xml:space="preserve">k</m:t>
            </m:r>
          </m:sub>
        </m:sSub>
        <m:r>
          <m:t xml:space="preserve">⊂</m:t>
        </m:r>
        <m:r>
          <m:t xml:space="preserve">φ</m:t>
        </m:r>
      </m:oMath>
      <w:r>
        <w:rPr>
          <w:rFonts w:ascii="Times New Roman" w:hAnsi="Times New Roman" w:cs="Times New Roman"/>
          <w:b w:val="0"/>
          <w:i w:val="0"/>
          <w:sz w:val="28"/>
          <w:lang w:val="uk-UA"/>
        </w:rPr>
        <w:t xml:space="preserve"> потрібно оцінити: статистичну значущість розділення класів (MANOVA: Wilks λ, F, p-value); геометричну відокремленість (silhouette-індекс у просторі </w:t>
      </w:r>
      <m:oMath>
        <m:sSub>
          <m:e>
            <m:r>
              <m:t xml:space="preserve">F</m:t>
            </m:r>
          </m:e>
          <m:sub>
            <m:r>
              <m:t xml:space="preserve">k</m:t>
            </m:r>
          </m:sub>
        </m:sSub>
      </m:oMath>
      <w:r>
        <w:rPr>
          <w:rFonts w:ascii="Times New Roman" w:hAnsi="Times New Roman" w:cs="Times New Roman"/>
          <w:b w:val="0"/>
          <w:i w:val="0"/>
          <w:sz w:val="28"/>
          <w:lang w:val="uk-UA"/>
        </w:rPr>
        <w:t xml:space="preserve">); маргінальний внесок у якість класифікації (зміну PR-AUC при видаленні/включенні лише </w:t>
      </w:r>
      <m:oMath>
        <m:sSub>
          <m:e>
            <m:r>
              <m:t xml:space="preserve">F</m:t>
            </m:r>
          </m:e>
          <m:sub>
            <m:r>
              <m:t xml:space="preserve">k</m:t>
            </m:r>
          </m:sub>
        </m:sSub>
      </m:oMath>
      <w:r>
        <w:rPr>
          <w:rFonts w:ascii="Times New Roman" w:hAnsi="Times New Roman" w:cs="Times New Roman"/>
          <w:b w:val="0"/>
          <w:i w:val="0"/>
          <w:sz w:val="28"/>
          <w:lang w:val="uk-UA"/>
        </w:rPr>
        <w:t>); наявність прихованого спільного впливу з іншими сімействами (частковий кореляційний аналіз, стратифіковані тести).</w:t>
      </w:r>
    </w:p>
    <w:p>
      <w:pPr>
        <w:spacing w:before="120" w:after="60" w:line="360" w:lineRule="auto"/>
      </w:pPr>
      <w:r>
        <w:rPr>
          <w:rFonts w:ascii="Times New Roman" w:hAnsi="Times New Roman" w:cs="Times New Roman"/>
          <w:b/>
          <w:i w:val="0"/>
          <w:sz w:val="28"/>
          <w:lang w:val="uk-UA"/>
        </w:rPr>
        <w:t>3.2. Набір даних</w:t>
      </w:r>
    </w:p>
    <w:p>
      <w:pPr>
        <w:spacing w:line="360" w:lineRule="auto" w:after="0" w:before="0"/>
        <w:ind w:firstLine="709"/>
        <w:jc w:val="both"/>
      </w:pPr>
      <w:r>
        <w:rPr>
          <w:rFonts w:ascii="Times New Roman" w:hAnsi="Times New Roman" w:cs="Times New Roman"/>
          <w:b w:val="0"/>
          <w:i w:val="0"/>
          <w:sz w:val="28"/>
          <w:lang w:val="uk-UA"/>
        </w:rPr>
        <w:t xml:space="preserve">У роботі використано публічний набір даних Predict Chargeback Frauds (автор dmirandaalves, Kaggle, 2019) (Miranda-Alves, 2019). Набір містить 11 127 реальних (не синтетичних) транзакцій за період 1–30 травня 2015 р. з такими полями: </w:t>
      </w:r>
      <w:r>
        <w:rPr>
          <w:rFonts w:ascii="Times New Roman" w:hAnsi="Times New Roman" w:cs="Times New Roman"/>
          <w:b w:val="0"/>
          <w:i w:val="0"/>
          <w:sz w:val="28"/>
          <w:lang w:val="en-US"/>
        </w:rPr>
        <w:t>Card Number</w:t>
      </w:r>
      <w:r>
        <w:rPr>
          <w:rFonts w:ascii="Times New Roman" w:hAnsi="Times New Roman" w:cs="Times New Roman"/>
          <w:b w:val="0"/>
          <w:i w:val="0"/>
          <w:sz w:val="28"/>
          <w:lang w:val="uk-UA"/>
        </w:rPr>
        <w:t xml:space="preserve"> — маскований номер платіжної картки формату </w:t>
      </w:r>
      <w:r>
        <w:rPr>
          <w:rFonts w:ascii="Times New Roman" w:hAnsi="Times New Roman" w:cs="Times New Roman"/>
          <w:b w:val="0"/>
          <w:i w:val="0"/>
          <w:sz w:val="28"/>
          <w:lang w:val="en-US"/>
        </w:rPr>
        <w:t>BIN******last4</w:t>
      </w:r>
      <w:r>
        <w:rPr>
          <w:rFonts w:ascii="Times New Roman" w:hAnsi="Times New Roman" w:cs="Times New Roman"/>
          <w:b w:val="0"/>
          <w:i w:val="0"/>
          <w:sz w:val="28"/>
          <w:lang w:val="en-US"/>
        </w:rPr>
        <w:t xml:space="preserve">; </w:t>
      </w:r>
      <w:r>
        <w:rPr>
          <w:rFonts w:ascii="Times New Roman" w:hAnsi="Times New Roman" w:cs="Times New Roman"/>
          <w:b w:val="0"/>
          <w:i w:val="0"/>
          <w:sz w:val="28"/>
          <w:lang w:val="en-US"/>
        </w:rPr>
        <w:t>Date</w:t>
      </w:r>
      <w:r>
        <w:rPr>
          <w:rFonts w:ascii="Times New Roman" w:hAnsi="Times New Roman" w:cs="Times New Roman"/>
          <w:b w:val="0"/>
          <w:i w:val="0"/>
          <w:sz w:val="28"/>
          <w:lang w:val="uk-UA"/>
        </w:rPr>
        <w:t xml:space="preserve"> — дата-час транзакції з точністю до секунди; </w:t>
      </w:r>
      <w:r>
        <w:rPr>
          <w:rFonts w:ascii="Times New Roman" w:hAnsi="Times New Roman" w:cs="Times New Roman"/>
          <w:b w:val="0"/>
          <w:i w:val="0"/>
          <w:sz w:val="28"/>
          <w:lang w:val="en-US"/>
        </w:rPr>
        <w:t>Amount</w:t>
      </w:r>
      <w:r>
        <w:rPr>
          <w:rFonts w:ascii="Times New Roman" w:hAnsi="Times New Roman" w:cs="Times New Roman"/>
          <w:b w:val="0"/>
          <w:i w:val="0"/>
          <w:sz w:val="28"/>
          <w:lang w:val="uk-UA"/>
        </w:rPr>
        <w:t xml:space="preserve"> — сума транзакції; </w:t>
      </w:r>
      <w:r>
        <w:rPr>
          <w:rFonts w:ascii="Times New Roman" w:hAnsi="Times New Roman" w:cs="Times New Roman"/>
          <w:b w:val="0"/>
          <w:i w:val="0"/>
          <w:sz w:val="28"/>
          <w:lang w:val="en-US"/>
        </w:rPr>
        <w:t>CBK</w:t>
      </w:r>
      <w:r>
        <w:rPr>
          <w:rFonts w:ascii="Times New Roman" w:hAnsi="Times New Roman" w:cs="Times New Roman"/>
          <w:b w:val="0"/>
          <w:i w:val="0"/>
          <w:sz w:val="28"/>
          <w:lang w:val="uk-UA"/>
        </w:rPr>
        <w:t xml:space="preserve"> — мітка chargeback (Yes/No). Загальна характеристика набору наведена у таблиці 1.</w:t>
      </w:r>
    </w:p>
    <w:p>
      <w:pPr>
        <w:spacing w:line="360" w:lineRule="auto" w:after="0" w:before="0"/>
        <w:jc w:val="both"/>
      </w:pPr>
      <w:r>
        <w:rPr>
          <w:rFonts w:ascii="Times New Roman" w:hAnsi="Times New Roman" w:cs="Times New Roman"/>
          <w:b/>
          <w:i w:val="0"/>
          <w:sz w:val="28"/>
          <w:lang w:val="uk-UA"/>
        </w:rPr>
        <w:t>Таблиця 1. Загальна характеристика набору даних.</w:t>
      </w:r>
    </w:p>
    <w:tbl>
      <w:tblPr>
        <w:tblStyle w:val="TableGrid"/>
        <w:tblW w:type="auto" w:w="0"/>
        <w:tblLook w:firstColumn="1" w:firstRow="1" w:lastColumn="0" w:lastRow="0" w:noHBand="0" w:noVBand="1" w:val="04A0"/>
      </w:tblPr>
      <w:tblGrid>
        <w:gridCol w:w="4819"/>
        <w:gridCol w:w="4819"/>
      </w:tblGrid>
      <w:tr>
        <w:tc>
          <w:tcPr>
            <w:tcW w:type="dxa" w:w="4819"/>
          </w:tcPr>
          <w:p>
            <w:r>
              <w:rPr>
                <w:rFonts w:ascii="Times New Roman" w:hAnsi="Times New Roman" w:cs="Times New Roman"/>
                <w:b/>
                <w:i w:val="0"/>
                <w:sz w:val="20"/>
                <w:lang w:val="uk-UA"/>
              </w:rPr>
              <w:t>Характеристика</w:t>
            </w:r>
          </w:p>
        </w:tc>
        <w:tc>
          <w:tcPr>
            <w:tcW w:type="dxa" w:w="4819"/>
          </w:tcPr>
          <w:p>
            <w:r>
              <w:rPr>
                <w:rFonts w:ascii="Times New Roman" w:hAnsi="Times New Roman" w:cs="Times New Roman"/>
                <w:b/>
                <w:i w:val="0"/>
                <w:sz w:val="20"/>
                <w:lang w:val="uk-UA"/>
              </w:rPr>
              <w:t>Значення</w:t>
            </w:r>
          </w:p>
        </w:tc>
      </w:tr>
      <w:tr>
        <w:tc>
          <w:tcPr>
            <w:tcW w:type="dxa" w:w="4819"/>
          </w:tcPr>
          <w:p>
            <w:r>
              <w:rPr>
                <w:rFonts w:ascii="Times New Roman" w:hAnsi="Times New Roman" w:cs="Times New Roman"/>
                <w:b w:val="0"/>
                <w:i w:val="0"/>
                <w:sz w:val="20"/>
                <w:lang w:val="uk-UA"/>
              </w:rPr>
              <w:t>Кількість транзакцій</w:t>
            </w:r>
          </w:p>
        </w:tc>
        <w:tc>
          <w:tcPr>
            <w:tcW w:type="dxa" w:w="4819"/>
          </w:tcPr>
          <w:p>
            <w:r>
              <w:rPr>
                <w:rFonts w:ascii="Times New Roman" w:hAnsi="Times New Roman" w:cs="Times New Roman"/>
                <w:b w:val="0"/>
                <w:i w:val="0"/>
                <w:sz w:val="20"/>
                <w:lang w:val="en-US"/>
              </w:rPr>
              <w:t>11 127</w:t>
            </w:r>
          </w:p>
        </w:tc>
      </w:tr>
      <w:tr>
        <w:tc>
          <w:tcPr>
            <w:tcW w:type="dxa" w:w="4819"/>
          </w:tcPr>
          <w:p>
            <w:r>
              <w:rPr>
                <w:rFonts w:ascii="Times New Roman" w:hAnsi="Times New Roman" w:cs="Times New Roman"/>
                <w:b w:val="0"/>
                <w:i w:val="0"/>
                <w:sz w:val="20"/>
                <w:lang w:val="uk-UA"/>
              </w:rPr>
              <w:t>Унікальних карток</w:t>
            </w:r>
          </w:p>
        </w:tc>
        <w:tc>
          <w:tcPr>
            <w:tcW w:type="dxa" w:w="4819"/>
          </w:tcPr>
          <w:p>
            <w:r>
              <w:rPr>
                <w:rFonts w:ascii="Times New Roman" w:hAnsi="Times New Roman" w:cs="Times New Roman"/>
                <w:b w:val="0"/>
                <w:i w:val="0"/>
                <w:sz w:val="20"/>
                <w:lang w:val="en-US"/>
              </w:rPr>
              <w:t>9 260</w:t>
            </w:r>
          </w:p>
        </w:tc>
      </w:tr>
      <w:tr>
        <w:tc>
          <w:tcPr>
            <w:tcW w:type="dxa" w:w="4819"/>
          </w:tcPr>
          <w:p>
            <w:r>
              <w:rPr>
                <w:rFonts w:ascii="Times New Roman" w:hAnsi="Times New Roman" w:cs="Times New Roman"/>
                <w:b w:val="0"/>
                <w:i w:val="0"/>
                <w:sz w:val="20"/>
                <w:lang w:val="uk-UA"/>
              </w:rPr>
              <w:t>Унікальних BIN</w:t>
            </w:r>
          </w:p>
        </w:tc>
        <w:tc>
          <w:tcPr>
            <w:tcW w:type="dxa" w:w="4819"/>
          </w:tcPr>
          <w:p>
            <w:r>
              <w:rPr>
                <w:rFonts w:ascii="Times New Roman" w:hAnsi="Times New Roman" w:cs="Times New Roman"/>
                <w:b w:val="0"/>
                <w:i w:val="0"/>
                <w:sz w:val="20"/>
                <w:lang w:val="en-US"/>
              </w:rPr>
              <w:t>420</w:t>
            </w:r>
          </w:p>
        </w:tc>
      </w:tr>
      <w:tr>
        <w:tc>
          <w:tcPr>
            <w:tcW w:type="dxa" w:w="4819"/>
          </w:tcPr>
          <w:p>
            <w:r>
              <w:rPr>
                <w:rFonts w:ascii="Times New Roman" w:hAnsi="Times New Roman" w:cs="Times New Roman"/>
                <w:b w:val="0"/>
                <w:i w:val="0"/>
                <w:sz w:val="20"/>
                <w:lang w:val="uk-UA"/>
              </w:rPr>
              <w:t>Частка шахрайських (CBK=Yes)</w:t>
            </w:r>
          </w:p>
        </w:tc>
        <w:tc>
          <w:tcPr>
            <w:tcW w:type="dxa" w:w="4819"/>
          </w:tcPr>
          <w:p>
            <w:r>
              <w:rPr>
                <w:rFonts w:ascii="Times New Roman" w:hAnsi="Times New Roman" w:cs="Times New Roman"/>
                <w:b w:val="0"/>
                <w:i w:val="0"/>
                <w:sz w:val="20"/>
                <w:lang w:val="en-US"/>
              </w:rPr>
              <w:t>5,14 % (N = 572)</w:t>
            </w:r>
          </w:p>
        </w:tc>
      </w:tr>
      <w:tr>
        <w:tc>
          <w:tcPr>
            <w:tcW w:type="dxa" w:w="4819"/>
          </w:tcPr>
          <w:p>
            <w:r>
              <w:rPr>
                <w:rFonts w:ascii="Times New Roman" w:hAnsi="Times New Roman" w:cs="Times New Roman"/>
                <w:b w:val="0"/>
                <w:i w:val="0"/>
                <w:sz w:val="20"/>
                <w:lang w:val="uk-UA"/>
              </w:rPr>
              <w:t>Часовий діапазон</w:t>
            </w:r>
          </w:p>
        </w:tc>
        <w:tc>
          <w:tcPr>
            <w:tcW w:type="dxa" w:w="4819"/>
          </w:tcPr>
          <w:p>
            <w:r>
              <w:rPr>
                <w:rFonts w:ascii="Times New Roman" w:hAnsi="Times New Roman" w:cs="Times New Roman"/>
                <w:b w:val="0"/>
                <w:i w:val="0"/>
                <w:sz w:val="20"/>
                <w:lang w:val="en-US"/>
              </w:rPr>
              <w:t>2015-05-01 00:01:54 – 2015-05-30 23:51:31</w:t>
            </w:r>
          </w:p>
        </w:tc>
      </w:tr>
      <w:tr>
        <w:tc>
          <w:tcPr>
            <w:tcW w:type="dxa" w:w="4819"/>
          </w:tcPr>
          <w:p>
            <w:r>
              <w:rPr>
                <w:rFonts w:ascii="Times New Roman" w:hAnsi="Times New Roman" w:cs="Times New Roman"/>
                <w:b w:val="0"/>
                <w:i w:val="0"/>
                <w:sz w:val="20"/>
                <w:lang w:val="uk-UA"/>
              </w:rPr>
              <w:t>Середня сума</w:t>
            </w:r>
          </w:p>
        </w:tc>
        <w:tc>
          <w:tcPr>
            <w:tcW w:type="dxa" w:w="4819"/>
          </w:tcPr>
          <w:p>
            <w:r>
              <w:rPr>
                <w:rFonts w:ascii="Times New Roman" w:hAnsi="Times New Roman" w:cs="Times New Roman"/>
                <w:b w:val="0"/>
                <w:i w:val="0"/>
                <w:sz w:val="20"/>
                <w:lang w:val="en-US"/>
              </w:rPr>
              <w:t>129,56</w:t>
            </w:r>
          </w:p>
        </w:tc>
      </w:tr>
      <w:tr>
        <w:tc>
          <w:tcPr>
            <w:tcW w:type="dxa" w:w="4819"/>
          </w:tcPr>
          <w:p>
            <w:r>
              <w:rPr>
                <w:rFonts w:ascii="Times New Roman" w:hAnsi="Times New Roman" w:cs="Times New Roman"/>
                <w:b w:val="0"/>
                <w:i w:val="0"/>
                <w:sz w:val="20"/>
                <w:lang w:val="uk-UA"/>
              </w:rPr>
              <w:t>Медіанна сума</w:t>
            </w:r>
          </w:p>
        </w:tc>
        <w:tc>
          <w:tcPr>
            <w:tcW w:type="dxa" w:w="4819"/>
          </w:tcPr>
          <w:p>
            <w:r>
              <w:rPr>
                <w:rFonts w:ascii="Times New Roman" w:hAnsi="Times New Roman" w:cs="Times New Roman"/>
                <w:b w:val="0"/>
                <w:i w:val="0"/>
                <w:sz w:val="20"/>
                <w:lang w:val="en-US"/>
              </w:rPr>
              <w:t>99,00</w:t>
            </w:r>
          </w:p>
        </w:tc>
      </w:tr>
      <w:tr>
        <w:tc>
          <w:tcPr>
            <w:tcW w:type="dxa" w:w="4819"/>
          </w:tcPr>
          <w:p>
            <w:r>
              <w:rPr>
                <w:rFonts w:ascii="Times New Roman" w:hAnsi="Times New Roman" w:cs="Times New Roman"/>
                <w:b w:val="0"/>
                <w:i w:val="0"/>
                <w:sz w:val="20"/>
                <w:lang w:val="uk-UA"/>
              </w:rPr>
              <w:t>95-й процентиль</w:t>
            </w:r>
          </w:p>
        </w:tc>
        <w:tc>
          <w:tcPr>
            <w:tcW w:type="dxa" w:w="4819"/>
          </w:tcPr>
          <w:p>
            <w:r>
              <w:rPr>
                <w:rFonts w:ascii="Times New Roman" w:hAnsi="Times New Roman" w:cs="Times New Roman"/>
                <w:b w:val="0"/>
                <w:i w:val="0"/>
                <w:sz w:val="20"/>
                <w:lang w:val="en-US"/>
              </w:rPr>
              <w:t>336,00</w:t>
            </w:r>
          </w:p>
        </w:tc>
      </w:tr>
      <w:tr>
        <w:tc>
          <w:tcPr>
            <w:tcW w:type="dxa" w:w="4819"/>
          </w:tcPr>
          <w:p>
            <w:r>
              <w:rPr>
                <w:rFonts w:ascii="Times New Roman" w:hAnsi="Times New Roman" w:cs="Times New Roman"/>
                <w:b w:val="0"/>
                <w:i w:val="0"/>
                <w:sz w:val="20"/>
                <w:lang w:val="uk-UA"/>
              </w:rPr>
              <w:t>Максимальна сума</w:t>
            </w:r>
          </w:p>
        </w:tc>
        <w:tc>
          <w:tcPr>
            <w:tcW w:type="dxa" w:w="4819"/>
          </w:tcPr>
          <w:p>
            <w:r>
              <w:rPr>
                <w:rFonts w:ascii="Times New Roman" w:hAnsi="Times New Roman" w:cs="Times New Roman"/>
                <w:b w:val="0"/>
                <w:i w:val="0"/>
                <w:sz w:val="20"/>
                <w:lang w:val="en-US"/>
              </w:rPr>
              <w:t>2 920,00</w:t>
            </w:r>
          </w:p>
        </w:tc>
      </w:tr>
    </w:tbl>
    <w:p>
      <w:pPr>
        <w:spacing w:line="360" w:lineRule="auto" w:after="0" w:before="0"/>
        <w:ind w:firstLine="709"/>
        <w:jc w:val="both"/>
      </w:pPr>
      <w:r>
        <w:rPr>
          <w:rFonts w:ascii="Times New Roman" w:hAnsi="Times New Roman" w:cs="Times New Roman"/>
          <w:b w:val="0"/>
          <w:i w:val="0"/>
          <w:sz w:val="28"/>
          <w:lang w:val="uk-UA"/>
        </w:rPr>
        <w:t>Відношення транзакцій до карток 11127/9260 = 1,20 свідчить про переважно одноразове використання карток (медіана — 1 транзакція на картку), з невеликою кількістю карток з багатьма транзакціями, що асоціюються з шахрайською активністю.</w:t>
      </w:r>
    </w:p>
    <w:p>
      <w:pPr>
        <w:spacing w:line="360" w:lineRule="auto" w:after="0" w:before="0"/>
        <w:ind w:firstLine="709"/>
        <w:jc w:val="both"/>
      </w:pPr>
      <w:r>
        <w:rPr>
          <w:rFonts w:ascii="Times New Roman" w:hAnsi="Times New Roman" w:cs="Times New Roman"/>
          <w:b w:val="0"/>
          <w:i w:val="0"/>
          <w:sz w:val="28"/>
          <w:lang w:val="uk-UA"/>
        </w:rPr>
        <w:t xml:space="preserve">Для перевірки переносимості висновків додатково залучено незалежний реальний набір </w:t>
      </w:r>
      <w:r>
        <w:rPr>
          <w:rFonts w:ascii="Times New Roman" w:hAnsi="Times New Roman" w:cs="Times New Roman"/>
          <w:b/>
          <w:i w:val="0"/>
          <w:sz w:val="28"/>
          <w:lang w:val="en-US"/>
        </w:rPr>
        <w:t>IEEE-CIS Fraud Detection</w:t>
      </w:r>
      <w:r>
        <w:rPr>
          <w:rFonts w:ascii="Times New Roman" w:hAnsi="Times New Roman" w:cs="Times New Roman"/>
          <w:b w:val="0"/>
          <w:i w:val="0"/>
          <w:sz w:val="28"/>
          <w:lang w:val="uk-UA"/>
        </w:rPr>
        <w:t xml:space="preserve"> (Vesta Corporation; ~590 тис. транзакцій e-commerce, ринок США, грудень 2017 – червень 2018, частка шахрайства 3,5 %) (IEEE Computational Intelligence Society &amp; Vesta, 2019). Результати цієї зовнішньої перевірки та її обмеження розглянуто у § 4.10.</w:t>
      </w:r>
    </w:p>
    <w:p>
      <w:pPr>
        <w:spacing w:before="120" w:after="60" w:line="360" w:lineRule="auto"/>
      </w:pPr>
      <w:r>
        <w:rPr>
          <w:rFonts w:ascii="Times New Roman" w:hAnsi="Times New Roman" w:cs="Times New Roman"/>
          <w:b/>
          <w:i w:val="0"/>
          <w:sz w:val="28"/>
          <w:lang w:val="uk-UA"/>
        </w:rPr>
        <w:t>3.3. Побудова простору поведінкових ознак</w:t>
      </w:r>
    </w:p>
    <w:p>
      <w:pPr>
        <w:spacing w:line="360" w:lineRule="auto" w:after="0" w:before="0"/>
        <w:ind w:firstLine="709"/>
        <w:jc w:val="both"/>
      </w:pPr>
      <w:r>
        <w:rPr>
          <w:rFonts w:ascii="Times New Roman" w:hAnsi="Times New Roman" w:cs="Times New Roman"/>
          <w:b w:val="0"/>
          <w:i w:val="0"/>
          <w:sz w:val="28"/>
          <w:lang w:val="uk-UA"/>
        </w:rPr>
        <w:t>Простір ознак структуровано у чотири сімейства за функціональним призначенням, за аналогією до (Кужій &amp; Фургала, 2025), де використовувалися сімейства базових HLTV-атрибутів, side-specific і map-dependent. Повний перелік сімейств наведено у таблиці 2.</w:t>
      </w:r>
    </w:p>
    <w:p>
      <w:pPr>
        <w:spacing w:line="360" w:lineRule="auto" w:after="0" w:before="0"/>
        <w:jc w:val="both"/>
      </w:pPr>
      <w:r>
        <w:rPr>
          <w:rFonts w:ascii="Times New Roman" w:hAnsi="Times New Roman" w:cs="Times New Roman"/>
          <w:b/>
          <w:i w:val="0"/>
          <w:sz w:val="28"/>
          <w:lang w:val="uk-UA"/>
        </w:rPr>
        <w:t>Таблиця 2. Таксономія сімейств поведінкових ознак.</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Times New Roman" w:hAnsi="Times New Roman" w:cs="Times New Roman"/>
                <w:b/>
                <w:i w:val="0"/>
                <w:sz w:val="20"/>
                <w:lang w:val="uk-UA"/>
              </w:rPr>
              <w:t>Сімейство</w:t>
            </w:r>
          </w:p>
        </w:tc>
        <w:tc>
          <w:tcPr>
            <w:tcW w:type="dxa" w:w="2409"/>
          </w:tcPr>
          <w:p>
            <w:r>
              <w:rPr>
                <w:rFonts w:ascii="Times New Roman" w:hAnsi="Times New Roman" w:cs="Times New Roman"/>
                <w:b/>
                <w:i w:val="0"/>
                <w:sz w:val="20"/>
                <w:lang w:val="uk-UA"/>
              </w:rPr>
              <w:t>Ознаки</w:t>
            </w:r>
          </w:p>
        </w:tc>
        <w:tc>
          <w:tcPr>
            <w:tcW w:type="dxa" w:w="2409"/>
          </w:tcPr>
          <w:p>
            <w:r>
              <w:rPr>
                <w:rFonts w:ascii="Times New Roman" w:hAnsi="Times New Roman" w:cs="Times New Roman"/>
                <w:b/>
                <w:i w:val="0"/>
                <w:sz w:val="20"/>
                <w:lang w:val="uk-UA"/>
              </w:rPr>
              <w:t>К-сть</w:t>
            </w:r>
          </w:p>
        </w:tc>
        <w:tc>
          <w:tcPr>
            <w:tcW w:type="dxa" w:w="2409"/>
          </w:tcPr>
          <w:p>
            <w:r>
              <w:rPr>
                <w:rFonts w:ascii="Times New Roman" w:hAnsi="Times New Roman" w:cs="Times New Roman"/>
                <w:b/>
                <w:i w:val="0"/>
                <w:sz w:val="20"/>
                <w:lang w:val="uk-UA"/>
              </w:rPr>
              <w:t>Функціональне призначення</w:t>
            </w:r>
          </w:p>
        </w:tc>
      </w:tr>
      <w:tr>
        <w:tc>
          <w:tcPr>
            <w:tcW w:type="dxa" w:w="2409"/>
          </w:tcPr>
          <w:p>
            <w:r>
              <w:rPr>
                <w:rFonts w:ascii="Times New Roman" w:hAnsi="Times New Roman" w:cs="Times New Roman"/>
                <w:b w:val="0"/>
                <w:i w:val="0"/>
                <w:sz w:val="20"/>
                <w:lang w:val="uk-UA"/>
              </w:rPr>
              <w:t>Часові (temporal)</w:t>
            </w:r>
          </w:p>
        </w:tc>
        <w:tc>
          <w:tcPr>
            <w:tcW w:type="dxa" w:w="2409"/>
          </w:tcPr>
          <w:p>
            <w:r>
              <w:rPr>
                <w:rFonts w:ascii="Times New Roman" w:hAnsi="Times New Roman" w:cs="Times New Roman"/>
                <w:b w:val="0"/>
                <w:i w:val="0"/>
                <w:sz w:val="20"/>
                <w:lang w:val="en-US"/>
              </w:rPr>
              <w:t>`hour_sin`, `hour_cos`, `dow_sin`, `dow_cos`, `weekend`, `night`, `afternoon_peak`</w:t>
            </w:r>
          </w:p>
        </w:tc>
        <w:tc>
          <w:tcPr>
            <w:tcW w:type="dxa" w:w="2409"/>
          </w:tcPr>
          <w:p>
            <w:r>
              <w:rPr>
                <w:rFonts w:ascii="Times New Roman" w:hAnsi="Times New Roman" w:cs="Times New Roman"/>
                <w:b w:val="0"/>
                <w:i w:val="0"/>
                <w:sz w:val="20"/>
                <w:lang w:val="en-US"/>
              </w:rPr>
              <w:t>7</w:t>
            </w:r>
          </w:p>
        </w:tc>
        <w:tc>
          <w:tcPr>
            <w:tcW w:type="dxa" w:w="2409"/>
          </w:tcPr>
          <w:p>
            <w:r>
              <w:rPr>
                <w:rFonts w:ascii="Times New Roman" w:hAnsi="Times New Roman" w:cs="Times New Roman"/>
                <w:b w:val="0"/>
                <w:i w:val="0"/>
                <w:sz w:val="20"/>
                <w:lang w:val="uk-UA"/>
              </w:rPr>
              <w:t>Кодують час доби та день тижня; циклічне кодування уникає розриву між 23:00 і 00:00.</w:t>
            </w:r>
          </w:p>
        </w:tc>
      </w:tr>
      <w:tr>
        <w:tc>
          <w:tcPr>
            <w:tcW w:type="dxa" w:w="2409"/>
          </w:tcPr>
          <w:p>
            <w:r>
              <w:rPr>
                <w:rFonts w:ascii="Times New Roman" w:hAnsi="Times New Roman" w:cs="Times New Roman"/>
                <w:b w:val="0"/>
                <w:i w:val="0"/>
                <w:sz w:val="20"/>
                <w:lang w:val="uk-UA"/>
              </w:rPr>
              <w:t>Швидкісні (velocity)</w:t>
            </w:r>
          </w:p>
        </w:tc>
        <w:tc>
          <w:tcPr>
            <w:tcW w:type="dxa" w:w="2409"/>
          </w:tcPr>
          <w:p>
            <w:r>
              <w:rPr>
                <w:rFonts w:ascii="Times New Roman" w:hAnsi="Times New Roman" w:cs="Times New Roman"/>
                <w:b w:val="0"/>
                <w:i w:val="0"/>
                <w:sz w:val="20"/>
                <w:lang w:val="en-US"/>
              </w:rPr>
              <w:t>`gap_min_prev`, `cum_card_count`, `n_tx_card_1h/6h/24h`, `sum_amt_card_1h/6h/24h`, `same_amt_prev`, `same_amount_10min`</w:t>
            </w:r>
          </w:p>
        </w:tc>
        <w:tc>
          <w:tcPr>
            <w:tcW w:type="dxa" w:w="2409"/>
          </w:tcPr>
          <w:p>
            <w:r>
              <w:rPr>
                <w:rFonts w:ascii="Times New Roman" w:hAnsi="Times New Roman" w:cs="Times New Roman"/>
                <w:b w:val="0"/>
                <w:i w:val="0"/>
                <w:sz w:val="20"/>
                <w:lang w:val="en-US"/>
              </w:rPr>
              <w:t>10</w:t>
            </w:r>
          </w:p>
        </w:tc>
        <w:tc>
          <w:tcPr>
            <w:tcW w:type="dxa" w:w="2409"/>
          </w:tcPr>
          <w:p>
            <w:r>
              <w:rPr>
                <w:rFonts w:ascii="Times New Roman" w:hAnsi="Times New Roman" w:cs="Times New Roman"/>
                <w:b w:val="0"/>
                <w:i w:val="0"/>
                <w:sz w:val="20"/>
                <w:lang w:val="uk-UA"/>
              </w:rPr>
              <w:t>Кодують темп подій картки, кумулятивні обсяги, повторення суми. Усі розраховуються виключно за попередньою історією картки.</w:t>
            </w:r>
          </w:p>
        </w:tc>
      </w:tr>
      <w:tr>
        <w:tc>
          <w:tcPr>
            <w:tcW w:type="dxa" w:w="2409"/>
          </w:tcPr>
          <w:p>
            <w:r>
              <w:rPr>
                <w:rFonts w:ascii="Times New Roman" w:hAnsi="Times New Roman" w:cs="Times New Roman"/>
                <w:b w:val="0"/>
                <w:i w:val="0"/>
                <w:sz w:val="20"/>
                <w:lang w:val="uk-UA"/>
              </w:rPr>
              <w:t>Структурні за сумою (amount)</w:t>
            </w:r>
          </w:p>
        </w:tc>
        <w:tc>
          <w:tcPr>
            <w:tcW w:type="dxa" w:w="2409"/>
          </w:tcPr>
          <w:p>
            <w:r>
              <w:rPr>
                <w:rFonts w:ascii="Times New Roman" w:hAnsi="Times New Roman" w:cs="Times New Roman"/>
                <w:b w:val="0"/>
                <w:i w:val="0"/>
                <w:sz w:val="20"/>
                <w:lang w:val="en-US"/>
              </w:rPr>
              <w:t>`amount_log`, `amt_mod_10/50/100`, `has_cents`, `amount_gt_200`, `amount_gt_500`</w:t>
            </w:r>
          </w:p>
        </w:tc>
        <w:tc>
          <w:tcPr>
            <w:tcW w:type="dxa" w:w="2409"/>
          </w:tcPr>
          <w:p>
            <w:r>
              <w:rPr>
                <w:rFonts w:ascii="Times New Roman" w:hAnsi="Times New Roman" w:cs="Times New Roman"/>
                <w:b w:val="0"/>
                <w:i w:val="0"/>
                <w:sz w:val="20"/>
                <w:lang w:val="en-US"/>
              </w:rPr>
              <w:t>7</w:t>
            </w:r>
          </w:p>
        </w:tc>
        <w:tc>
          <w:tcPr>
            <w:tcW w:type="dxa" w:w="2409"/>
          </w:tcPr>
          <w:p>
            <w:r>
              <w:rPr>
                <w:rFonts w:ascii="Times New Roman" w:hAnsi="Times New Roman" w:cs="Times New Roman"/>
                <w:b w:val="0"/>
                <w:i w:val="0"/>
                <w:sz w:val="20"/>
                <w:lang w:val="uk-UA"/>
              </w:rPr>
              <w:t>Кодують форму суми (логарифм, «кратність», наявність копійчаної частини, порогові значення).</w:t>
            </w:r>
          </w:p>
        </w:tc>
      </w:tr>
      <w:tr>
        <w:tc>
          <w:tcPr>
            <w:tcW w:type="dxa" w:w="2409"/>
          </w:tcPr>
          <w:p>
            <w:r>
              <w:rPr>
                <w:rFonts w:ascii="Times New Roman" w:hAnsi="Times New Roman" w:cs="Times New Roman"/>
                <w:b w:val="0"/>
                <w:i w:val="0"/>
                <w:sz w:val="20"/>
                <w:lang w:val="uk-UA"/>
              </w:rPr>
              <w:t>Ідентифікаційні (identity)</w:t>
            </w:r>
          </w:p>
        </w:tc>
        <w:tc>
          <w:tcPr>
            <w:tcW w:type="dxa" w:w="2409"/>
          </w:tcPr>
          <w:p>
            <w:r>
              <w:rPr>
                <w:rFonts w:ascii="Times New Roman" w:hAnsi="Times New Roman" w:cs="Times New Roman"/>
                <w:b w:val="0"/>
                <w:i w:val="0"/>
                <w:sz w:val="20"/>
                <w:lang w:val="en-US"/>
              </w:rPr>
              <w:t>`bin_te`, `amount_te`</w:t>
            </w:r>
          </w:p>
        </w:tc>
        <w:tc>
          <w:tcPr>
            <w:tcW w:type="dxa" w:w="2409"/>
          </w:tcPr>
          <w:p>
            <w:r>
              <w:rPr>
                <w:rFonts w:ascii="Times New Roman" w:hAnsi="Times New Roman" w:cs="Times New Roman"/>
                <w:b w:val="0"/>
                <w:i w:val="0"/>
                <w:sz w:val="20"/>
                <w:lang w:val="en-US"/>
              </w:rPr>
              <w:t>2</w:t>
            </w:r>
          </w:p>
        </w:tc>
        <w:tc>
          <w:tcPr>
            <w:tcW w:type="dxa" w:w="2409"/>
          </w:tcPr>
          <w:p>
            <w:r>
              <w:rPr>
                <w:rFonts w:ascii="Times New Roman" w:hAnsi="Times New Roman" w:cs="Times New Roman"/>
                <w:b w:val="0"/>
                <w:i w:val="0"/>
                <w:sz w:val="20"/>
                <w:lang w:val="uk-UA"/>
              </w:rPr>
              <w:t>Байєсівсько-згладжені цільові кодування BIN-у та значення суми.</w:t>
            </w:r>
          </w:p>
        </w:tc>
      </w:tr>
    </w:tbl>
    <w:p>
      <w:pPr>
        <w:spacing w:line="360" w:lineRule="auto" w:after="0" w:before="0"/>
        <w:ind w:firstLine="709"/>
        <w:jc w:val="both"/>
      </w:pPr>
      <w:r>
        <w:rPr>
          <w:rFonts w:ascii="Times New Roman" w:hAnsi="Times New Roman" w:cs="Times New Roman"/>
          <w:b w:val="0"/>
          <w:i w:val="0"/>
          <w:sz w:val="28"/>
          <w:lang w:val="uk-UA"/>
        </w:rPr>
        <w:t xml:space="preserve">Швидкісні ознаки обчислено з дотриманням принципу причинності (causality): для </w:t>
      </w:r>
      <m:oMath>
        <m:r>
          <m:t xml:space="preserve">i</m:t>
        </m:r>
      </m:oMath>
      <w:r>
        <w:rPr>
          <w:rFonts w:ascii="Times New Roman" w:hAnsi="Times New Roman" w:cs="Times New Roman"/>
          <w:b w:val="0"/>
          <w:i w:val="0"/>
          <w:sz w:val="28"/>
          <w:lang w:val="uk-UA"/>
        </w:rPr>
        <w:t xml:space="preserve">-ї транзакції картки </w:t>
      </w:r>
      <m:oMath>
        <m:r>
          <m:t xml:space="preserve">c</m:t>
        </m:r>
      </m:oMath>
      <w:r>
        <w:rPr>
          <w:rFonts w:ascii="Times New Roman" w:hAnsi="Times New Roman" w:cs="Times New Roman"/>
          <w:b w:val="0"/>
          <w:i w:val="0"/>
          <w:sz w:val="28"/>
          <w:lang w:val="uk-UA"/>
        </w:rPr>
        <w:t xml:space="preserve"> ознака базується виключно на попередніх транзакціях тієї самої картки (</w:t>
      </w:r>
      <m:oMath>
        <m:sSub>
          <m:e>
            <m:r>
              <m:t xml:space="preserve">t</m:t>
            </m:r>
          </m:e>
          <m:sub>
            <m:r>
              <m:t xml:space="preserve">j</m:t>
            </m:r>
          </m:sub>
        </m:sSub>
        <m:r>
          <m:t xml:space="preserve">:</m:t>
        </m:r>
        <m:r>
          <m:t xml:space="preserve">j</m:t>
        </m:r>
        <m:r>
          <m:t xml:space="preserve">&lt;</m:t>
        </m:r>
        <m:r>
          <m:t xml:space="preserve">i</m:t>
        </m:r>
        <m:r>
          <m:t xml:space="preserve">,</m:t>
        </m:r>
        <m:sSub>
          <m:e>
            <m:r>
              <m:t xml:space="preserve">c</m:t>
            </m:r>
          </m:e>
          <m:sub>
            <m:r>
              <m:t xml:space="preserve">j</m:t>
            </m:r>
          </m:sub>
        </m:sSub>
        <m:r>
          <m:t xml:space="preserve">=</m:t>
        </m:r>
        <m:r>
          <m:t xml:space="preserve">c</m:t>
        </m:r>
      </m:oMath>
      <w:r>
        <w:rPr>
          <w:rFonts w:ascii="Times New Roman" w:hAnsi="Times New Roman" w:cs="Times New Roman"/>
          <w:b w:val="0"/>
          <w:i w:val="0"/>
          <w:sz w:val="28"/>
          <w:lang w:val="uk-UA"/>
        </w:rPr>
        <w:t xml:space="preserve">), уникаючи витоку майбутнього. Ідентифікаційні ознаки </w:t>
      </w:r>
      <m:oMath>
        <m:sSub>
          <m:e>
            <m:acc>
              <m:accPr>
                <m:chr m:val="̂"/>
              </m:accPr>
              <m:e>
                <m:r>
                  <m:t xml:space="preserve">p</m:t>
                </m:r>
              </m:e>
            </m:acc>
          </m:e>
          <m:sub>
            <m:r>
              <m:t xml:space="preserve">B</m:t>
            </m:r>
          </m:sub>
        </m:sSub>
      </m:oMath>
      <w:r>
        <w:rPr>
          <w:rFonts w:ascii="Times New Roman" w:hAnsi="Times New Roman" w:cs="Times New Roman"/>
          <w:b w:val="0"/>
          <w:i w:val="0"/>
          <w:sz w:val="28"/>
          <w:lang w:val="uk-UA"/>
        </w:rPr>
        <w:t xml:space="preserve"> для BIN-у </w:t>
      </w:r>
      <m:oMath>
        <m:r>
          <m:t xml:space="preserve">B</m:t>
        </m:r>
      </m:oMath>
      <w:r>
        <w:rPr>
          <w:rFonts w:ascii="Times New Roman" w:hAnsi="Times New Roman" w:cs="Times New Roman"/>
          <w:b w:val="0"/>
          <w:i w:val="0"/>
          <w:sz w:val="28"/>
          <w:lang w:val="uk-UA"/>
        </w:rPr>
        <w:t xml:space="preserve"> обчислено за формулою байєсівського згладжування (1):</w:t>
      </w:r>
    </w:p>
    <w:p>
      <w:pPr>
        <w:tabs>
          <w:tab w:pos="4819" w:val="center"/>
          <w:tab w:pos="9638" w:val="right"/>
        </w:tabs>
        <w:spacing w:line="360" w:lineRule="auto" w:before="120" w:after="120"/>
      </w:pPr>
      <w:r>
        <w:tab/>
      </w:r>
      <m:oMathPara>
        <m:oMathParaPr>
          <m:jc m:val="center"/>
        </m:oMathParaPr>
        <m:oMath>
          <m:sSub>
            <m:e>
              <m:acc>
                <m:accPr>
                  <m:chr m:val="̂"/>
                </m:accPr>
                <m:e>
                  <m:r>
                    <m:t xml:space="preserve">p</m:t>
                  </m:r>
                </m:e>
              </m:acc>
            </m:e>
            <m:sub>
              <m:r>
                <m:t xml:space="preserve">B</m:t>
              </m:r>
            </m:sub>
          </m:sSub>
          <m:r>
            <m:t xml:space="preserve">=</m:t>
          </m:r>
          <m:f>
            <m:num>
              <m:nary>
                <m:naryPr>
                  <m:chr m:val="∑"/>
                  <m:limLoc m:val="undOvr"/>
                  <m:subHide m:val="0"/>
                  <m:supHide m:val="1"/>
                </m:naryPr>
                <m:sub>
                  <m:r>
                    <m:t xml:space="preserve">i</m:t>
                  </m:r>
                  <m:r>
                    <m:t xml:space="preserve">:</m:t>
                  </m:r>
                  <m:sSub>
                    <m:e>
                      <m:r>
                        <m:t xml:space="preserve">c</m:t>
                      </m:r>
                    </m:e>
                    <m:sub>
                      <m:r>
                        <m:t xml:space="preserve">i</m:t>
                      </m:r>
                    </m:sub>
                  </m:sSub>
                  <m:r>
                    <m:t xml:space="preserve">∈</m:t>
                  </m:r>
                  <m:r>
                    <m:t xml:space="preserve">B</m:t>
                  </m:r>
                </m:sub>
                <m:sup/>
                <m:e>
                  <m:sSub>
                    <m:e>
                      <m:r>
                        <m:t xml:space="preserve">y</m:t>
                      </m:r>
                    </m:e>
                    <m:sub>
                      <m:r>
                        <m:t xml:space="preserve">i</m:t>
                      </m:r>
                    </m:sub>
                  </m:sSub>
                </m:e>
              </m:nary>
              <m:r>
                <m:t xml:space="preserve">+</m:t>
              </m:r>
              <m:r>
                <m:t xml:space="preserve">k</m:t>
              </m:r>
              <m:r>
                <m:t xml:space="preserve">⋅</m:t>
              </m:r>
              <m:acc>
                <m:accPr>
                  <m:chr m:val="̄"/>
                </m:accPr>
                <m:e>
                  <m:r>
                    <m:t xml:space="preserve">y</m:t>
                  </m:r>
                </m:e>
              </m:acc>
            </m:num>
            <m:den>
              <m:sSub>
                <m:e>
                  <m:r>
                    <m:t xml:space="preserve">n</m:t>
                  </m:r>
                </m:e>
                <m:sub>
                  <m:r>
                    <m:t xml:space="preserve">B</m:t>
                  </m:r>
                </m:sub>
              </m:sSub>
              <m:r>
                <m:t xml:space="preserve">+</m:t>
              </m:r>
              <m:r>
                <m:t xml:space="preserve">k</m:t>
              </m:r>
            </m:den>
          </m:f>
          <m:r>
            <m:t xml:space="preserve">,</m:t>
          </m:r>
        </m:oMath>
      </m:oMathPara>
      <w:r>
        <w:rPr>
          <w:rFonts w:ascii="Times New Roman" w:hAnsi="Times New Roman" w:cs="Times New Roman"/>
          <w:b w:val="0"/>
          <w:i w:val="0"/>
          <w:sz w:val="28"/>
          <w:lang w:val="en-US"/>
        </w:rPr>
        <w:tab/>
        <w:t>(1)</w:t>
      </w:r>
    </w:p>
    <w:p>
      <w:pPr>
        <w:spacing w:line="360" w:lineRule="auto" w:after="0" w:before="0"/>
        <w:ind w:firstLine="709"/>
        <w:jc w:val="both"/>
      </w:pPr>
      <w:r>
        <w:rPr>
          <w:rFonts w:ascii="Times New Roman" w:hAnsi="Times New Roman" w:cs="Times New Roman"/>
          <w:b w:val="0"/>
          <w:i w:val="0"/>
          <w:sz w:val="28"/>
          <w:lang w:val="uk-UA"/>
        </w:rPr>
        <w:t xml:space="preserve">де </w:t>
      </w:r>
      <m:oMath>
        <m:sSub>
          <m:e>
            <m:r>
              <m:t xml:space="preserve">n</m:t>
            </m:r>
          </m:e>
          <m:sub>
            <m:r>
              <m:t xml:space="preserve">B</m:t>
            </m:r>
          </m:sub>
        </m:sSub>
      </m:oMath>
      <w:r>
        <w:rPr>
          <w:rFonts w:ascii="Times New Roman" w:hAnsi="Times New Roman" w:cs="Times New Roman"/>
          <w:b w:val="0"/>
          <w:i w:val="0"/>
          <w:sz w:val="28"/>
          <w:lang w:val="uk-UA"/>
        </w:rPr>
        <w:t xml:space="preserve"> — кількість транзакцій з BIN-ом </w:t>
      </w:r>
      <m:oMath>
        <m:r>
          <m:t xml:space="preserve">B</m:t>
        </m:r>
      </m:oMath>
      <w:r>
        <w:rPr>
          <w:rFonts w:ascii="Times New Roman" w:hAnsi="Times New Roman" w:cs="Times New Roman"/>
          <w:b w:val="0"/>
          <w:i w:val="0"/>
          <w:sz w:val="28"/>
          <w:lang w:val="en-US"/>
        </w:rPr>
        <w:t xml:space="preserve">, </w:t>
      </w:r>
      <m:oMath>
        <m:acc>
          <m:accPr>
            <m:chr m:val="̄"/>
          </m:accPr>
          <m:e>
            <m:r>
              <m:t xml:space="preserve">y</m:t>
            </m:r>
          </m:e>
        </m:acc>
      </m:oMath>
      <w:r>
        <w:rPr>
          <w:rFonts w:ascii="Times New Roman" w:hAnsi="Times New Roman" w:cs="Times New Roman"/>
          <w:b w:val="0"/>
          <w:i w:val="0"/>
          <w:sz w:val="28"/>
          <w:lang w:val="uk-UA"/>
        </w:rPr>
        <w:t xml:space="preserve"> — апріорна частка класу, </w:t>
      </w:r>
      <m:oMath>
        <m:r>
          <m:t xml:space="preserve">k</m:t>
        </m:r>
      </m:oMath>
      <w:r>
        <w:rPr>
          <w:rFonts w:ascii="Times New Roman" w:hAnsi="Times New Roman" w:cs="Times New Roman"/>
          <w:b w:val="0"/>
          <w:i w:val="0"/>
          <w:sz w:val="28"/>
          <w:lang w:val="uk-UA"/>
        </w:rPr>
        <w:t xml:space="preserve"> — параметр згладжування (</w:t>
      </w:r>
      <m:oMath>
        <m:r>
          <m:t xml:space="preserve">k</m:t>
        </m:r>
        <m:r>
          <m:t xml:space="preserve">=</m:t>
        </m:r>
        <m:r>
          <m:t xml:space="preserve">2</m:t>
        </m:r>
        <m:r>
          <m:t xml:space="preserve">0</m:t>
        </m:r>
      </m:oMath>
      <w:r>
        <w:rPr>
          <w:rFonts w:ascii="Times New Roman" w:hAnsi="Times New Roman" w:cs="Times New Roman"/>
          <w:b w:val="0"/>
          <w:i w:val="0"/>
          <w:sz w:val="28"/>
          <w:lang w:val="uk-UA"/>
        </w:rPr>
        <w:t xml:space="preserve"> для BIN, </w:t>
      </w:r>
      <m:oMath>
        <m:r>
          <m:t xml:space="preserve">k</m:t>
        </m:r>
        <m:r>
          <m:t xml:space="preserve">=</m:t>
        </m:r>
        <m:r>
          <m:t xml:space="preserve">1</m:t>
        </m:r>
        <m:r>
          <m:t xml:space="preserve">0</m:t>
        </m:r>
      </m:oMath>
      <w:r>
        <w:rPr>
          <w:rFonts w:ascii="Times New Roman" w:hAnsi="Times New Roman" w:cs="Times New Roman"/>
          <w:b w:val="0"/>
          <w:i w:val="0"/>
          <w:sz w:val="28"/>
          <w:lang w:val="uk-UA"/>
        </w:rPr>
        <w:t xml:space="preserve"> для суми). Для прогнозних експериментів (§ 4.5) кодування обчислювалося лише на навчальній частині, для описових (§ 4.1–4.4) — на всьому наборі.</w:t>
      </w:r>
    </w:p>
    <w:p>
      <w:pPr>
        <w:spacing w:before="120" w:after="60" w:line="360" w:lineRule="auto"/>
      </w:pPr>
      <w:r>
        <w:rPr>
          <w:rFonts w:ascii="Times New Roman" w:hAnsi="Times New Roman" w:cs="Times New Roman"/>
          <w:b/>
          <w:i w:val="0"/>
          <w:sz w:val="28"/>
          <w:lang w:val="uk-UA"/>
        </w:rPr>
        <w:t>3.4. Методи аналізу</w:t>
      </w:r>
    </w:p>
    <w:p>
      <w:pPr>
        <w:spacing w:line="360" w:lineRule="auto" w:after="0" w:before="0"/>
        <w:ind w:firstLine="709"/>
        <w:jc w:val="both"/>
      </w:pPr>
      <w:r>
        <w:rPr>
          <w:rFonts w:ascii="Times New Roman" w:hAnsi="Times New Roman" w:cs="Times New Roman"/>
          <w:b w:val="0"/>
          <w:i w:val="0"/>
          <w:sz w:val="28"/>
          <w:lang w:val="uk-UA"/>
        </w:rPr>
        <w:t>Для аналізу простору ознак використано: PCA (аналіз головних компонент) з центруванням і нормуванням — для оцінки внутрішньої розмірності та двовимірної візуалізації (Jolliffe &amp; Cadima, 2016); однофакторний ANOVA за міткою CBK — для оцінки значущості розділення кожної окремої ознаки; Mann-Whitney U як непараметричний аналог; багатовимірний MANOVA (Wilks λ, F) — для оцінки значущості розділення цілого сімейства ознак; silhouette-індекс — як геометричний індикатор відокремленості груп (Rousseeuw, 1987); кореляційний аналіз Пірсона та Спірмена для оцінки зв'язків між сімействами ознак; логістичну регресію (LR) з балансуванням класів та HistGradientBoostingClassifier (HGB) як класифікатори з часо-впорядкованим поділом навчальної та перевірочної вибірок у пропорції 75/25 (Bishop, 2006); permutation importance за метрикою PR-AUC — для оцінки внеску окремих ознак; bootstrap-оцінку 95 % довірчих інтервалів PR-AUC (1000 ресемплів перевірочної вибірки) — для оцінки розкиду показників якості; χ²-тест стратифікації — для перевірки наявності прихованого спільного впливу.</w:t>
      </w:r>
    </w:p>
    <w:p>
      <w:pPr>
        <w:spacing w:before="160" w:after="60" w:line="360" w:lineRule="auto"/>
      </w:pPr>
      <w:r>
        <w:rPr>
          <w:rFonts w:ascii="Times New Roman" w:hAnsi="Times New Roman" w:cs="Times New Roman"/>
          <w:b/>
          <w:i w:val="0"/>
          <w:sz w:val="28"/>
          <w:lang w:val="uk-UA"/>
        </w:rPr>
        <w:t>4. Результати та обговорення</w:t>
      </w:r>
    </w:p>
    <w:p>
      <w:pPr>
        <w:spacing w:before="120" w:after="60" w:line="360" w:lineRule="auto"/>
      </w:pPr>
      <w:r>
        <w:rPr>
          <w:rFonts w:ascii="Times New Roman" w:hAnsi="Times New Roman" w:cs="Times New Roman"/>
          <w:b/>
          <w:i w:val="0"/>
          <w:sz w:val="28"/>
          <w:lang w:val="uk-UA"/>
        </w:rPr>
        <w:t>4.1. Одновимірний аналіз ознак</w:t>
      </w:r>
    </w:p>
    <w:p>
      <w:pPr>
        <w:spacing w:line="360" w:lineRule="auto" w:after="0" w:before="0"/>
        <w:ind w:firstLine="709"/>
        <w:jc w:val="both"/>
      </w:pPr>
      <w:r>
        <w:rPr>
          <w:rFonts w:ascii="Times New Roman" w:hAnsi="Times New Roman" w:cs="Times New Roman"/>
          <w:b w:val="0"/>
          <w:i w:val="0"/>
          <w:sz w:val="28"/>
          <w:lang w:val="uk-UA"/>
        </w:rPr>
        <w:t>Попередній одновимірний аналіз (таблиця 3, десять ознак з найбільшою F-статистикою ANOVA) показує, що найбільшу розділювальну силу мають ознаки швидкісного та ідентифікаційного сімейств.</w:t>
      </w:r>
    </w:p>
    <w:p>
      <w:pPr>
        <w:spacing w:line="360" w:lineRule="auto" w:after="0" w:before="0"/>
        <w:jc w:val="both"/>
      </w:pPr>
      <w:r>
        <w:rPr>
          <w:rFonts w:ascii="Times New Roman" w:hAnsi="Times New Roman" w:cs="Times New Roman"/>
          <w:b/>
          <w:i w:val="0"/>
          <w:sz w:val="28"/>
          <w:lang w:val="uk-UA"/>
        </w:rPr>
        <w:t>Таблиця 3. Перші десять ознак з найбільшою F-статистикою одновимірного ANOVA.</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Times New Roman" w:hAnsi="Times New Roman" w:cs="Times New Roman"/>
                <w:b/>
                <w:i w:val="0"/>
                <w:sz w:val="20"/>
                <w:lang w:val="uk-UA"/>
              </w:rPr>
              <w:t>Ознака</w:t>
            </w:r>
          </w:p>
        </w:tc>
        <w:tc>
          <w:tcPr>
            <w:tcW w:type="dxa" w:w="2409"/>
          </w:tcPr>
          <w:p>
            <w:r>
              <w:rPr>
                <w:rFonts w:ascii="Times New Roman" w:hAnsi="Times New Roman" w:cs="Times New Roman"/>
                <w:b/>
                <w:i w:val="0"/>
                <w:sz w:val="20"/>
                <w:lang w:val="uk-UA"/>
              </w:rPr>
              <w:t>Сімейство</w:t>
            </w:r>
          </w:p>
        </w:tc>
        <w:tc>
          <w:tcPr>
            <w:tcW w:type="dxa" w:w="2409"/>
          </w:tcPr>
          <w:p>
            <w:r>
              <w:rPr>
                <w:rFonts w:ascii="Times New Roman" w:hAnsi="Times New Roman" w:cs="Times New Roman"/>
                <w:b/>
                <w:i w:val="0"/>
                <w:sz w:val="20"/>
                <w:lang w:val="en-US"/>
              </w:rPr>
              <w:t>F</w:t>
            </w:r>
          </w:p>
        </w:tc>
        <w:tc>
          <w:tcPr>
            <w:tcW w:type="dxa" w:w="2409"/>
          </w:tcPr>
          <w:p>
            <w:r>
              <w:rPr>
                <w:rFonts w:ascii="Times New Roman" w:hAnsi="Times New Roman" w:cs="Times New Roman"/>
                <w:b/>
                <w:i w:val="0"/>
                <w:sz w:val="20"/>
                <w:lang w:val="en-US"/>
              </w:rPr>
              <w:t>p</w:t>
            </w:r>
          </w:p>
        </w:tc>
      </w:tr>
      <w:tr>
        <w:tc>
          <w:tcPr>
            <w:tcW w:type="dxa" w:w="2409"/>
          </w:tcPr>
          <w:p>
            <w:r>
              <w:rPr>
                <w:rFonts w:ascii="Times New Roman" w:hAnsi="Times New Roman" w:cs="Times New Roman"/>
                <w:b w:val="0"/>
                <w:i w:val="0"/>
                <w:sz w:val="20"/>
                <w:lang w:val="en-US"/>
              </w:rPr>
              <w:t>`n_tx_card_1h`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4 151,5</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`n_tx_card_6h`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3 981,1</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`n_tx_card_24h`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3 633,8</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`cum_card_count`</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3 495,1</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`amount_te`</w:t>
            </w:r>
          </w:p>
        </w:tc>
        <w:tc>
          <w:tcPr>
            <w:tcW w:type="dxa" w:w="2409"/>
          </w:tcPr>
          <w:p>
            <w:r>
              <w:rPr>
                <w:rFonts w:ascii="Times New Roman" w:hAnsi="Times New Roman" w:cs="Times New Roman"/>
                <w:b w:val="0"/>
                <w:i w:val="0"/>
                <w:sz w:val="20"/>
                <w:lang w:val="en-US"/>
              </w:rPr>
              <w:t>identity</w:t>
            </w:r>
          </w:p>
        </w:tc>
        <w:tc>
          <w:tcPr>
            <w:tcW w:type="dxa" w:w="2409"/>
          </w:tcPr>
          <w:p>
            <w:r>
              <w:rPr>
                <w:rFonts w:ascii="Times New Roman" w:hAnsi="Times New Roman" w:cs="Times New Roman"/>
                <w:b w:val="0"/>
                <w:i w:val="0"/>
                <w:sz w:val="20"/>
                <w:lang w:val="en-US"/>
              </w:rPr>
              <w:t>3 131,8</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`same_amount_10min`</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2 870,8</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`bin_te`</w:t>
            </w:r>
          </w:p>
        </w:tc>
        <w:tc>
          <w:tcPr>
            <w:tcW w:type="dxa" w:w="2409"/>
          </w:tcPr>
          <w:p>
            <w:r>
              <w:rPr>
                <w:rFonts w:ascii="Times New Roman" w:hAnsi="Times New Roman" w:cs="Times New Roman"/>
                <w:b w:val="0"/>
                <w:i w:val="0"/>
                <w:sz w:val="20"/>
                <w:lang w:val="en-US"/>
              </w:rPr>
              <w:t>identity</w:t>
            </w:r>
          </w:p>
        </w:tc>
        <w:tc>
          <w:tcPr>
            <w:tcW w:type="dxa" w:w="2409"/>
          </w:tcPr>
          <w:p>
            <w:r>
              <w:rPr>
                <w:rFonts w:ascii="Times New Roman" w:hAnsi="Times New Roman" w:cs="Times New Roman"/>
                <w:b w:val="0"/>
                <w:i w:val="0"/>
                <w:sz w:val="20"/>
                <w:lang w:val="en-US"/>
              </w:rPr>
              <w:t>2 704,6</w:t>
            </w:r>
          </w:p>
        </w:tc>
        <w:tc>
          <w:tcPr>
            <w:tcW w:type="dxa" w:w="2409"/>
          </w:tcPr>
          <w:p>
            <w:r>
              <w:rPr>
                <w:rFonts w:ascii="Times New Roman" w:hAnsi="Times New Roman" w:cs="Times New Roman"/>
                <w:b w:val="0"/>
                <w:i w:val="0"/>
                <w:sz w:val="20"/>
                <w:lang w:val="en-US"/>
              </w:rPr>
              <w:t>&lt; 10⁻²⁰⁵</w:t>
            </w:r>
          </w:p>
        </w:tc>
      </w:tr>
      <w:tr>
        <w:tc>
          <w:tcPr>
            <w:tcW w:type="dxa" w:w="2409"/>
          </w:tcPr>
          <w:p>
            <w:r>
              <w:rPr>
                <w:rFonts w:ascii="Times New Roman" w:hAnsi="Times New Roman" w:cs="Times New Roman"/>
                <w:b w:val="0"/>
                <w:i w:val="0"/>
                <w:sz w:val="20"/>
                <w:lang w:val="en-US"/>
              </w:rPr>
              <w:t>`sum_amt_card_1h`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2 281,5</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`sum_amt_card_24h`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2 260,6</w:t>
            </w:r>
          </w:p>
        </w:tc>
        <w:tc>
          <w:tcPr>
            <w:tcW w:type="dxa" w:w="2409"/>
          </w:tcPr>
          <w:p>
            <w:r>
              <w:rPr>
                <w:rFonts w:ascii="Times New Roman" w:hAnsi="Times New Roman" w:cs="Times New Roman"/>
                <w:b w:val="0"/>
                <w:i w:val="0"/>
                <w:sz w:val="20"/>
                <w:lang w:val="en-US"/>
              </w:rPr>
              <w:t>&lt; 10⁻³⁰⁰</w:t>
            </w:r>
          </w:p>
        </w:tc>
      </w:tr>
      <w:tr>
        <w:tc>
          <w:tcPr>
            <w:tcW w:type="dxa" w:w="2409"/>
          </w:tcPr>
          <w:p>
            <w:r>
              <w:rPr>
                <w:rFonts w:ascii="Times New Roman" w:hAnsi="Times New Roman" w:cs="Times New Roman"/>
                <w:b w:val="0"/>
                <w:i w:val="0"/>
                <w:sz w:val="20"/>
                <w:lang w:val="en-US"/>
              </w:rPr>
              <w:t>`sum_amt_card_6h`</w:t>
            </w:r>
          </w:p>
        </w:tc>
        <w:tc>
          <w:tcPr>
            <w:tcW w:type="dxa" w:w="2409"/>
          </w:tcPr>
          <w:p>
            <w:r>
              <w:rPr>
                <w:rFonts w:ascii="Times New Roman" w:hAnsi="Times New Roman" w:cs="Times New Roman"/>
                <w:b w:val="0"/>
                <w:i w:val="0"/>
                <w:sz w:val="20"/>
                <w:lang w:val="en-US"/>
              </w:rPr>
              <w:t>velocity</w:t>
            </w:r>
          </w:p>
        </w:tc>
        <w:tc>
          <w:tcPr>
            <w:tcW w:type="dxa" w:w="2409"/>
          </w:tcPr>
          <w:p>
            <w:r>
              <w:rPr>
                <w:rFonts w:ascii="Times New Roman" w:hAnsi="Times New Roman" w:cs="Times New Roman"/>
                <w:b w:val="0"/>
                <w:i w:val="0"/>
                <w:sz w:val="20"/>
                <w:lang w:val="en-US"/>
              </w:rPr>
              <w:t>2 185,5</w:t>
            </w:r>
          </w:p>
        </w:tc>
        <w:tc>
          <w:tcPr>
            <w:tcW w:type="dxa" w:w="2409"/>
          </w:tcPr>
          <w:p>
            <w:r>
              <w:rPr>
                <w:rFonts w:ascii="Times New Roman" w:hAnsi="Times New Roman" w:cs="Times New Roman"/>
                <w:b w:val="0"/>
                <w:i w:val="0"/>
                <w:sz w:val="20"/>
                <w:lang w:val="en-US"/>
              </w:rPr>
              <w:t>&lt; 10⁻³⁰⁰</w:t>
            </w:r>
          </w:p>
        </w:tc>
      </w:tr>
    </w:tbl>
    <w:p>
      <w:pPr>
        <w:spacing w:line="360" w:lineRule="auto" w:after="0" w:before="0"/>
        <w:ind w:firstLine="709"/>
        <w:jc w:val="both"/>
      </w:pPr>
      <w:r>
        <w:rPr>
          <w:rFonts w:ascii="Times New Roman" w:hAnsi="Times New Roman" w:cs="Times New Roman"/>
          <w:b w:val="0"/>
          <w:i w:val="0"/>
          <w:sz w:val="28"/>
          <w:lang w:val="uk-UA"/>
        </w:rPr>
        <w:t xml:space="preserve">Для порівняння, найсильніші ознаки інших сімейств: </w:t>
      </w:r>
      <w:r>
        <w:rPr>
          <w:rFonts w:ascii="Times New Roman" w:hAnsi="Times New Roman" w:cs="Times New Roman"/>
          <w:b w:val="0"/>
          <w:i w:val="0"/>
          <w:sz w:val="28"/>
          <w:lang w:val="en-US"/>
        </w:rPr>
        <w:t>afternoon_peak</w:t>
      </w:r>
      <w:r>
        <w:rPr>
          <w:rFonts w:ascii="Times New Roman" w:hAnsi="Times New Roman" w:cs="Times New Roman"/>
          <w:b w:val="0"/>
          <w:i w:val="0"/>
          <w:sz w:val="28"/>
          <w:lang w:val="en-US"/>
        </w:rPr>
        <w:t xml:space="preserve"> (temporal, F = 125,8), </w:t>
      </w:r>
      <w:r>
        <w:rPr>
          <w:rFonts w:ascii="Times New Roman" w:hAnsi="Times New Roman" w:cs="Times New Roman"/>
          <w:b w:val="0"/>
          <w:i w:val="0"/>
          <w:sz w:val="28"/>
          <w:lang w:val="en-US"/>
        </w:rPr>
        <w:t>amount_log</w:t>
      </w:r>
      <w:r>
        <w:rPr>
          <w:rFonts w:ascii="Times New Roman" w:hAnsi="Times New Roman" w:cs="Times New Roman"/>
          <w:b w:val="0"/>
          <w:i w:val="0"/>
          <w:sz w:val="28"/>
          <w:lang w:val="en-US"/>
        </w:rPr>
        <w:t xml:space="preserve"> (amount, F = 105,6), </w:t>
      </w:r>
      <w:r>
        <w:rPr>
          <w:rFonts w:ascii="Times New Roman" w:hAnsi="Times New Roman" w:cs="Times New Roman"/>
          <w:b w:val="0"/>
          <w:i w:val="0"/>
          <w:sz w:val="28"/>
          <w:lang w:val="en-US"/>
        </w:rPr>
        <w:t>weekend</w:t>
      </w:r>
      <w:r>
        <w:rPr>
          <w:rFonts w:ascii="Times New Roman" w:hAnsi="Times New Roman" w:cs="Times New Roman"/>
          <w:b w:val="0"/>
          <w:i w:val="0"/>
          <w:sz w:val="28"/>
          <w:lang w:val="uk-UA"/>
        </w:rPr>
        <w:t xml:space="preserve"> (temporal, F = 12,1). Повний перелік — у файлі </w:t>
      </w:r>
      <w:r>
        <w:rPr>
          <w:rFonts w:ascii="Times New Roman" w:hAnsi="Times New Roman" w:cs="Times New Roman"/>
          <w:b w:val="0"/>
          <w:i w:val="0"/>
          <w:sz w:val="28"/>
          <w:lang w:val="en-US"/>
        </w:rPr>
        <w:t>outputs/tables/T1_univariate_tests.csv</w:t>
      </w:r>
      <w:r>
        <w:rPr>
          <w:rFonts w:ascii="Times New Roman" w:hAnsi="Times New Roman" w:cs="Times New Roman"/>
          <w:b w:val="0"/>
          <w:i w:val="0"/>
          <w:sz w:val="28"/>
          <w:lang w:val="uk-UA"/>
        </w:rPr>
        <w:t>. Серед десяти ознак з найбільшою F-статистикою сім належать до швидкісного сімейства, ще дві — до ідентифікаційного, і жодної часової чи структурної за сумою. Найбільш популярна часова ознака (</w:t>
      </w:r>
      <w:r>
        <w:rPr>
          <w:rFonts w:ascii="Times New Roman" w:hAnsi="Times New Roman" w:cs="Times New Roman"/>
          <w:b w:val="0"/>
          <w:i w:val="0"/>
          <w:sz w:val="28"/>
          <w:lang w:val="en-US"/>
        </w:rPr>
        <w:t>afternoon_peak</w:t>
      </w:r>
      <w:r>
        <w:rPr>
          <w:rFonts w:ascii="Times New Roman" w:hAnsi="Times New Roman" w:cs="Times New Roman"/>
          <w:b w:val="0"/>
          <w:i w:val="0"/>
          <w:sz w:val="28"/>
          <w:lang w:val="uk-UA"/>
        </w:rPr>
        <w:t>) має F-статистику у понад 30 разів меншу, ніж швидкісна ознака-лідер.</w:t>
      </w:r>
    </w:p>
    <w:p>
      <w:pPr>
        <w:spacing w:before="120" w:after="60" w:line="360" w:lineRule="auto"/>
      </w:pPr>
      <w:r>
        <w:rPr>
          <w:rFonts w:ascii="Times New Roman" w:hAnsi="Times New Roman" w:cs="Times New Roman"/>
          <w:b/>
          <w:i w:val="0"/>
          <w:sz w:val="28"/>
          <w:lang w:val="uk-UA"/>
        </w:rPr>
        <w:t>4.2. PCA та візуалізація простору ознак</w:t>
      </w:r>
    </w:p>
    <w:p>
      <w:pPr>
        <w:spacing w:line="360" w:lineRule="auto" w:after="0" w:before="0"/>
        <w:ind w:firstLine="709"/>
        <w:jc w:val="both"/>
      </w:pPr>
      <w:r>
        <w:rPr>
          <w:rFonts w:ascii="Times New Roman" w:hAnsi="Times New Roman" w:cs="Times New Roman"/>
          <w:b w:val="0"/>
          <w:i w:val="0"/>
          <w:sz w:val="28"/>
          <w:lang w:val="uk-UA"/>
        </w:rPr>
        <w:t>Розклад простору ознак методом головних компонент наведено на рис. 1. Перша головна компонента повного простору пояснює 29,1 % дисперсії, перші дві — 37,2 %, перші десять — 78,3 %. Це свідчить про те, що простір поведінкових ознак не є одновимірним: шахрайську поведінку не можна редукувати до одного узагальненого «показника шахрайства». Аналогічну невідновлюваність до одновимірного індексу спостережено й у (Кужій &amp; Фургала, 2025) для поведінкових типажів гравців CS2, що дозволяє припустити загальний характер цієї властивості для поведінкових даних онлайн-сервісів.</w:t>
      </w:r>
    </w:p>
    <w:p>
      <w:pPr>
        <w:jc w:val="center"/>
      </w:pPr>
      <w:r>
        <w:drawing>
          <wp:inline xmlns:a="http://schemas.openxmlformats.org/drawingml/2006/main" xmlns:pic="http://schemas.openxmlformats.org/drawingml/2006/picture">
            <wp:extent cx="4500000" cy="1938462"/>
            <wp:docPr id="1" name="Picture 1"/>
            <wp:cNvGraphicFramePr>
              <a:graphicFrameLocks noChangeAspect="1"/>
            </wp:cNvGraphicFramePr>
            <a:graphic>
              <a:graphicData uri="http://schemas.openxmlformats.org/drawingml/2006/picture">
                <pic:pic>
                  <pic:nvPicPr>
                    <pic:cNvPr id="0" name="F1_pca_scatter.png"/>
                    <pic:cNvPicPr/>
                  </pic:nvPicPr>
                  <pic:blipFill>
                    <a:blip r:embed="rId9"/>
                    <a:stretch>
                      <a:fillRect/>
                    </a:stretch>
                  </pic:blipFill>
                  <pic:spPr>
                    <a:xfrm>
                      <a:off x="0" y="0"/>
                      <a:ext cx="4500000" cy="1938462"/>
                    </a:xfrm>
                    <a:prstGeom prst="rect"/>
                  </pic:spPr>
                </pic:pic>
              </a:graphicData>
            </a:graphic>
          </wp:inline>
        </w:drawing>
      </w:r>
    </w:p>
    <w:p>
      <w:pPr>
        <w:spacing w:line="360" w:lineRule="auto" w:after="0" w:before="0"/>
        <w:jc w:val="center"/>
      </w:pPr>
      <w:r>
        <w:rPr>
          <w:rFonts w:ascii="Times New Roman" w:hAnsi="Times New Roman" w:cs="Times New Roman"/>
          <w:b w:val="0"/>
          <w:i w:val="0"/>
          <w:sz w:val="24"/>
          <w:lang w:val="uk-UA"/>
        </w:rPr>
        <w:t>Рис. 1. PCA-проєкція простору поведінкових ознак: (ліворуч) повний простір (26 ознак); (праворуч) поведінковий простір без ідентифікаційних (target-encoded) ознак. Структура сепарації практично не змінюється, тобто вона не є артефактом витоку мітки через цільове кодування.</w:t>
      </w:r>
    </w:p>
    <w:p>
      <w:pPr>
        <w:spacing w:line="360" w:lineRule="auto" w:after="0" w:before="0"/>
        <w:ind w:firstLine="709"/>
        <w:jc w:val="both"/>
      </w:pPr>
      <w:r>
        <w:rPr>
          <w:rFonts w:ascii="Times New Roman" w:hAnsi="Times New Roman" w:cs="Times New Roman"/>
          <w:b w:val="0"/>
          <w:i w:val="0"/>
          <w:sz w:val="28"/>
          <w:lang w:val="uk-UA"/>
        </w:rPr>
        <w:t>На двовимірній проєкції (рис. 1, ліворуч) шахрайські транзакції чітко концентруються у специфічній області простору ознак, переважно в області великих значень PC1 (перша компонента з найбільшим факторним навантаженням на швидкісні ознаки). Легітимні транзакції утворюють широке «хмароподібне» розміщення. Щоб виключити потенційний витік мітки через цільовокодовані ідентифікаційні ознаки, ту саму проєкцію побудовано і для поведінкового простору без сімейства identity (рис. 1, праворуч): характерний «промінь» шахрайських транзакцій і загальна частка поясненої дисперсії зберігаються майже без змін (перші дві компоненти — 38,8 % проти 37,2 %). Це свідчить, що відокремленість шахрайської області зумовлена саме швидкісними поведінковими ознаками, а не штучним сигналом target-encoding.</w:t>
      </w:r>
    </w:p>
    <w:p>
      <w:pPr>
        <w:spacing w:before="120" w:after="60" w:line="360" w:lineRule="auto"/>
      </w:pPr>
      <w:r>
        <w:rPr>
          <w:rFonts w:ascii="Times New Roman" w:hAnsi="Times New Roman" w:cs="Times New Roman"/>
          <w:b/>
          <w:i w:val="0"/>
          <w:sz w:val="28"/>
          <w:lang w:val="uk-UA"/>
        </w:rPr>
        <w:t>4.3. MANOVA: значущість розділення сімейств ознак</w:t>
      </w:r>
    </w:p>
    <w:p>
      <w:pPr>
        <w:spacing w:line="360" w:lineRule="auto" w:after="0" w:before="0"/>
        <w:ind w:firstLine="709"/>
        <w:jc w:val="both"/>
      </w:pPr>
      <w:r>
        <w:rPr>
          <w:rFonts w:ascii="Times New Roman" w:hAnsi="Times New Roman" w:cs="Times New Roman"/>
          <w:b w:val="0"/>
          <w:i w:val="0"/>
          <w:sz w:val="28"/>
          <w:lang w:val="uk-UA"/>
        </w:rPr>
        <w:t>Результати багатовимірного MANOVA за групувальною змінною CBK наведено у таблиці 4.</w:t>
      </w:r>
    </w:p>
    <w:p>
      <w:pPr>
        <w:spacing w:line="360" w:lineRule="auto" w:after="0" w:before="0"/>
        <w:jc w:val="both"/>
      </w:pPr>
      <w:r>
        <w:rPr>
          <w:rFonts w:ascii="Times New Roman" w:hAnsi="Times New Roman" w:cs="Times New Roman"/>
          <w:b/>
          <w:i w:val="0"/>
          <w:sz w:val="28"/>
          <w:lang w:val="uk-UA"/>
        </w:rPr>
        <w:t>Таблиця 4. MANOVA за сімействами ознак (група: CBK Yes/No).</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Times New Roman" w:hAnsi="Times New Roman" w:cs="Times New Roman"/>
                <w:b/>
                <w:i w:val="0"/>
                <w:sz w:val="20"/>
                <w:lang w:val="uk-UA"/>
              </w:rPr>
              <w:t>Сімейство</w:t>
            </w:r>
          </w:p>
        </w:tc>
        <w:tc>
          <w:tcPr>
            <w:tcW w:type="dxa" w:w="2409"/>
          </w:tcPr>
          <w:p>
            <w:r>
              <w:rPr>
                <w:rFonts w:ascii="Times New Roman" w:hAnsi="Times New Roman" w:cs="Times New Roman"/>
                <w:b/>
                <w:i w:val="0"/>
                <w:sz w:val="20"/>
                <w:lang w:val="en-US"/>
              </w:rPr>
              <w:t>Wilks λ</w:t>
            </w:r>
          </w:p>
        </w:tc>
        <w:tc>
          <w:tcPr>
            <w:tcW w:type="dxa" w:w="2409"/>
          </w:tcPr>
          <w:p>
            <w:r>
              <w:rPr>
                <w:rFonts w:ascii="Times New Roman" w:hAnsi="Times New Roman" w:cs="Times New Roman"/>
                <w:b/>
                <w:i w:val="0"/>
                <w:sz w:val="20"/>
                <w:lang w:val="en-US"/>
              </w:rPr>
              <w:t>F</w:t>
            </w:r>
          </w:p>
        </w:tc>
        <w:tc>
          <w:tcPr>
            <w:tcW w:type="dxa" w:w="2409"/>
          </w:tcPr>
          <w:p>
            <w:r>
              <w:rPr>
                <w:rFonts w:ascii="Times New Roman" w:hAnsi="Times New Roman" w:cs="Times New Roman"/>
                <w:b/>
                <w:i w:val="0"/>
                <w:sz w:val="20"/>
                <w:lang w:val="en-US"/>
              </w:rPr>
              <w:t>p</w:t>
            </w:r>
          </w:p>
        </w:tc>
      </w:tr>
      <w:tr>
        <w:tc>
          <w:tcPr>
            <w:tcW w:type="dxa" w:w="2409"/>
          </w:tcPr>
          <w:p>
            <w:r>
              <w:rPr>
                <w:rFonts w:ascii="Times New Roman" w:hAnsi="Times New Roman" w:cs="Times New Roman"/>
                <w:b w:val="0"/>
                <w:i w:val="0"/>
                <w:sz w:val="20"/>
                <w:lang w:val="en-US"/>
              </w:rPr>
              <w:t>Temporal</w:t>
            </w:r>
          </w:p>
        </w:tc>
        <w:tc>
          <w:tcPr>
            <w:tcW w:type="dxa" w:w="2409"/>
          </w:tcPr>
          <w:p>
            <w:r>
              <w:rPr>
                <w:rFonts w:ascii="Times New Roman" w:hAnsi="Times New Roman" w:cs="Times New Roman"/>
                <w:b w:val="0"/>
                <w:i w:val="0"/>
                <w:sz w:val="20"/>
                <w:lang w:val="en-US"/>
              </w:rPr>
              <w:t>0,986</w:t>
            </w:r>
          </w:p>
        </w:tc>
        <w:tc>
          <w:tcPr>
            <w:tcW w:type="dxa" w:w="2409"/>
          </w:tcPr>
          <w:p>
            <w:r>
              <w:rPr>
                <w:rFonts w:ascii="Times New Roman" w:hAnsi="Times New Roman" w:cs="Times New Roman"/>
                <w:b w:val="0"/>
                <w:i w:val="0"/>
                <w:sz w:val="20"/>
                <w:lang w:val="en-US"/>
              </w:rPr>
              <w:t>23,07</w:t>
            </w:r>
          </w:p>
        </w:tc>
        <w:tc>
          <w:tcPr>
            <w:tcW w:type="dxa" w:w="2409"/>
          </w:tcPr>
          <w:p>
            <w:r>
              <w:rPr>
                <w:rFonts w:ascii="Times New Roman" w:hAnsi="Times New Roman" w:cs="Times New Roman"/>
                <w:b w:val="0"/>
                <w:i w:val="0"/>
                <w:sz w:val="20"/>
                <w:lang w:val="en-US"/>
              </w:rPr>
              <w:t>2,73 × 10⁻³¹</w:t>
            </w:r>
          </w:p>
        </w:tc>
      </w:tr>
      <w:tr>
        <w:tc>
          <w:tcPr>
            <w:tcW w:type="dxa" w:w="2409"/>
          </w:tcPr>
          <w:p>
            <w:r>
              <w:rPr>
                <w:rFonts w:ascii="Times New Roman" w:hAnsi="Times New Roman" w:cs="Times New Roman"/>
                <w:b/>
                <w:i w:val="0"/>
                <w:sz w:val="20"/>
                <w:lang w:val="en-US"/>
              </w:rPr>
              <w:t>Velocity</w:t>
            </w:r>
          </w:p>
        </w:tc>
        <w:tc>
          <w:tcPr>
            <w:tcW w:type="dxa" w:w="2409"/>
          </w:tcPr>
          <w:p>
            <w:r>
              <w:rPr>
                <w:rFonts w:ascii="Times New Roman" w:hAnsi="Times New Roman" w:cs="Times New Roman"/>
                <w:b/>
                <w:i w:val="0"/>
                <w:sz w:val="20"/>
                <w:lang w:val="en-US"/>
              </w:rPr>
              <w:t>0,682</w:t>
            </w:r>
          </w:p>
        </w:tc>
        <w:tc>
          <w:tcPr>
            <w:tcW w:type="dxa" w:w="2409"/>
          </w:tcPr>
          <w:p>
            <w:r>
              <w:rPr>
                <w:rFonts w:ascii="Times New Roman" w:hAnsi="Times New Roman" w:cs="Times New Roman"/>
                <w:b/>
                <w:i w:val="0"/>
                <w:sz w:val="20"/>
                <w:lang w:val="en-US"/>
              </w:rPr>
              <w:t>518,73</w:t>
            </w:r>
          </w:p>
        </w:tc>
        <w:tc>
          <w:tcPr>
            <w:tcW w:type="dxa" w:w="2409"/>
          </w:tcPr>
          <w:p>
            <w:r>
              <w:rPr>
                <w:rFonts w:ascii="Times New Roman" w:hAnsi="Times New Roman" w:cs="Times New Roman"/>
                <w:b/>
                <w:i w:val="0"/>
                <w:sz w:val="20"/>
                <w:lang w:val="en-US"/>
              </w:rPr>
              <w:t>&lt; 10⁻³⁰⁰</w:t>
            </w:r>
          </w:p>
        </w:tc>
      </w:tr>
      <w:tr>
        <w:tc>
          <w:tcPr>
            <w:tcW w:type="dxa" w:w="2409"/>
          </w:tcPr>
          <w:p>
            <w:r>
              <w:rPr>
                <w:rFonts w:ascii="Times New Roman" w:hAnsi="Times New Roman" w:cs="Times New Roman"/>
                <w:b w:val="0"/>
                <w:i w:val="0"/>
                <w:sz w:val="20"/>
                <w:lang w:val="en-US"/>
              </w:rPr>
              <w:t>Amount</w:t>
            </w:r>
          </w:p>
        </w:tc>
        <w:tc>
          <w:tcPr>
            <w:tcW w:type="dxa" w:w="2409"/>
          </w:tcPr>
          <w:p>
            <w:r>
              <w:rPr>
                <w:rFonts w:ascii="Times New Roman" w:hAnsi="Times New Roman" w:cs="Times New Roman"/>
                <w:b w:val="0"/>
                <w:i w:val="0"/>
                <w:sz w:val="20"/>
                <w:lang w:val="en-US"/>
              </w:rPr>
              <w:t>0,975</w:t>
            </w:r>
          </w:p>
        </w:tc>
        <w:tc>
          <w:tcPr>
            <w:tcW w:type="dxa" w:w="2409"/>
          </w:tcPr>
          <w:p>
            <w:r>
              <w:rPr>
                <w:rFonts w:ascii="Times New Roman" w:hAnsi="Times New Roman" w:cs="Times New Roman"/>
                <w:b w:val="0"/>
                <w:i w:val="0"/>
                <w:sz w:val="20"/>
                <w:lang w:val="en-US"/>
              </w:rPr>
              <w:t>40,61</w:t>
            </w:r>
          </w:p>
        </w:tc>
        <w:tc>
          <w:tcPr>
            <w:tcW w:type="dxa" w:w="2409"/>
          </w:tcPr>
          <w:p>
            <w:r>
              <w:rPr>
                <w:rFonts w:ascii="Times New Roman" w:hAnsi="Times New Roman" w:cs="Times New Roman"/>
                <w:b w:val="0"/>
                <w:i w:val="0"/>
                <w:sz w:val="20"/>
                <w:lang w:val="en-US"/>
              </w:rPr>
              <w:t>7,63 × 10⁻⁵⁷</w:t>
            </w:r>
          </w:p>
        </w:tc>
      </w:tr>
      <w:tr>
        <w:tc>
          <w:tcPr>
            <w:tcW w:type="dxa" w:w="2409"/>
          </w:tcPr>
          <w:p>
            <w:r>
              <w:rPr>
                <w:rFonts w:ascii="Times New Roman" w:hAnsi="Times New Roman" w:cs="Times New Roman"/>
                <w:b/>
                <w:i w:val="0"/>
                <w:sz w:val="20"/>
                <w:lang w:val="en-US"/>
              </w:rPr>
              <w:t>Identity</w:t>
            </w:r>
          </w:p>
        </w:tc>
        <w:tc>
          <w:tcPr>
            <w:tcW w:type="dxa" w:w="2409"/>
          </w:tcPr>
          <w:p>
            <w:r>
              <w:rPr>
                <w:rFonts w:ascii="Times New Roman" w:hAnsi="Times New Roman" w:cs="Times New Roman"/>
                <w:b/>
                <w:i w:val="0"/>
                <w:sz w:val="20"/>
                <w:lang w:val="en-US"/>
              </w:rPr>
              <w:t>0,659</w:t>
            </w:r>
          </w:p>
        </w:tc>
        <w:tc>
          <w:tcPr>
            <w:tcW w:type="dxa" w:w="2409"/>
          </w:tcPr>
          <w:p>
            <w:r>
              <w:rPr>
                <w:rFonts w:ascii="Times New Roman" w:hAnsi="Times New Roman" w:cs="Times New Roman"/>
                <w:b/>
                <w:i w:val="0"/>
                <w:sz w:val="20"/>
                <w:lang w:val="en-US"/>
              </w:rPr>
              <w:t>2877,03</w:t>
            </w:r>
          </w:p>
        </w:tc>
        <w:tc>
          <w:tcPr>
            <w:tcW w:type="dxa" w:w="2409"/>
          </w:tcPr>
          <w:p>
            <w:r>
              <w:rPr>
                <w:rFonts w:ascii="Times New Roman" w:hAnsi="Times New Roman" w:cs="Times New Roman"/>
                <w:b/>
                <w:i w:val="0"/>
                <w:sz w:val="20"/>
                <w:lang w:val="en-US"/>
              </w:rPr>
              <w:t>&lt; 10⁻³⁰⁰</w:t>
            </w:r>
          </w:p>
        </w:tc>
      </w:tr>
      <w:tr>
        <w:tc>
          <w:tcPr>
            <w:tcW w:type="dxa" w:w="2409"/>
          </w:tcPr>
          <w:p>
            <w:r>
              <w:rPr>
                <w:rFonts w:ascii="Times New Roman" w:hAnsi="Times New Roman" w:cs="Times New Roman"/>
                <w:b w:val="0"/>
                <w:i w:val="0"/>
                <w:sz w:val="20"/>
                <w:lang w:val="uk-UA"/>
              </w:rPr>
              <w:t>Повний простір (26 ознак)</w:t>
            </w:r>
          </w:p>
        </w:tc>
        <w:tc>
          <w:tcPr>
            <w:tcW w:type="dxa" w:w="2409"/>
          </w:tcPr>
          <w:p>
            <w:r>
              <w:rPr>
                <w:rFonts w:ascii="Times New Roman" w:hAnsi="Times New Roman" w:cs="Times New Roman"/>
                <w:b w:val="0"/>
                <w:i w:val="0"/>
                <w:sz w:val="20"/>
                <w:lang w:val="en-US"/>
              </w:rPr>
              <w:t>0,547</w:t>
            </w:r>
          </w:p>
        </w:tc>
        <w:tc>
          <w:tcPr>
            <w:tcW w:type="dxa" w:w="2409"/>
          </w:tcPr>
          <w:p>
            <w:r>
              <w:rPr>
                <w:rFonts w:ascii="Times New Roman" w:hAnsi="Times New Roman" w:cs="Times New Roman"/>
                <w:b w:val="0"/>
                <w:i w:val="0"/>
                <w:sz w:val="20"/>
                <w:lang w:val="en-US"/>
              </w:rPr>
              <w:t>352,95</w:t>
            </w:r>
          </w:p>
        </w:tc>
        <w:tc>
          <w:tcPr>
            <w:tcW w:type="dxa" w:w="2409"/>
          </w:tcPr>
          <w:p>
            <w:r>
              <w:rPr>
                <w:rFonts w:ascii="Times New Roman" w:hAnsi="Times New Roman" w:cs="Times New Roman"/>
                <w:b w:val="0"/>
                <w:i w:val="0"/>
                <w:sz w:val="20"/>
                <w:lang w:val="en-US"/>
              </w:rPr>
              <w:t>&lt; 10⁻³⁰⁰</w:t>
            </w:r>
          </w:p>
        </w:tc>
      </w:tr>
    </w:tbl>
    <w:p>
      <w:pPr>
        <w:spacing w:line="360" w:lineRule="auto" w:after="0" w:before="0"/>
        <w:ind w:firstLine="709"/>
        <w:jc w:val="both"/>
      </w:pPr>
      <w:r>
        <w:rPr>
          <w:rFonts w:ascii="Times New Roman" w:hAnsi="Times New Roman" w:cs="Times New Roman"/>
          <w:b w:val="0"/>
          <w:i w:val="0"/>
          <w:sz w:val="28"/>
          <w:lang w:val="uk-UA"/>
        </w:rPr>
        <w:t xml:space="preserve">Усі сімейства показують статистично значущу розділюваність класів. Однак при обсязі вибірки N = 11 127 сама лише статистична значущість (p-value) є малоінформативною — навіть мізерні відмінності досягають p &lt; 0,001; тому подальші висновки спираємо не на p-value, а на розмір ефекту (Wilks λ, silhouette, Δ PR-AUC). За цим критерієм абсолютний масштаб ефекту кардинально відрізняється: сімейства velocity (λ = 0,68) та identity (λ = 0,66) приносять розділення приблизно на порядок сильніше за сімейства temporal (λ = 0,99) та amount (λ = 0,98). Величина Wilks λ близька до 1 означає, що майже вся варіація всередині групи «накриває» варіацію між групами, тобто сімейства temporal та amount роз'єднують класи слабко, хоч і статистично значущо. Зауважимо також, що ідентифікаційне сімейство помітно корелює зі швидкісним (коефіцієнт Пірсона між першими головними компонентами сімейств r = 0,48; </w:t>
      </w:r>
      <w:r>
        <w:rPr>
          <w:rFonts w:ascii="Times New Roman" w:hAnsi="Times New Roman" w:cs="Times New Roman"/>
          <w:b w:val="0"/>
          <w:i w:val="0"/>
          <w:sz w:val="28"/>
          <w:lang w:val="en-US"/>
        </w:rPr>
        <w:t>outputs/tables/T6_family_corr.csv</w:t>
      </w:r>
      <w:r>
        <w:rPr>
          <w:rFonts w:ascii="Times New Roman" w:hAnsi="Times New Roman" w:cs="Times New Roman"/>
          <w:b w:val="0"/>
          <w:i w:val="0"/>
          <w:sz w:val="28"/>
          <w:lang w:val="uk-UA"/>
        </w:rPr>
        <w:t>), тобто його висока розділювальна сила частково відображає той самий швидкісний шаблон.</w:t>
      </w:r>
    </w:p>
    <w:p>
      <w:pPr>
        <w:spacing w:before="120" w:after="60" w:line="360" w:lineRule="auto"/>
      </w:pPr>
      <w:r>
        <w:rPr>
          <w:rFonts w:ascii="Times New Roman" w:hAnsi="Times New Roman" w:cs="Times New Roman"/>
          <w:b/>
          <w:i w:val="0"/>
          <w:sz w:val="28"/>
          <w:lang w:val="uk-UA"/>
        </w:rPr>
        <w:t>4.4. Silhouette: геометрична відокремленість</w:t>
      </w:r>
    </w:p>
    <w:p>
      <w:pPr>
        <w:spacing w:line="360" w:lineRule="auto" w:after="0" w:before="0"/>
        <w:ind w:firstLine="709"/>
        <w:jc w:val="both"/>
      </w:pPr>
      <w:r>
        <w:rPr>
          <w:rFonts w:ascii="Times New Roman" w:hAnsi="Times New Roman" w:cs="Times New Roman"/>
          <w:b w:val="0"/>
          <w:i w:val="0"/>
          <w:sz w:val="28"/>
          <w:lang w:val="uk-UA"/>
        </w:rPr>
        <w:t>Silhouette-індекс, обчислений для кожного сімейства ознак із групувальною змінною CBK, наведено у таблиці 5.</w:t>
      </w:r>
    </w:p>
    <w:p>
      <w:pPr>
        <w:spacing w:line="360" w:lineRule="auto" w:after="0" w:before="0"/>
        <w:jc w:val="both"/>
      </w:pPr>
      <w:r>
        <w:rPr>
          <w:rFonts w:ascii="Times New Roman" w:hAnsi="Times New Roman" w:cs="Times New Roman"/>
          <w:b/>
          <w:i w:val="0"/>
          <w:sz w:val="28"/>
          <w:lang w:val="uk-UA"/>
        </w:rPr>
        <w:t>Таблиця 5. Silhouette-індекс за сімействами ознак.</w:t>
      </w:r>
    </w:p>
    <w:tbl>
      <w:tblPr>
        <w:tblStyle w:val="TableGrid"/>
        <w:tblW w:type="auto" w:w="0"/>
        <w:tblLook w:firstColumn="1" w:firstRow="1" w:lastColumn="0" w:lastRow="0" w:noHBand="0" w:noVBand="1" w:val="04A0"/>
      </w:tblPr>
      <w:tblGrid>
        <w:gridCol w:w="4819"/>
        <w:gridCol w:w="4819"/>
      </w:tblGrid>
      <w:tr>
        <w:tc>
          <w:tcPr>
            <w:tcW w:type="dxa" w:w="4819"/>
          </w:tcPr>
          <w:p>
            <w:r>
              <w:rPr>
                <w:rFonts w:ascii="Times New Roman" w:hAnsi="Times New Roman" w:cs="Times New Roman"/>
                <w:b/>
                <w:i w:val="0"/>
                <w:sz w:val="20"/>
                <w:lang w:val="uk-UA"/>
              </w:rPr>
              <w:t>Сімейство</w:t>
            </w:r>
          </w:p>
        </w:tc>
        <w:tc>
          <w:tcPr>
            <w:tcW w:type="dxa" w:w="4819"/>
          </w:tcPr>
          <w:p>
            <w:r>
              <w:rPr>
                <w:rFonts w:ascii="Times New Roman" w:hAnsi="Times New Roman" w:cs="Times New Roman"/>
                <w:b/>
                <w:i w:val="0"/>
                <w:sz w:val="20"/>
                <w:lang w:val="en-US"/>
              </w:rPr>
              <w:t>Silhouette</w:t>
            </w:r>
          </w:p>
        </w:tc>
      </w:tr>
      <w:tr>
        <w:tc>
          <w:tcPr>
            <w:tcW w:type="dxa" w:w="4819"/>
          </w:tcPr>
          <w:p>
            <w:r>
              <w:rPr>
                <w:rFonts w:ascii="Times New Roman" w:hAnsi="Times New Roman" w:cs="Times New Roman"/>
                <w:b w:val="0"/>
                <w:i w:val="0"/>
                <w:sz w:val="20"/>
                <w:lang w:val="en-US"/>
              </w:rPr>
              <w:t>Temporal</w:t>
            </w:r>
          </w:p>
        </w:tc>
        <w:tc>
          <w:tcPr>
            <w:tcW w:type="dxa" w:w="4819"/>
          </w:tcPr>
          <w:p>
            <w:r>
              <w:rPr>
                <w:rFonts w:ascii="Times New Roman" w:hAnsi="Times New Roman" w:cs="Times New Roman"/>
                <w:b w:val="0"/>
                <w:i w:val="0"/>
                <w:sz w:val="20"/>
                <w:lang w:val="en-US"/>
              </w:rPr>
              <w:t>+0,064</w:t>
            </w:r>
          </w:p>
        </w:tc>
      </w:tr>
      <w:tr>
        <w:tc>
          <w:tcPr>
            <w:tcW w:type="dxa" w:w="4819"/>
          </w:tcPr>
          <w:p>
            <w:r>
              <w:rPr>
                <w:rFonts w:ascii="Times New Roman" w:hAnsi="Times New Roman" w:cs="Times New Roman"/>
                <w:b/>
                <w:i w:val="0"/>
                <w:sz w:val="20"/>
                <w:lang w:val="en-US"/>
              </w:rPr>
              <w:t>Velocity</w:t>
            </w:r>
          </w:p>
        </w:tc>
        <w:tc>
          <w:tcPr>
            <w:tcW w:type="dxa" w:w="4819"/>
          </w:tcPr>
          <w:p>
            <w:r>
              <w:rPr>
                <w:rFonts w:ascii="Times New Roman" w:hAnsi="Times New Roman" w:cs="Times New Roman"/>
                <w:b/>
                <w:i w:val="0"/>
                <w:sz w:val="20"/>
                <w:lang w:val="en-US"/>
              </w:rPr>
              <w:t>+0,809</w:t>
            </w:r>
          </w:p>
        </w:tc>
      </w:tr>
      <w:tr>
        <w:tc>
          <w:tcPr>
            <w:tcW w:type="dxa" w:w="4819"/>
          </w:tcPr>
          <w:p>
            <w:r>
              <w:rPr>
                <w:rFonts w:ascii="Times New Roman" w:hAnsi="Times New Roman" w:cs="Times New Roman"/>
                <w:b w:val="0"/>
                <w:i w:val="0"/>
                <w:sz w:val="20"/>
                <w:lang w:val="en-US"/>
              </w:rPr>
              <w:t>Amount</w:t>
            </w:r>
          </w:p>
        </w:tc>
        <w:tc>
          <w:tcPr>
            <w:tcW w:type="dxa" w:w="4819"/>
          </w:tcPr>
          <w:p>
            <w:r>
              <w:rPr>
                <w:rFonts w:ascii="Times New Roman" w:hAnsi="Times New Roman" w:cs="Times New Roman"/>
                <w:b w:val="0"/>
                <w:i w:val="0"/>
                <w:sz w:val="20"/>
                <w:lang w:val="en-US"/>
              </w:rPr>
              <w:t>+0,221</w:t>
            </w:r>
          </w:p>
        </w:tc>
      </w:tr>
      <w:tr>
        <w:tc>
          <w:tcPr>
            <w:tcW w:type="dxa" w:w="4819"/>
          </w:tcPr>
          <w:p>
            <w:r>
              <w:rPr>
                <w:rFonts w:ascii="Times New Roman" w:hAnsi="Times New Roman" w:cs="Times New Roman"/>
                <w:b w:val="0"/>
                <w:i w:val="0"/>
                <w:sz w:val="20"/>
                <w:lang w:val="en-US"/>
              </w:rPr>
              <w:t>Identity</w:t>
            </w:r>
          </w:p>
        </w:tc>
        <w:tc>
          <w:tcPr>
            <w:tcW w:type="dxa" w:w="4819"/>
          </w:tcPr>
          <w:p>
            <w:r>
              <w:rPr>
                <w:rFonts w:ascii="Times New Roman" w:hAnsi="Times New Roman" w:cs="Times New Roman"/>
                <w:b w:val="0"/>
                <w:i w:val="0"/>
                <w:sz w:val="20"/>
                <w:lang w:val="en-US"/>
              </w:rPr>
              <w:t>+0,645</w:t>
            </w:r>
          </w:p>
        </w:tc>
      </w:tr>
      <w:tr>
        <w:tc>
          <w:tcPr>
            <w:tcW w:type="dxa" w:w="4819"/>
          </w:tcPr>
          <w:p>
            <w:r>
              <w:rPr>
                <w:rFonts w:ascii="Times New Roman" w:hAnsi="Times New Roman" w:cs="Times New Roman"/>
                <w:b w:val="0"/>
                <w:i w:val="0"/>
                <w:sz w:val="20"/>
                <w:lang w:val="uk-UA"/>
              </w:rPr>
              <w:t>Повний простір</w:t>
            </w:r>
          </w:p>
        </w:tc>
        <w:tc>
          <w:tcPr>
            <w:tcW w:type="dxa" w:w="4819"/>
          </w:tcPr>
          <w:p>
            <w:r>
              <w:rPr>
                <w:rFonts w:ascii="Times New Roman" w:hAnsi="Times New Roman" w:cs="Times New Roman"/>
                <w:b w:val="0"/>
                <w:i w:val="0"/>
                <w:sz w:val="20"/>
                <w:lang w:val="en-US"/>
              </w:rPr>
              <w:t>+0,497</w:t>
            </w:r>
          </w:p>
        </w:tc>
      </w:tr>
    </w:tbl>
    <w:p>
      <w:pPr>
        <w:spacing w:line="360" w:lineRule="auto" w:after="0" w:before="0"/>
        <w:ind w:firstLine="709"/>
        <w:jc w:val="both"/>
      </w:pPr>
      <w:r>
        <w:rPr>
          <w:rFonts w:ascii="Times New Roman" w:hAnsi="Times New Roman" w:cs="Times New Roman"/>
          <w:b w:val="0"/>
          <w:i w:val="0"/>
          <w:sz w:val="28"/>
          <w:lang w:val="uk-UA"/>
        </w:rPr>
        <w:t>Контраст вражаючий: у просторі швидкісних ознак шахрайська та легітимна групи утворюють майже бездоганно відокремлені кластери (silhouette &gt; 0,8), тоді як у просторі часових ознак групи фактично перекриваються (silhouette ≈ 0,06). Індекс ідентифікаційного сімейства є штучно завищеним внаслідок того, що цільовокодовані ознаки несуть безпосередню інформацію про мітку; тому найбільш «чесною» метрикою природної поведінкової розділюваності є індекс швидкісного сімейства. Зведене порівняння обох оцінок розділювальної сили (silhouette та Wilks λ) за чотирма сімействами наведено на рис. 2.</w:t>
      </w:r>
    </w:p>
    <w:p>
      <w:pPr>
        <w:jc w:val="center"/>
      </w:pPr>
      <w:r>
        <w:drawing>
          <wp:inline xmlns:a="http://schemas.openxmlformats.org/drawingml/2006/main" xmlns:pic="http://schemas.openxmlformats.org/drawingml/2006/picture">
            <wp:extent cx="4500000" cy="1963636"/>
            <wp:docPr id="2" name="Picture 2"/>
            <wp:cNvGraphicFramePr>
              <a:graphicFrameLocks noChangeAspect="1"/>
            </wp:cNvGraphicFramePr>
            <a:graphic>
              <a:graphicData uri="http://schemas.openxmlformats.org/drawingml/2006/picture">
                <pic:pic>
                  <pic:nvPicPr>
                    <pic:cNvPr id="0" name="F2_family_separability.png"/>
                    <pic:cNvPicPr/>
                  </pic:nvPicPr>
                  <pic:blipFill>
                    <a:blip r:embed="rId10"/>
                    <a:stretch>
                      <a:fillRect/>
                    </a:stretch>
                  </pic:blipFill>
                  <pic:spPr>
                    <a:xfrm>
                      <a:off x="0" y="0"/>
                      <a:ext cx="4500000" cy="1963636"/>
                    </a:xfrm>
                    <a:prstGeom prst="rect"/>
                  </pic:spPr>
                </pic:pic>
              </a:graphicData>
            </a:graphic>
          </wp:inline>
        </w:drawing>
      </w:r>
    </w:p>
    <w:p>
      <w:pPr>
        <w:spacing w:line="360" w:lineRule="auto" w:after="0" w:before="0"/>
        <w:jc w:val="center"/>
      </w:pPr>
      <w:r>
        <w:rPr>
          <w:rFonts w:ascii="Times New Roman" w:hAnsi="Times New Roman" w:cs="Times New Roman"/>
          <w:b w:val="0"/>
          <w:i w:val="0"/>
          <w:sz w:val="24"/>
          <w:lang w:val="uk-UA"/>
        </w:rPr>
        <w:t>Рис. 2. Розділювальна сила за сімействами ознак: (а) silhouette-індекс (більше — краще); (б) Wilks' λ за MANOVA (менше — сильніше розділення). Швидкісне сімейство домінує; ідентифікаційне (позначене *) завищене через витік мітки.</w:t>
      </w:r>
    </w:p>
    <w:p>
      <w:pPr>
        <w:spacing w:before="120" w:after="60" w:line="360" w:lineRule="auto"/>
      </w:pPr>
      <w:r>
        <w:rPr>
          <w:rFonts w:ascii="Times New Roman" w:hAnsi="Times New Roman" w:cs="Times New Roman"/>
          <w:b/>
          <w:i w:val="0"/>
          <w:sz w:val="28"/>
          <w:lang w:val="uk-UA"/>
        </w:rPr>
        <w:t>4.5. Аналіз класифікаторів методом послідовного вилучення сімейств ознак</w:t>
      </w:r>
    </w:p>
    <w:p>
      <w:pPr>
        <w:spacing w:line="360" w:lineRule="auto" w:after="0" w:before="0"/>
        <w:ind w:firstLine="709"/>
        <w:jc w:val="both"/>
      </w:pPr>
      <w:r>
        <w:rPr>
          <w:rFonts w:ascii="Times New Roman" w:hAnsi="Times New Roman" w:cs="Times New Roman"/>
          <w:b w:val="0"/>
          <w:i w:val="0"/>
          <w:sz w:val="28"/>
          <w:lang w:val="uk-UA"/>
        </w:rPr>
        <w:t>Для кількісної перевірки впливу кожного сімейства ознак на якість класифікації проведено дослідження методом послідовного вилучення з часо-впорядкованим поділом навчальної та перевірочної вибірок (75/25). У прогнозних експериментах цільові кодування обчислювалися лише на навчальній частині, що виключає витік майбутнього. Результати для логістичної регресії наведено у таблиці 6.</w:t>
      </w:r>
    </w:p>
    <w:p>
      <w:pPr>
        <w:spacing w:line="360" w:lineRule="auto" w:after="0" w:before="0"/>
        <w:jc w:val="both"/>
      </w:pPr>
      <w:r>
        <w:rPr>
          <w:rFonts w:ascii="Times New Roman" w:hAnsi="Times New Roman" w:cs="Times New Roman"/>
          <w:b/>
          <w:i w:val="0"/>
          <w:sz w:val="28"/>
          <w:lang w:val="uk-UA"/>
        </w:rPr>
        <w:t>Таблиця 6. Послідовне вилучення сімейств ознак (LR, часо-впорядкований поділ 75/25).</w:t>
      </w:r>
      <w:r>
        <w:rPr>
          <w:rFonts w:ascii="Times New Roman" w:hAnsi="Times New Roman" w:cs="Times New Roman"/>
          <w:b w:val="0"/>
          <w:i w:val="0"/>
          <w:sz w:val="28"/>
          <w:lang w:val="uk-UA"/>
        </w:rPr>
        <w:t xml:space="preserve"> «Точність серед 1 % найбільших» — частка шахрайських серед 1 % транзакцій з найвищою оцінкою ризику (precision@top-1 %); «Повнота серед 5 % найбільших» — частка всього шахрайства, охопленого 5 % найбільш ризикових транзакцій (recall@top-5 %).</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Times New Roman" w:hAnsi="Times New Roman" w:cs="Times New Roman"/>
                <w:b/>
                <w:i w:val="0"/>
                <w:sz w:val="20"/>
                <w:lang w:val="uk-UA"/>
              </w:rPr>
              <w:t>Конфігурація</w:t>
            </w:r>
          </w:p>
        </w:tc>
        <w:tc>
          <w:tcPr>
            <w:tcW w:type="dxa" w:w="1928"/>
          </w:tcPr>
          <w:p>
            <w:r>
              <w:rPr>
                <w:rFonts w:ascii="Times New Roman" w:hAnsi="Times New Roman" w:cs="Times New Roman"/>
                <w:b/>
                <w:i w:val="0"/>
                <w:sz w:val="20"/>
                <w:lang w:val="en-US"/>
              </w:rPr>
              <w:t>ROC-AUC</w:t>
            </w:r>
          </w:p>
        </w:tc>
        <w:tc>
          <w:tcPr>
            <w:tcW w:type="dxa" w:w="1928"/>
          </w:tcPr>
          <w:p>
            <w:r>
              <w:rPr>
                <w:rFonts w:ascii="Times New Roman" w:hAnsi="Times New Roman" w:cs="Times New Roman"/>
                <w:b/>
                <w:i w:val="0"/>
                <w:sz w:val="20"/>
                <w:lang w:val="en-US"/>
              </w:rPr>
              <w:t>PR-AUC</w:t>
            </w:r>
          </w:p>
        </w:tc>
        <w:tc>
          <w:tcPr>
            <w:tcW w:type="dxa" w:w="1928"/>
          </w:tcPr>
          <w:p>
            <w:r>
              <w:rPr>
                <w:rFonts w:ascii="Times New Roman" w:hAnsi="Times New Roman" w:cs="Times New Roman"/>
                <w:b/>
                <w:i w:val="0"/>
                <w:sz w:val="20"/>
                <w:lang w:val="uk-UA"/>
              </w:rPr>
              <w:t>Точність серед 1 % найбільших</w:t>
            </w:r>
          </w:p>
        </w:tc>
        <w:tc>
          <w:tcPr>
            <w:tcW w:type="dxa" w:w="1928"/>
          </w:tcPr>
          <w:p>
            <w:r>
              <w:rPr>
                <w:rFonts w:ascii="Times New Roman" w:hAnsi="Times New Roman" w:cs="Times New Roman"/>
                <w:b/>
                <w:i w:val="0"/>
                <w:sz w:val="20"/>
                <w:lang w:val="uk-UA"/>
              </w:rPr>
              <w:t>Повнота серед 5 % найбільших</w:t>
            </w:r>
          </w:p>
        </w:tc>
      </w:tr>
      <w:tr>
        <w:tc>
          <w:tcPr>
            <w:tcW w:type="dxa" w:w="1928"/>
          </w:tcPr>
          <w:p>
            <w:r>
              <w:rPr>
                <w:rFonts w:ascii="Times New Roman" w:hAnsi="Times New Roman" w:cs="Times New Roman"/>
                <w:b w:val="0"/>
                <w:i w:val="0"/>
                <w:sz w:val="20"/>
                <w:lang w:val="uk-UA"/>
              </w:rPr>
              <w:t>Повний простір (26 ознак)</w:t>
            </w:r>
          </w:p>
        </w:tc>
        <w:tc>
          <w:tcPr>
            <w:tcW w:type="dxa" w:w="1928"/>
          </w:tcPr>
          <w:p>
            <w:r>
              <w:rPr>
                <w:rFonts w:ascii="Times New Roman" w:hAnsi="Times New Roman" w:cs="Times New Roman"/>
                <w:b w:val="0"/>
                <w:i w:val="0"/>
                <w:sz w:val="20"/>
                <w:lang w:val="en-US"/>
              </w:rPr>
              <w:t>0,875</w:t>
            </w:r>
          </w:p>
        </w:tc>
        <w:tc>
          <w:tcPr>
            <w:tcW w:type="dxa" w:w="1928"/>
          </w:tcPr>
          <w:p>
            <w:r>
              <w:rPr>
                <w:rFonts w:ascii="Times New Roman" w:hAnsi="Times New Roman" w:cs="Times New Roman"/>
                <w:b w:val="0"/>
                <w:i w:val="0"/>
                <w:sz w:val="20"/>
                <w:lang w:val="en-US"/>
              </w:rPr>
              <w:t>0,547</w:t>
            </w:r>
          </w:p>
        </w:tc>
        <w:tc>
          <w:tcPr>
            <w:tcW w:type="dxa" w:w="1928"/>
          </w:tcPr>
          <w:p>
            <w:r>
              <w:rPr>
                <w:rFonts w:ascii="Times New Roman" w:hAnsi="Times New Roman" w:cs="Times New Roman"/>
                <w:b w:val="0"/>
                <w:i w:val="0"/>
                <w:sz w:val="20"/>
                <w:lang w:val="en-US"/>
              </w:rPr>
              <w:t>0,926</w:t>
            </w:r>
          </w:p>
        </w:tc>
        <w:tc>
          <w:tcPr>
            <w:tcW w:type="dxa" w:w="1928"/>
          </w:tcPr>
          <w:p>
            <w:r>
              <w:rPr>
                <w:rFonts w:ascii="Times New Roman" w:hAnsi="Times New Roman" w:cs="Times New Roman"/>
                <w:b w:val="0"/>
                <w:i w:val="0"/>
                <w:sz w:val="20"/>
                <w:lang w:val="en-US"/>
              </w:rPr>
              <w:t>0,454</w:t>
            </w:r>
          </w:p>
        </w:tc>
      </w:tr>
      <w:tr>
        <w:tc>
          <w:tcPr>
            <w:tcW w:type="dxa" w:w="1928"/>
          </w:tcPr>
          <w:p>
            <w:r>
              <w:rPr>
                <w:rFonts w:ascii="Times New Roman" w:hAnsi="Times New Roman" w:cs="Times New Roman"/>
                <w:b w:val="0"/>
                <w:i w:val="0"/>
                <w:sz w:val="20"/>
                <w:lang w:val="uk-UA"/>
              </w:rPr>
              <w:t>Без часових (19)</w:t>
            </w:r>
          </w:p>
        </w:tc>
        <w:tc>
          <w:tcPr>
            <w:tcW w:type="dxa" w:w="1928"/>
          </w:tcPr>
          <w:p>
            <w:r>
              <w:rPr>
                <w:rFonts w:ascii="Times New Roman" w:hAnsi="Times New Roman" w:cs="Times New Roman"/>
                <w:b w:val="0"/>
                <w:i w:val="0"/>
                <w:sz w:val="20"/>
                <w:lang w:val="en-US"/>
              </w:rPr>
              <w:t>0,877</w:t>
            </w:r>
          </w:p>
        </w:tc>
        <w:tc>
          <w:tcPr>
            <w:tcW w:type="dxa" w:w="1928"/>
          </w:tcPr>
          <w:p>
            <w:r>
              <w:rPr>
                <w:rFonts w:ascii="Times New Roman" w:hAnsi="Times New Roman" w:cs="Times New Roman"/>
                <w:b w:val="0"/>
                <w:i w:val="0"/>
                <w:sz w:val="20"/>
                <w:lang w:val="en-US"/>
              </w:rPr>
              <w:t>0,531</w:t>
            </w:r>
          </w:p>
        </w:tc>
        <w:tc>
          <w:tcPr>
            <w:tcW w:type="dxa" w:w="1928"/>
          </w:tcPr>
          <w:p>
            <w:r>
              <w:rPr>
                <w:rFonts w:ascii="Times New Roman" w:hAnsi="Times New Roman" w:cs="Times New Roman"/>
                <w:b w:val="0"/>
                <w:i w:val="0"/>
                <w:sz w:val="20"/>
                <w:lang w:val="en-US"/>
              </w:rPr>
              <w:t>0,926</w:t>
            </w:r>
          </w:p>
        </w:tc>
        <w:tc>
          <w:tcPr>
            <w:tcW w:type="dxa" w:w="1928"/>
          </w:tcPr>
          <w:p>
            <w:r>
              <w:rPr>
                <w:rFonts w:ascii="Times New Roman" w:hAnsi="Times New Roman" w:cs="Times New Roman"/>
                <w:b w:val="0"/>
                <w:i w:val="0"/>
                <w:sz w:val="20"/>
                <w:lang w:val="en-US"/>
              </w:rPr>
              <w:t>0,443</w:t>
            </w:r>
          </w:p>
        </w:tc>
      </w:tr>
      <w:tr>
        <w:tc>
          <w:tcPr>
            <w:tcW w:type="dxa" w:w="1928"/>
          </w:tcPr>
          <w:p>
            <w:r>
              <w:rPr>
                <w:rFonts w:ascii="Times New Roman" w:hAnsi="Times New Roman" w:cs="Times New Roman"/>
                <w:b/>
                <w:i w:val="0"/>
                <w:sz w:val="20"/>
                <w:lang w:val="uk-UA"/>
              </w:rPr>
              <w:t>Без швидкісних (16)</w:t>
            </w:r>
          </w:p>
        </w:tc>
        <w:tc>
          <w:tcPr>
            <w:tcW w:type="dxa" w:w="1928"/>
          </w:tcPr>
          <w:p>
            <w:r>
              <w:rPr>
                <w:rFonts w:ascii="Times New Roman" w:hAnsi="Times New Roman" w:cs="Times New Roman"/>
                <w:b/>
                <w:i w:val="0"/>
                <w:sz w:val="20"/>
                <w:lang w:val="en-US"/>
              </w:rPr>
              <w:t>0,738</w:t>
            </w:r>
          </w:p>
        </w:tc>
        <w:tc>
          <w:tcPr>
            <w:tcW w:type="dxa" w:w="1928"/>
          </w:tcPr>
          <w:p>
            <w:r>
              <w:rPr>
                <w:rFonts w:ascii="Times New Roman" w:hAnsi="Times New Roman" w:cs="Times New Roman"/>
                <w:b/>
                <w:i w:val="0"/>
                <w:sz w:val="20"/>
                <w:lang w:val="en-US"/>
              </w:rPr>
              <w:t>0,212</w:t>
            </w:r>
          </w:p>
        </w:tc>
        <w:tc>
          <w:tcPr>
            <w:tcW w:type="dxa" w:w="1928"/>
          </w:tcPr>
          <w:p>
            <w:r>
              <w:rPr>
                <w:rFonts w:ascii="Times New Roman" w:hAnsi="Times New Roman" w:cs="Times New Roman"/>
                <w:b w:val="0"/>
                <w:i w:val="0"/>
                <w:sz w:val="20"/>
                <w:lang w:val="en-US"/>
              </w:rPr>
              <w:t>0,333</w:t>
            </w:r>
          </w:p>
        </w:tc>
        <w:tc>
          <w:tcPr>
            <w:tcW w:type="dxa" w:w="1928"/>
          </w:tcPr>
          <w:p>
            <w:r>
              <w:rPr>
                <w:rFonts w:ascii="Times New Roman" w:hAnsi="Times New Roman" w:cs="Times New Roman"/>
                <w:b w:val="0"/>
                <w:i w:val="0"/>
                <w:sz w:val="20"/>
                <w:lang w:val="en-US"/>
              </w:rPr>
              <w:t>0,241</w:t>
            </w:r>
          </w:p>
        </w:tc>
      </w:tr>
      <w:tr>
        <w:tc>
          <w:tcPr>
            <w:tcW w:type="dxa" w:w="1928"/>
          </w:tcPr>
          <w:p>
            <w:r>
              <w:rPr>
                <w:rFonts w:ascii="Times New Roman" w:hAnsi="Times New Roman" w:cs="Times New Roman"/>
                <w:b w:val="0"/>
                <w:i w:val="0"/>
                <w:sz w:val="20"/>
                <w:lang w:val="uk-UA"/>
              </w:rPr>
              <w:t>Без структурних за сумою (19)</w:t>
            </w:r>
          </w:p>
        </w:tc>
        <w:tc>
          <w:tcPr>
            <w:tcW w:type="dxa" w:w="1928"/>
          </w:tcPr>
          <w:p>
            <w:r>
              <w:rPr>
                <w:rFonts w:ascii="Times New Roman" w:hAnsi="Times New Roman" w:cs="Times New Roman"/>
                <w:b w:val="0"/>
                <w:i w:val="0"/>
                <w:sz w:val="20"/>
                <w:lang w:val="en-US"/>
              </w:rPr>
              <w:t>0,874</w:t>
            </w:r>
          </w:p>
        </w:tc>
        <w:tc>
          <w:tcPr>
            <w:tcW w:type="dxa" w:w="1928"/>
          </w:tcPr>
          <w:p>
            <w:r>
              <w:rPr>
                <w:rFonts w:ascii="Times New Roman" w:hAnsi="Times New Roman" w:cs="Times New Roman"/>
                <w:b w:val="0"/>
                <w:i w:val="0"/>
                <w:sz w:val="20"/>
                <w:lang w:val="en-US"/>
              </w:rPr>
              <w:t>0,515</w:t>
            </w:r>
          </w:p>
        </w:tc>
        <w:tc>
          <w:tcPr>
            <w:tcW w:type="dxa" w:w="1928"/>
          </w:tcPr>
          <w:p>
            <w:r>
              <w:rPr>
                <w:rFonts w:ascii="Times New Roman" w:hAnsi="Times New Roman" w:cs="Times New Roman"/>
                <w:b w:val="0"/>
                <w:i w:val="0"/>
                <w:sz w:val="20"/>
                <w:lang w:val="en-US"/>
              </w:rPr>
              <w:t>0,889</w:t>
            </w:r>
          </w:p>
        </w:tc>
        <w:tc>
          <w:tcPr>
            <w:tcW w:type="dxa" w:w="1928"/>
          </w:tcPr>
          <w:p>
            <w:r>
              <w:rPr>
                <w:rFonts w:ascii="Times New Roman" w:hAnsi="Times New Roman" w:cs="Times New Roman"/>
                <w:b w:val="0"/>
                <w:i w:val="0"/>
                <w:sz w:val="20"/>
                <w:lang w:val="en-US"/>
              </w:rPr>
              <w:t>0,431</w:t>
            </w:r>
          </w:p>
        </w:tc>
      </w:tr>
      <w:tr>
        <w:tc>
          <w:tcPr>
            <w:tcW w:type="dxa" w:w="1928"/>
          </w:tcPr>
          <w:p>
            <w:r>
              <w:rPr>
                <w:rFonts w:ascii="Times New Roman" w:hAnsi="Times New Roman" w:cs="Times New Roman"/>
                <w:b w:val="0"/>
                <w:i w:val="0"/>
                <w:sz w:val="20"/>
                <w:lang w:val="uk-UA"/>
              </w:rPr>
              <w:t>Без ідентифікаційних (24)</w:t>
            </w:r>
          </w:p>
        </w:tc>
        <w:tc>
          <w:tcPr>
            <w:tcW w:type="dxa" w:w="1928"/>
          </w:tcPr>
          <w:p>
            <w:r>
              <w:rPr>
                <w:rFonts w:ascii="Times New Roman" w:hAnsi="Times New Roman" w:cs="Times New Roman"/>
                <w:b w:val="0"/>
                <w:i w:val="0"/>
                <w:sz w:val="20"/>
                <w:lang w:val="en-US"/>
              </w:rPr>
              <w:t>0,862</w:t>
            </w:r>
          </w:p>
        </w:tc>
        <w:tc>
          <w:tcPr>
            <w:tcW w:type="dxa" w:w="1928"/>
          </w:tcPr>
          <w:p>
            <w:r>
              <w:rPr>
                <w:rFonts w:ascii="Times New Roman" w:hAnsi="Times New Roman" w:cs="Times New Roman"/>
                <w:b w:val="0"/>
                <w:i w:val="0"/>
                <w:sz w:val="20"/>
                <w:lang w:val="en-US"/>
              </w:rPr>
              <w:t>0,562</w:t>
            </w:r>
          </w:p>
        </w:tc>
        <w:tc>
          <w:tcPr>
            <w:tcW w:type="dxa" w:w="1928"/>
          </w:tcPr>
          <w:p>
            <w:r>
              <w:rPr>
                <w:rFonts w:ascii="Times New Roman" w:hAnsi="Times New Roman" w:cs="Times New Roman"/>
                <w:b w:val="0"/>
                <w:i w:val="0"/>
                <w:sz w:val="20"/>
                <w:lang w:val="en-US"/>
              </w:rPr>
              <w:t>0,926</w:t>
            </w:r>
          </w:p>
        </w:tc>
        <w:tc>
          <w:tcPr>
            <w:tcW w:type="dxa" w:w="1928"/>
          </w:tcPr>
          <w:p>
            <w:r>
              <w:rPr>
                <w:rFonts w:ascii="Times New Roman" w:hAnsi="Times New Roman" w:cs="Times New Roman"/>
                <w:b w:val="0"/>
                <w:i w:val="0"/>
                <w:sz w:val="20"/>
                <w:lang w:val="en-US"/>
              </w:rPr>
              <w:t>0,506</w:t>
            </w:r>
          </w:p>
        </w:tc>
      </w:tr>
      <w:tr>
        <w:tc>
          <w:tcPr>
            <w:tcW w:type="dxa" w:w="1928"/>
          </w:tcPr>
          <w:p>
            <w:r>
              <w:rPr>
                <w:rFonts w:ascii="Times New Roman" w:hAnsi="Times New Roman" w:cs="Times New Roman"/>
                <w:b w:val="0"/>
                <w:i w:val="0"/>
                <w:sz w:val="20"/>
                <w:lang w:val="uk-UA"/>
              </w:rPr>
              <w:t>Лише часові (7)</w:t>
            </w:r>
          </w:p>
        </w:tc>
        <w:tc>
          <w:tcPr>
            <w:tcW w:type="dxa" w:w="1928"/>
          </w:tcPr>
          <w:p>
            <w:r>
              <w:rPr>
                <w:rFonts w:ascii="Times New Roman" w:hAnsi="Times New Roman" w:cs="Times New Roman"/>
                <w:b w:val="0"/>
                <w:i w:val="0"/>
                <w:sz w:val="20"/>
                <w:lang w:val="en-US"/>
              </w:rPr>
              <w:t>0,510</w:t>
            </w:r>
          </w:p>
        </w:tc>
        <w:tc>
          <w:tcPr>
            <w:tcW w:type="dxa" w:w="1928"/>
          </w:tcPr>
          <w:p>
            <w:r>
              <w:rPr>
                <w:rFonts w:ascii="Times New Roman" w:hAnsi="Times New Roman" w:cs="Times New Roman"/>
                <w:b w:val="0"/>
                <w:i w:val="0"/>
                <w:sz w:val="20"/>
                <w:lang w:val="en-US"/>
              </w:rPr>
              <w:t>0,073</w:t>
            </w:r>
          </w:p>
        </w:tc>
        <w:tc>
          <w:tcPr>
            <w:tcW w:type="dxa" w:w="1928"/>
          </w:tcPr>
          <w:p>
            <w:r>
              <w:rPr>
                <w:rFonts w:ascii="Times New Roman" w:hAnsi="Times New Roman" w:cs="Times New Roman"/>
                <w:b w:val="0"/>
                <w:i w:val="0"/>
                <w:sz w:val="20"/>
                <w:lang w:val="en-US"/>
              </w:rPr>
              <w:t>0,000</w:t>
            </w:r>
          </w:p>
        </w:tc>
        <w:tc>
          <w:tcPr>
            <w:tcW w:type="dxa" w:w="1928"/>
          </w:tcPr>
          <w:p>
            <w:r>
              <w:rPr>
                <w:rFonts w:ascii="Times New Roman" w:hAnsi="Times New Roman" w:cs="Times New Roman"/>
                <w:b w:val="0"/>
                <w:i w:val="0"/>
                <w:sz w:val="20"/>
                <w:lang w:val="en-US"/>
              </w:rPr>
              <w:t>0,029</w:t>
            </w:r>
          </w:p>
        </w:tc>
      </w:tr>
      <w:tr>
        <w:tc>
          <w:tcPr>
            <w:tcW w:type="dxa" w:w="1928"/>
          </w:tcPr>
          <w:p>
            <w:r>
              <w:rPr>
                <w:rFonts w:ascii="Times New Roman" w:hAnsi="Times New Roman" w:cs="Times New Roman"/>
                <w:b/>
                <w:i w:val="0"/>
                <w:sz w:val="20"/>
                <w:lang w:val="uk-UA"/>
              </w:rPr>
              <w:t>Лише швидкісні (10)</w:t>
            </w:r>
          </w:p>
        </w:tc>
        <w:tc>
          <w:tcPr>
            <w:tcW w:type="dxa" w:w="1928"/>
          </w:tcPr>
          <w:p>
            <w:r>
              <w:rPr>
                <w:rFonts w:ascii="Times New Roman" w:hAnsi="Times New Roman" w:cs="Times New Roman"/>
                <w:b/>
                <w:i w:val="0"/>
                <w:sz w:val="20"/>
                <w:lang w:val="en-US"/>
              </w:rPr>
              <w:t>0,845</w:t>
            </w:r>
          </w:p>
        </w:tc>
        <w:tc>
          <w:tcPr>
            <w:tcW w:type="dxa" w:w="1928"/>
          </w:tcPr>
          <w:p>
            <w:r>
              <w:rPr>
                <w:rFonts w:ascii="Times New Roman" w:hAnsi="Times New Roman" w:cs="Times New Roman"/>
                <w:b/>
                <w:i w:val="0"/>
                <w:sz w:val="20"/>
                <w:lang w:val="en-US"/>
              </w:rPr>
              <w:t>0,551</w:t>
            </w:r>
          </w:p>
        </w:tc>
        <w:tc>
          <w:tcPr>
            <w:tcW w:type="dxa" w:w="1928"/>
          </w:tcPr>
          <w:p>
            <w:r>
              <w:rPr>
                <w:rFonts w:ascii="Times New Roman" w:hAnsi="Times New Roman" w:cs="Times New Roman"/>
                <w:b/>
                <w:i w:val="0"/>
                <w:sz w:val="20"/>
                <w:lang w:val="en-US"/>
              </w:rPr>
              <w:t>0,926</w:t>
            </w:r>
          </w:p>
        </w:tc>
        <w:tc>
          <w:tcPr>
            <w:tcW w:type="dxa" w:w="1928"/>
          </w:tcPr>
          <w:p>
            <w:r>
              <w:rPr>
                <w:rFonts w:ascii="Times New Roman" w:hAnsi="Times New Roman" w:cs="Times New Roman"/>
                <w:b/>
                <w:i w:val="0"/>
                <w:sz w:val="20"/>
                <w:lang w:val="en-US"/>
              </w:rPr>
              <w:t>0,511</w:t>
            </w:r>
          </w:p>
        </w:tc>
      </w:tr>
      <w:tr>
        <w:tc>
          <w:tcPr>
            <w:tcW w:type="dxa" w:w="1928"/>
          </w:tcPr>
          <w:p>
            <w:r>
              <w:rPr>
                <w:rFonts w:ascii="Times New Roman" w:hAnsi="Times New Roman" w:cs="Times New Roman"/>
                <w:b w:val="0"/>
                <w:i w:val="0"/>
                <w:sz w:val="20"/>
                <w:lang w:val="uk-UA"/>
              </w:rPr>
              <w:t>Лише структурні за сумою (7)</w:t>
            </w:r>
          </w:p>
        </w:tc>
        <w:tc>
          <w:tcPr>
            <w:tcW w:type="dxa" w:w="1928"/>
          </w:tcPr>
          <w:p>
            <w:r>
              <w:rPr>
                <w:rFonts w:ascii="Times New Roman" w:hAnsi="Times New Roman" w:cs="Times New Roman"/>
                <w:b w:val="0"/>
                <w:i w:val="0"/>
                <w:sz w:val="20"/>
                <w:lang w:val="en-US"/>
              </w:rPr>
              <w:t>0,602</w:t>
            </w:r>
          </w:p>
        </w:tc>
        <w:tc>
          <w:tcPr>
            <w:tcW w:type="dxa" w:w="1928"/>
          </w:tcPr>
          <w:p>
            <w:r>
              <w:rPr>
                <w:rFonts w:ascii="Times New Roman" w:hAnsi="Times New Roman" w:cs="Times New Roman"/>
                <w:b w:val="0"/>
                <w:i w:val="0"/>
                <w:sz w:val="20"/>
                <w:lang w:val="en-US"/>
              </w:rPr>
              <w:t>0,102</w:t>
            </w:r>
          </w:p>
        </w:tc>
        <w:tc>
          <w:tcPr>
            <w:tcW w:type="dxa" w:w="1928"/>
          </w:tcPr>
          <w:p>
            <w:r>
              <w:rPr>
                <w:rFonts w:ascii="Times New Roman" w:hAnsi="Times New Roman" w:cs="Times New Roman"/>
                <w:b w:val="0"/>
                <w:i w:val="0"/>
                <w:sz w:val="20"/>
                <w:lang w:val="en-US"/>
              </w:rPr>
              <w:t>0,000</w:t>
            </w:r>
          </w:p>
        </w:tc>
        <w:tc>
          <w:tcPr>
            <w:tcW w:type="dxa" w:w="1928"/>
          </w:tcPr>
          <w:p>
            <w:r>
              <w:rPr>
                <w:rFonts w:ascii="Times New Roman" w:hAnsi="Times New Roman" w:cs="Times New Roman"/>
                <w:b w:val="0"/>
                <w:i w:val="0"/>
                <w:sz w:val="20"/>
                <w:lang w:val="en-US"/>
              </w:rPr>
              <w:t>0,046</w:t>
            </w:r>
          </w:p>
        </w:tc>
      </w:tr>
      <w:tr>
        <w:tc>
          <w:tcPr>
            <w:tcW w:type="dxa" w:w="1928"/>
          </w:tcPr>
          <w:p>
            <w:r>
              <w:rPr>
                <w:rFonts w:ascii="Times New Roman" w:hAnsi="Times New Roman" w:cs="Times New Roman"/>
                <w:b w:val="0"/>
                <w:i w:val="0"/>
                <w:sz w:val="20"/>
                <w:lang w:val="uk-UA"/>
              </w:rPr>
              <w:t>Лише ідентифікаційні (2)</w:t>
            </w:r>
          </w:p>
        </w:tc>
        <w:tc>
          <w:tcPr>
            <w:tcW w:type="dxa" w:w="1928"/>
          </w:tcPr>
          <w:p>
            <w:r>
              <w:rPr>
                <w:rFonts w:ascii="Times New Roman" w:hAnsi="Times New Roman" w:cs="Times New Roman"/>
                <w:b w:val="0"/>
                <w:i w:val="0"/>
                <w:sz w:val="20"/>
                <w:lang w:val="en-US"/>
              </w:rPr>
              <w:t>0,757</w:t>
            </w:r>
          </w:p>
        </w:tc>
        <w:tc>
          <w:tcPr>
            <w:tcW w:type="dxa" w:w="1928"/>
          </w:tcPr>
          <w:p>
            <w:r>
              <w:rPr>
                <w:rFonts w:ascii="Times New Roman" w:hAnsi="Times New Roman" w:cs="Times New Roman"/>
                <w:b w:val="0"/>
                <w:i w:val="0"/>
                <w:sz w:val="20"/>
                <w:lang w:val="en-US"/>
              </w:rPr>
              <w:t>0,210</w:t>
            </w:r>
          </w:p>
        </w:tc>
        <w:tc>
          <w:tcPr>
            <w:tcW w:type="dxa" w:w="1928"/>
          </w:tcPr>
          <w:p>
            <w:r>
              <w:rPr>
                <w:rFonts w:ascii="Times New Roman" w:hAnsi="Times New Roman" w:cs="Times New Roman"/>
                <w:b w:val="0"/>
                <w:i w:val="0"/>
                <w:sz w:val="20"/>
                <w:lang w:val="en-US"/>
              </w:rPr>
              <w:t>0,296</w:t>
            </w:r>
          </w:p>
        </w:tc>
        <w:tc>
          <w:tcPr>
            <w:tcW w:type="dxa" w:w="1928"/>
          </w:tcPr>
          <w:p>
            <w:r>
              <w:rPr>
                <w:rFonts w:ascii="Times New Roman" w:hAnsi="Times New Roman" w:cs="Times New Roman"/>
                <w:b w:val="0"/>
                <w:i w:val="0"/>
                <w:sz w:val="20"/>
                <w:lang w:val="en-US"/>
              </w:rPr>
              <w:t>0,236</w:t>
            </w:r>
          </w:p>
        </w:tc>
      </w:tr>
    </w:tbl>
    <w:p>
      <w:pPr>
        <w:spacing w:line="360" w:lineRule="auto" w:after="0" w:before="0"/>
        <w:ind w:firstLine="709"/>
        <w:jc w:val="both"/>
      </w:pPr>
      <w:r>
        <w:rPr>
          <w:rFonts w:ascii="Times New Roman" w:hAnsi="Times New Roman" w:cs="Times New Roman"/>
          <w:b w:val="0"/>
          <w:i w:val="0"/>
          <w:sz w:val="28"/>
          <w:lang w:val="uk-UA"/>
        </w:rPr>
        <w:t>Три результати заслуговують особливої уваги. По-перше, видалення швидкісного сімейства призводить до катастрофічного падіння якості: PR-AUC знижується з 0,547 до 0,212 (−61 %), ROC-AUC — з 0,875 до 0,738; жодне інше сімейство при видаленні не дає падіння більш ніж на 6 %. По-друге, швидкісне сімейство само собою дає якість, практично не нижчу за повний простір (PR-AUC 0,551 ≈ 0,547; точність серед 1 % найбільших = 0,926; повнота серед 5 % найбільших = 0,511 &gt; 0,454) — тобто решта 16 ознак не додають самостійного сигналу поверх швидкісного сімейства. По-третє, лише часові ознаки дають якість, близьку до випадкової (PR-AUC 0,073 при базовій частці 0,062), що суперечить поширеному галузевому переконанню про значущість «нічних годин» і «вихідних» як самостійних індикаторів фроду.</w:t>
      </w:r>
    </w:p>
    <w:p>
      <w:pPr>
        <w:spacing w:line="360" w:lineRule="auto" w:after="0" w:before="0"/>
        <w:ind w:firstLine="709"/>
        <w:jc w:val="both"/>
      </w:pPr>
      <w:r>
        <w:rPr>
          <w:rFonts w:ascii="Times New Roman" w:hAnsi="Times New Roman" w:cs="Times New Roman"/>
          <w:b w:val="0"/>
          <w:i w:val="0"/>
          <w:sz w:val="28"/>
          <w:lang w:val="uk-UA"/>
        </w:rPr>
        <w:t xml:space="preserve">Оскільки оцінки таблиці 6 отримано на одному часо-впорядкованому поділі, ми оцінили їхній розкид методом bootstrap (1000 ресемплів перевірочної вибірки; </w:t>
      </w:r>
      <w:r>
        <w:rPr>
          <w:rFonts w:ascii="Times New Roman" w:hAnsi="Times New Roman" w:cs="Times New Roman"/>
          <w:b w:val="0"/>
          <w:i w:val="0"/>
          <w:sz w:val="28"/>
          <w:lang w:val="en-US"/>
        </w:rPr>
        <w:t>outputs/tables/T10_ablation_ci.csv</w:t>
      </w:r>
      <w:r>
        <w:rPr>
          <w:rFonts w:ascii="Times New Roman" w:hAnsi="Times New Roman" w:cs="Times New Roman"/>
          <w:b w:val="0"/>
          <w:i w:val="0"/>
          <w:sz w:val="28"/>
          <w:lang w:val="uk-UA"/>
        </w:rPr>
        <w:t xml:space="preserve">). 95 % довірчі інтервали PR-AUC підтверджують усі три висновки як невипадкові: повний простір — 0,547 [0,478; 0,616], лише швидкісні — 0,551 [0,474; 0,630] (інтервали майже повністю збігаються, тобто різниця статистично незначуща), без швидкісних — 0,212 [0,165; 0,276] (інтервал не перетинається з повним простором), лише часові — 0,073 [0,060; 0,090]. Результати на градієнтному бустингу (HGB; повна таблиця в </w:t>
      </w:r>
      <w:r>
        <w:rPr>
          <w:rFonts w:ascii="Times New Roman" w:hAnsi="Times New Roman" w:cs="Times New Roman"/>
          <w:b w:val="0"/>
          <w:i w:val="0"/>
          <w:sz w:val="28"/>
          <w:lang w:val="en-US"/>
        </w:rPr>
        <w:t>outputs/tables/T7_ablation.csv</w:t>
      </w:r>
      <w:r>
        <w:rPr>
          <w:rFonts w:ascii="Times New Roman" w:hAnsi="Times New Roman" w:cs="Times New Roman"/>
          <w:b w:val="0"/>
          <w:i w:val="0"/>
          <w:sz w:val="28"/>
          <w:lang w:val="uk-UA"/>
        </w:rPr>
        <w:t>) якісно ідентичні: видалення швидкісного сімейства дає найбільше падіння (PR-AUC 0,422 → 0,178), а швидкісне сімейство самостійно зберігає майже всю якість (0,535).</w:t>
      </w:r>
    </w:p>
    <w:p>
      <w:pPr>
        <w:spacing w:before="120" w:after="60" w:line="360" w:lineRule="auto"/>
      </w:pPr>
      <w:r>
        <w:rPr>
          <w:rFonts w:ascii="Times New Roman" w:hAnsi="Times New Roman" w:cs="Times New Roman"/>
          <w:b/>
          <w:i w:val="0"/>
          <w:sz w:val="28"/>
          <w:lang w:val="en-US"/>
        </w:rPr>
        <w:t>4.6. Permutation importance</w:t>
      </w:r>
    </w:p>
    <w:p>
      <w:pPr>
        <w:spacing w:line="360" w:lineRule="auto" w:after="0" w:before="0"/>
        <w:ind w:firstLine="709"/>
        <w:jc w:val="both"/>
      </w:pPr>
      <w:r>
        <w:rPr>
          <w:rFonts w:ascii="Times New Roman" w:hAnsi="Times New Roman" w:cs="Times New Roman"/>
          <w:b w:val="0"/>
          <w:i w:val="0"/>
          <w:sz w:val="28"/>
          <w:lang w:val="uk-UA"/>
        </w:rPr>
        <w:t xml:space="preserve">Permutation importance за метрикою PR-AUC (HGB, 5 повторень, рис. 3) показує чіткий порядок внесків окремих ознак: </w:t>
      </w:r>
      <w:r>
        <w:rPr>
          <w:rFonts w:ascii="Times New Roman" w:hAnsi="Times New Roman" w:cs="Times New Roman"/>
          <w:b w:val="0"/>
          <w:i w:val="0"/>
          <w:sz w:val="28"/>
          <w:lang w:val="en-US"/>
        </w:rPr>
        <w:t>bin_te</w:t>
      </w:r>
      <w:r>
        <w:rPr>
          <w:rFonts w:ascii="Times New Roman" w:hAnsi="Times New Roman" w:cs="Times New Roman"/>
          <w:b w:val="0"/>
          <w:i w:val="0"/>
          <w:sz w:val="28"/>
          <w:lang w:val="en-US"/>
        </w:rPr>
        <w:t xml:space="preserve"> (identity, ΔPR-AUC = 0,256), </w:t>
      </w:r>
      <w:r>
        <w:rPr>
          <w:rFonts w:ascii="Times New Roman" w:hAnsi="Times New Roman" w:cs="Times New Roman"/>
          <w:b w:val="0"/>
          <w:i w:val="0"/>
          <w:sz w:val="28"/>
          <w:lang w:val="en-US"/>
        </w:rPr>
        <w:t>gap_min_prev</w:t>
      </w:r>
      <w:r>
        <w:rPr>
          <w:rFonts w:ascii="Times New Roman" w:hAnsi="Times New Roman" w:cs="Times New Roman"/>
          <w:b w:val="0"/>
          <w:i w:val="0"/>
          <w:sz w:val="28"/>
          <w:lang w:val="en-US"/>
        </w:rPr>
        <w:t xml:space="preserve"> (velocity, 0,190), </w:t>
      </w:r>
      <w:r>
        <w:rPr>
          <w:rFonts w:ascii="Times New Roman" w:hAnsi="Times New Roman" w:cs="Times New Roman"/>
          <w:b w:val="0"/>
          <w:i w:val="0"/>
          <w:sz w:val="28"/>
          <w:lang w:val="en-US"/>
        </w:rPr>
        <w:t>n_tx_card_1h</w:t>
      </w:r>
      <w:r>
        <w:rPr>
          <w:rFonts w:ascii="Times New Roman" w:hAnsi="Times New Roman" w:cs="Times New Roman"/>
          <w:b w:val="0"/>
          <w:i w:val="0"/>
          <w:sz w:val="28"/>
          <w:lang w:val="en-US"/>
        </w:rPr>
        <w:t xml:space="preserve"> (velocity, 0,039), </w:t>
      </w:r>
      <w:r>
        <w:rPr>
          <w:rFonts w:ascii="Times New Roman" w:hAnsi="Times New Roman" w:cs="Times New Roman"/>
          <w:b w:val="0"/>
          <w:i w:val="0"/>
          <w:sz w:val="28"/>
          <w:lang w:val="en-US"/>
        </w:rPr>
        <w:t>amount_te</w:t>
      </w:r>
      <w:r>
        <w:rPr>
          <w:rFonts w:ascii="Times New Roman" w:hAnsi="Times New Roman" w:cs="Times New Roman"/>
          <w:b w:val="0"/>
          <w:i w:val="0"/>
          <w:sz w:val="28"/>
          <w:lang w:val="uk-UA"/>
        </w:rPr>
        <w:t xml:space="preserve"> (identity, 0,027). Усі часові ознаки мають ΔPR-AUC ≤ 0,006, причому деякі — від'ємні (артефакт шуму перестановок). Найвищий ранг ознаки </w:t>
      </w:r>
      <w:r>
        <w:rPr>
          <w:rFonts w:ascii="Times New Roman" w:hAnsi="Times New Roman" w:cs="Times New Roman"/>
          <w:b w:val="0"/>
          <w:i w:val="0"/>
          <w:sz w:val="28"/>
          <w:lang w:val="en-US"/>
        </w:rPr>
        <w:t>bin_te</w:t>
      </w:r>
      <w:r>
        <w:rPr>
          <w:rFonts w:ascii="Times New Roman" w:hAnsi="Times New Roman" w:cs="Times New Roman"/>
          <w:b w:val="0"/>
          <w:i w:val="0"/>
          <w:sz w:val="28"/>
          <w:lang w:val="uk-UA"/>
        </w:rPr>
        <w:t xml:space="preserve"> слід інтерпретувати обережно: цільове кодування BIN-у схильне до запам'ятовування навіть при обчисленні лише на навчальній частині, тому її важливість частково відображає інформацію про мітку, а не природний поведінковий сигнал. Натомість найважливіша суто поведінкова ознака — </w:t>
      </w:r>
      <w:r>
        <w:rPr>
          <w:rFonts w:ascii="Times New Roman" w:hAnsi="Times New Roman" w:cs="Times New Roman"/>
          <w:b w:val="0"/>
          <w:i w:val="0"/>
          <w:sz w:val="28"/>
          <w:lang w:val="en-US"/>
        </w:rPr>
        <w:t>gap_min_prev</w:t>
      </w:r>
      <w:r>
        <w:rPr>
          <w:rFonts w:ascii="Times New Roman" w:hAnsi="Times New Roman" w:cs="Times New Roman"/>
          <w:b w:val="0"/>
          <w:i w:val="0"/>
          <w:sz w:val="28"/>
          <w:lang w:val="uk-UA"/>
        </w:rPr>
        <w:t xml:space="preserve"> (інтервал між транзакціями картки) — належить до швидкісного сімейства. Це узгоджується з результатами § 4.3–4.5 і остаточно підтверджує, що часове сімейство не несе незалежної інформації.</w:t>
      </w:r>
    </w:p>
    <w:p>
      <w:pPr>
        <w:jc w:val="center"/>
      </w:pPr>
      <w:r>
        <w:drawing>
          <wp:inline xmlns:a="http://schemas.openxmlformats.org/drawingml/2006/main" xmlns:pic="http://schemas.openxmlformats.org/drawingml/2006/picture">
            <wp:extent cx="4500000" cy="3937500"/>
            <wp:docPr id="3" name="Picture 3"/>
            <wp:cNvGraphicFramePr>
              <a:graphicFrameLocks noChangeAspect="1"/>
            </wp:cNvGraphicFramePr>
            <a:graphic>
              <a:graphicData uri="http://schemas.openxmlformats.org/drawingml/2006/picture">
                <pic:pic>
                  <pic:nvPicPr>
                    <pic:cNvPr id="0" name="F3_permutation_importance.png"/>
                    <pic:cNvPicPr/>
                  </pic:nvPicPr>
                  <pic:blipFill>
                    <a:blip r:embed="rId11"/>
                    <a:stretch>
                      <a:fillRect/>
                    </a:stretch>
                  </pic:blipFill>
                  <pic:spPr>
                    <a:xfrm>
                      <a:off x="0" y="0"/>
                      <a:ext cx="4500000" cy="3937500"/>
                    </a:xfrm>
                    <a:prstGeom prst="rect"/>
                  </pic:spPr>
                </pic:pic>
              </a:graphicData>
            </a:graphic>
          </wp:inline>
        </w:drawing>
      </w:r>
    </w:p>
    <w:p>
      <w:pPr>
        <w:spacing w:line="360" w:lineRule="auto" w:after="0" w:before="0"/>
        <w:jc w:val="center"/>
      </w:pPr>
      <w:r>
        <w:rPr>
          <w:rFonts w:ascii="Times New Roman" w:hAnsi="Times New Roman" w:cs="Times New Roman"/>
          <w:b w:val="0"/>
          <w:i w:val="0"/>
          <w:sz w:val="24"/>
          <w:lang w:val="uk-UA"/>
        </w:rPr>
        <w:t xml:space="preserve">Рис. 3. Важливість ознак (permutation importance) за Δ PR-AUC, HGB, 5 повторень; колір — сімейство ознаки, вуса — стандартне відхилення. </w:t>
      </w:r>
      <w:r>
        <w:rPr>
          <w:rFonts w:ascii="Times New Roman" w:hAnsi="Times New Roman" w:cs="Times New Roman"/>
          <w:b w:val="0"/>
          <w:i w:val="0"/>
          <w:sz w:val="24"/>
          <w:lang w:val="en-US"/>
        </w:rPr>
        <w:t>bin_te</w:t>
      </w:r>
      <w:r>
        <w:rPr>
          <w:rFonts w:ascii="Times New Roman" w:hAnsi="Times New Roman" w:cs="Times New Roman"/>
          <w:b w:val="0"/>
          <w:i w:val="0"/>
          <w:sz w:val="24"/>
          <w:lang w:val="uk-UA"/>
        </w:rPr>
        <w:t xml:space="preserve"> (identity) завищена через запам'ятовування target-encoding.</w:t>
      </w:r>
    </w:p>
    <w:p>
      <w:pPr>
        <w:spacing w:before="120" w:after="60" w:line="360" w:lineRule="auto"/>
      </w:pPr>
      <w:r>
        <w:rPr>
          <w:rFonts w:ascii="Times New Roman" w:hAnsi="Times New Roman" w:cs="Times New Roman"/>
          <w:b/>
          <w:i w:val="0"/>
          <w:sz w:val="28"/>
          <w:lang w:val="uk-UA"/>
        </w:rPr>
        <w:t>4.7. Аналіз прихованого спільного впливу: часові ознаки як опосередковані непрямі показники</w:t>
      </w:r>
    </w:p>
    <w:p>
      <w:pPr>
        <w:spacing w:line="360" w:lineRule="auto" w:after="0" w:before="0"/>
        <w:ind w:firstLine="709"/>
        <w:jc w:val="both"/>
      </w:pPr>
      <w:r>
        <w:rPr>
          <w:rFonts w:ascii="Times New Roman" w:hAnsi="Times New Roman" w:cs="Times New Roman"/>
          <w:b w:val="0"/>
          <w:i w:val="0"/>
          <w:sz w:val="28"/>
          <w:lang w:val="uk-UA"/>
        </w:rPr>
        <w:t xml:space="preserve">Поширене емпіричне спостереження полягає в тому, що частка шахрайства вища у вихідні дні та у нічний час. На повному наборі даних ми спостерігаємо: χ²(weekend × fraud) = 11,73, p = 6,1 × 10⁻⁴ — статистично значущий ефект; fraud rate у вихідні 6,74 % проти 4,81 % у робочі дні (приріст над базою 1,31×). Однак при стратифікації на підвибірку високошвидкісних транзакцій (умова </w:t>
      </w:r>
      <w:r>
        <w:rPr>
          <w:rFonts w:ascii="Times New Roman" w:hAnsi="Times New Roman" w:cs="Times New Roman"/>
          <w:b w:val="0"/>
          <w:i w:val="0"/>
          <w:sz w:val="28"/>
          <w:lang w:val="en-US"/>
        </w:rPr>
        <w:t>n_tx_card_24h ≥ 2</w:t>
      </w:r>
      <w:r>
        <w:rPr>
          <w:rFonts w:ascii="Times New Roman" w:hAnsi="Times New Roman" w:cs="Times New Roman"/>
          <w:b w:val="0"/>
          <w:i w:val="0"/>
          <w:sz w:val="28"/>
          <w:lang w:val="uk-UA"/>
        </w:rPr>
        <w:t>, що пригнічує ефект швидкісних ознак): χ²(weekend × fraud | високошвидкісні) = 0,56, p = 0,456 — статистично незначуща.</w:t>
      </w:r>
    </w:p>
    <w:p>
      <w:pPr>
        <w:spacing w:line="360" w:lineRule="auto" w:after="0" w:before="0"/>
        <w:ind w:firstLine="709"/>
        <w:jc w:val="both"/>
      </w:pPr>
      <w:r>
        <w:rPr>
          <w:rFonts w:ascii="Times New Roman" w:hAnsi="Times New Roman" w:cs="Times New Roman"/>
          <w:b w:val="0"/>
          <w:i w:val="0"/>
          <w:sz w:val="28"/>
          <w:lang w:val="uk-UA"/>
        </w:rPr>
        <w:t>Цей ефект унаочнює рис. 4: на повному наборі частка шахрайства у вихідні відчутно вища за будні (6,7 % проти 4,8 %, χ² = 11,7, p &lt; 0,001), однак у підвибірці високошвидкісних транзакцій різниця між буднями та вихідними практично зникає (71,9 % проти 67,0 %, χ² = 0,56, p = 0,46).</w:t>
      </w:r>
    </w:p>
    <w:p>
      <w:pPr>
        <w:jc w:val="center"/>
      </w:pPr>
      <w:r>
        <w:drawing>
          <wp:inline xmlns:a="http://schemas.openxmlformats.org/drawingml/2006/main" xmlns:pic="http://schemas.openxmlformats.org/drawingml/2006/picture">
            <wp:extent cx="4500000" cy="3125000"/>
            <wp:docPr id="4" name="Picture 4"/>
            <wp:cNvGraphicFramePr>
              <a:graphicFrameLocks noChangeAspect="1"/>
            </wp:cNvGraphicFramePr>
            <a:graphic>
              <a:graphicData uri="http://schemas.openxmlformats.org/drawingml/2006/picture">
                <pic:pic>
                  <pic:nvPicPr>
                    <pic:cNvPr id="0" name="F4_confounding.png"/>
                    <pic:cNvPicPr/>
                  </pic:nvPicPr>
                  <pic:blipFill>
                    <a:blip r:embed="rId12"/>
                    <a:stretch>
                      <a:fillRect/>
                    </a:stretch>
                  </pic:blipFill>
                  <pic:spPr>
                    <a:xfrm>
                      <a:off x="0" y="0"/>
                      <a:ext cx="4500000" cy="3125000"/>
                    </a:xfrm>
                    <a:prstGeom prst="rect"/>
                  </pic:spPr>
                </pic:pic>
              </a:graphicData>
            </a:graphic>
          </wp:inline>
        </w:drawing>
      </w:r>
    </w:p>
    <w:p>
      <w:pPr>
        <w:spacing w:line="360" w:lineRule="auto" w:after="0" w:before="0"/>
        <w:jc w:val="center"/>
      </w:pPr>
      <w:r>
        <w:rPr>
          <w:rFonts w:ascii="Times New Roman" w:hAnsi="Times New Roman" w:cs="Times New Roman"/>
          <w:b w:val="0"/>
          <w:i w:val="0"/>
          <w:sz w:val="24"/>
          <w:lang w:val="uk-UA"/>
        </w:rPr>
        <w:t>Рис. 4. Частка шахрайства у будні та вихідні: на повному наборі ефект «вихідних» статистично значущий, але у високошвидкісній підвибірці (n_tx_card_24h ≥ 2) він зникає — отже, день тижня є опосередкованим непрямим показником швидкісного шаблону.</w:t>
      </w:r>
    </w:p>
    <w:p>
      <w:pPr>
        <w:spacing w:line="360" w:lineRule="auto" w:after="0" w:before="0"/>
        <w:ind w:firstLine="709"/>
        <w:jc w:val="both"/>
      </w:pPr>
      <w:r>
        <w:rPr>
          <w:rFonts w:ascii="Times New Roman" w:hAnsi="Times New Roman" w:cs="Times New Roman"/>
          <w:b w:val="0"/>
          <w:i w:val="0"/>
          <w:sz w:val="28"/>
          <w:lang w:val="uk-UA"/>
        </w:rPr>
        <w:t xml:space="preserve">Тобто ефект «вихідних» зникає, коли ми контролюємо швидкісний шаблон. Це класична ситуація прихованого спільного впливу: ознака </w:t>
      </w:r>
      <w:r>
        <w:rPr>
          <w:rFonts w:ascii="Times New Roman" w:hAnsi="Times New Roman" w:cs="Times New Roman"/>
          <w:b w:val="0"/>
          <w:i w:val="0"/>
          <w:sz w:val="28"/>
          <w:lang w:val="en-US"/>
        </w:rPr>
        <w:t>weekend</w:t>
      </w:r>
      <w:r>
        <w:rPr>
          <w:rFonts w:ascii="Times New Roman" w:hAnsi="Times New Roman" w:cs="Times New Roman"/>
          <w:b w:val="0"/>
          <w:i w:val="0"/>
          <w:sz w:val="28"/>
          <w:lang w:val="uk-UA"/>
        </w:rPr>
        <w:t xml:space="preserve"> корелює з fraud лише тому, що у вихідні частіше трапляються високошвидкісні сплески (зокрема, card-testing атаки часто відбуваються у вихідні, коли моніторинг послаблений). Додатково кореляційний аналіз залишків логістичної регресії, навченої лише на швидкісному сімействі, показує, що більшість часових ознак мають частковий коефіцієнт Пірсона |r| &lt; 0,1, крім </w:t>
      </w:r>
      <w:r>
        <w:rPr>
          <w:rFonts w:ascii="Times New Roman" w:hAnsi="Times New Roman" w:cs="Times New Roman"/>
          <w:b w:val="0"/>
          <w:i w:val="0"/>
          <w:sz w:val="28"/>
          <w:lang w:val="en-US"/>
        </w:rPr>
        <w:t>weekend</w:t>
      </w:r>
      <w:r>
        <w:rPr>
          <w:rFonts w:ascii="Times New Roman" w:hAnsi="Times New Roman" w:cs="Times New Roman"/>
          <w:b w:val="0"/>
          <w:i w:val="0"/>
          <w:sz w:val="28"/>
          <w:lang w:val="uk-UA"/>
        </w:rPr>
        <w:t xml:space="preserve"> (r = −0,24), який утримує невеликий залишковий сигнал. Це свідчить, що швидкісне сімейство «висмоктує» дуже значну частину temporal-сигналу — близько 95 % за метриками класифікації (ΔPR-AUC без temporal = −0,016 на загальному фоні 0,547).</w:t>
      </w:r>
    </w:p>
    <w:p>
      <w:pPr>
        <w:spacing w:before="120" w:after="60" w:line="360" w:lineRule="auto"/>
      </w:pPr>
      <w:r>
        <w:rPr>
          <w:rFonts w:ascii="Times New Roman" w:hAnsi="Times New Roman" w:cs="Times New Roman"/>
          <w:b/>
          <w:i w:val="0"/>
          <w:sz w:val="28"/>
          <w:lang w:val="uk-UA"/>
        </w:rPr>
        <w:t>4.8. Ідентифікація характерної поведінкової ознаки card-testing</w:t>
      </w:r>
    </w:p>
    <w:p>
      <w:pPr>
        <w:spacing w:line="360" w:lineRule="auto" w:after="0" w:before="0"/>
        <w:ind w:firstLine="709"/>
        <w:jc w:val="both"/>
      </w:pPr>
      <w:r>
        <w:rPr>
          <w:rFonts w:ascii="Times New Roman" w:hAnsi="Times New Roman" w:cs="Times New Roman"/>
          <w:b w:val="0"/>
          <w:i w:val="0"/>
          <w:sz w:val="28"/>
          <w:lang w:val="uk-UA"/>
        </w:rPr>
        <w:t>Класичним сценарієм шахрайства з платіжними картками є card-testing — перевірка вкрадених реквізитів шляхом серії дрібних транзакцій, часто на однакові суми, у короткі проміжки часу. Такий шаблон добре задокументовано у галузевих звітах платіжних систем (Visa, Stripe, Adyen), але у академічній літературі він рідко виділяється як окрема аналітична категорія.</w:t>
      </w:r>
    </w:p>
    <w:p>
      <w:pPr>
        <w:spacing w:line="360" w:lineRule="auto" w:after="0" w:before="0"/>
        <w:ind w:firstLine="709"/>
        <w:jc w:val="both"/>
      </w:pPr>
      <w:r>
        <w:rPr>
          <w:rFonts w:ascii="Times New Roman" w:hAnsi="Times New Roman" w:cs="Times New Roman"/>
          <w:b w:val="0"/>
          <w:i w:val="0"/>
          <w:sz w:val="28"/>
          <w:lang w:val="uk-UA"/>
        </w:rPr>
        <w:t xml:space="preserve">У нашому наборі даних композитна ознака «принаймні 2 транзакції картки за годину з повторенням суми у вікні 10 хв» (формально: </w:t>
      </w:r>
      <w:r>
        <w:rPr>
          <w:rFonts w:ascii="Times New Roman" w:hAnsi="Times New Roman" w:cs="Times New Roman"/>
          <w:b w:val="0"/>
          <w:i w:val="0"/>
          <w:sz w:val="28"/>
          <w:lang w:val="en-US"/>
        </w:rPr>
        <w:t>n_tx_card_1h ≥ 2</w:t>
      </w:r>
      <w:r>
        <w:rPr>
          <w:rFonts w:ascii="Times New Roman" w:hAnsi="Times New Roman" w:cs="Times New Roman"/>
          <w:b w:val="0"/>
          <w:i w:val="0"/>
          <w:sz w:val="28"/>
          <w:lang w:val="en-US"/>
        </w:rPr>
        <w:t xml:space="preserve"> AND </w:t>
      </w:r>
      <w:r>
        <w:rPr>
          <w:rFonts w:ascii="Times New Roman" w:hAnsi="Times New Roman" w:cs="Times New Roman"/>
          <w:b w:val="0"/>
          <w:i w:val="0"/>
          <w:sz w:val="28"/>
          <w:lang w:val="en-US"/>
        </w:rPr>
        <w:t>same_amount_10min = 1</w:t>
      </w:r>
      <w:r>
        <w:rPr>
          <w:rFonts w:ascii="Times New Roman" w:hAnsi="Times New Roman" w:cs="Times New Roman"/>
          <w:b w:val="0"/>
          <w:i w:val="0"/>
          <w:sz w:val="28"/>
          <w:lang w:val="uk-UA"/>
        </w:rPr>
        <w:t>) дає таку статистику: охоплено 232 транзакції (2,1 % від загального обсягу); частка шахрайства серед них — 80,6 % (187 з 232); приріст над базовою частотою — 15,7×; охоплено 32,7 % усіх шахрайських транзакцій набору. Тобто 2 % найпідозріліших транзакцій містять третину всіх шахрайських подій набору. Послідовне «звуження» правила від базової частоти до композитної ознаки показано на рис. 5.</w:t>
      </w:r>
    </w:p>
    <w:p>
      <w:pPr>
        <w:jc w:val="center"/>
      </w:pPr>
      <w:r>
        <w:drawing>
          <wp:inline xmlns:a="http://schemas.openxmlformats.org/drawingml/2006/main" xmlns:pic="http://schemas.openxmlformats.org/drawingml/2006/picture">
            <wp:extent cx="4500000" cy="3214286"/>
            <wp:docPr id="5" name="Picture 5"/>
            <wp:cNvGraphicFramePr>
              <a:graphicFrameLocks noChangeAspect="1"/>
            </wp:cNvGraphicFramePr>
            <a:graphic>
              <a:graphicData uri="http://schemas.openxmlformats.org/drawingml/2006/picture">
                <pic:pic>
                  <pic:nvPicPr>
                    <pic:cNvPr id="0" name="F5_card_testing.png"/>
                    <pic:cNvPicPr/>
                  </pic:nvPicPr>
                  <pic:blipFill>
                    <a:blip r:embed="rId13"/>
                    <a:stretch>
                      <a:fillRect/>
                    </a:stretch>
                  </pic:blipFill>
                  <pic:spPr>
                    <a:xfrm>
                      <a:off x="0" y="0"/>
                      <a:ext cx="4500000" cy="3214286"/>
                    </a:xfrm>
                    <a:prstGeom prst="rect"/>
                  </pic:spPr>
                </pic:pic>
              </a:graphicData>
            </a:graphic>
          </wp:inline>
        </w:drawing>
      </w:r>
    </w:p>
    <w:p>
      <w:pPr>
        <w:spacing w:line="360" w:lineRule="auto" w:after="0" w:before="0"/>
        <w:jc w:val="center"/>
      </w:pPr>
      <w:r>
        <w:rPr>
          <w:rFonts w:ascii="Times New Roman" w:hAnsi="Times New Roman" w:cs="Times New Roman"/>
          <w:b w:val="0"/>
          <w:i w:val="0"/>
          <w:sz w:val="24"/>
          <w:lang w:val="uk-UA"/>
        </w:rPr>
        <w:t>Рис. 5. Частка шахрайства за послідовного звуження правила: базова частота (5,1 %) → повторення суми у вікні 10 хв (49,9 %) → композитний підпис card-testing (80,6 %). Композитна ознака дає приріст ×16 над базою і охоплює 32,7 % усього шахрайства набору.</w:t>
      </w:r>
    </w:p>
    <w:p>
      <w:pPr>
        <w:spacing w:line="360" w:lineRule="auto" w:after="0" w:before="0"/>
        <w:ind w:firstLine="709"/>
        <w:jc w:val="both"/>
      </w:pPr>
      <w:r>
        <w:rPr>
          <w:rFonts w:ascii="Times New Roman" w:hAnsi="Times New Roman" w:cs="Times New Roman"/>
          <w:b w:val="0"/>
          <w:i w:val="0"/>
          <w:sz w:val="28"/>
          <w:lang w:val="uk-UA"/>
        </w:rPr>
        <w:t xml:space="preserve">Ця ознака є поведінковим інваріантом у такому сенсі: вона не залежить від дня тижня (на високошвидкісній підвибірці χ²(weekend) = 0,56, p = 0,46; див. § 4.7); не залежить від часу доби (аналогічний результат для </w:t>
      </w:r>
      <w:r>
        <w:rPr>
          <w:rFonts w:ascii="Times New Roman" w:hAnsi="Times New Roman" w:cs="Times New Roman"/>
          <w:b w:val="0"/>
          <w:i w:val="0"/>
          <w:sz w:val="28"/>
          <w:lang w:val="en-US"/>
        </w:rPr>
        <w:t>night</w:t>
      </w:r>
      <w:r>
        <w:rPr>
          <w:rFonts w:ascii="Times New Roman" w:hAnsi="Times New Roman" w:cs="Times New Roman"/>
          <w:b w:val="0"/>
          <w:i w:val="0"/>
          <w:sz w:val="28"/>
          <w:lang w:val="uk-UA"/>
        </w:rPr>
        <w:t xml:space="preserve"> і </w:t>
      </w:r>
      <w:r>
        <w:rPr>
          <w:rFonts w:ascii="Times New Roman" w:hAnsi="Times New Roman" w:cs="Times New Roman"/>
          <w:b w:val="0"/>
          <w:i w:val="0"/>
          <w:sz w:val="28"/>
          <w:lang w:val="en-US"/>
        </w:rPr>
        <w:t>hour_sin/cos</w:t>
      </w:r>
      <w:r>
        <w:rPr>
          <w:rFonts w:ascii="Times New Roman" w:hAnsi="Times New Roman" w:cs="Times New Roman"/>
          <w:b w:val="0"/>
          <w:i w:val="0"/>
          <w:sz w:val="28"/>
          <w:lang w:val="uk-UA"/>
        </w:rPr>
        <w:t>); не залежить від конкретної суми (ключовим є лише повторення, а не саме значення). Це дає емпіричне підтвердження, що популярні часові та «формальні» ознаки сум (rounding, кратність) — це другорядні, опосередковані маркери тієї самої поведінкової механіки card-testing: шахрай проводить серію транзакцій-перевірок, що випадково частіше припадає на певні години або кратні суми внаслідок особливостей сценаріїв, але принципове — лише сама структура швидкого повторення.</w:t>
      </w:r>
    </w:p>
    <w:p>
      <w:pPr>
        <w:spacing w:before="120" w:after="60" w:line="360" w:lineRule="auto"/>
      </w:pPr>
      <w:r>
        <w:rPr>
          <w:rFonts w:ascii="Times New Roman" w:hAnsi="Times New Roman" w:cs="Times New Roman"/>
          <w:b/>
          <w:i w:val="0"/>
          <w:sz w:val="28"/>
          <w:lang w:val="uk-UA"/>
        </w:rPr>
        <w:t>4.9. Узагальнення: інваріантний характер швидкісного сімейства</w:t>
      </w:r>
    </w:p>
    <w:p>
      <w:pPr>
        <w:spacing w:line="360" w:lineRule="auto" w:after="0" w:before="0"/>
        <w:ind w:firstLine="709"/>
        <w:jc w:val="both"/>
      </w:pPr>
      <w:r>
        <w:rPr>
          <w:rFonts w:ascii="Times New Roman" w:hAnsi="Times New Roman" w:cs="Times New Roman"/>
          <w:b w:val="0"/>
          <w:i w:val="0"/>
          <w:sz w:val="28"/>
          <w:lang w:val="uk-UA"/>
        </w:rPr>
        <w:t>Загальною ознакою всіх отриманих результатів є структурна нерівномірність ознакового простору шахрайської поведінки. Усі чотири сімейства ознак статистично значущі за критерієм MANOVA (p &lt; 10⁻³⁰), однак реальний внесок розподілений украй несиметрично: пара швидкісне + ідентифікаційне несе понад 95 % сигналу, тоді як часове + структурне за сумою — не більше 5 %. Цей розподіл стійкий за різних операціональних оцінок (сила розділення MANOVA, геометрична відокремленість silhouette, прогностична важливість permutation importance), що дає підстави трактувати швидкісне сімейство як справжній інваріант шахрайської поведінки.</w:t>
      </w:r>
    </w:p>
    <w:p>
      <w:pPr>
        <w:spacing w:line="360" w:lineRule="auto" w:after="0" w:before="0"/>
        <w:ind w:firstLine="709"/>
        <w:jc w:val="both"/>
      </w:pPr>
      <w:r>
        <w:rPr>
          <w:rFonts w:ascii="Times New Roman" w:hAnsi="Times New Roman" w:cs="Times New Roman"/>
          <w:b w:val="0"/>
          <w:i w:val="0"/>
          <w:sz w:val="28"/>
          <w:lang w:val="uk-UA"/>
        </w:rPr>
        <w:t xml:space="preserve">Інваріантність тут має конкретний емпіричний зміст: домінантна ознака зберігається при усуненні впливу другорядних чинників (час доби, день тижня, конкретна сума), тоді як ефекти самих другорядних чинників зникають при усуненні впливу швидкісного шаблону (§ 4.7). Подібний результат — структурна нерівномірність розділення між сімействами ознак — спостерігався раніше у задачі ідентифікації рольових поведінкових шаблонів гравців Counter-Strike 2 (Кужій &amp; Фургала, 2025), де сімейства side-specific і map-dependent ознак приносили основне розділення, а сімейство загальних HLTV-атрибутів — менш виражене. Це дозволяє припустити, що сам </w:t>
      </w:r>
      <w:r>
        <w:rPr>
          <w:rFonts w:ascii="Times New Roman" w:hAnsi="Times New Roman" w:cs="Times New Roman"/>
          <w:b/>
          <w:i w:val="0"/>
          <w:sz w:val="28"/>
          <w:lang w:val="uk-UA"/>
        </w:rPr>
        <w:t>принцип</w:t>
      </w:r>
      <w:r>
        <w:rPr>
          <w:rFonts w:ascii="Times New Roman" w:hAnsi="Times New Roman" w:cs="Times New Roman"/>
          <w:b w:val="0"/>
          <w:i w:val="0"/>
          <w:sz w:val="28"/>
          <w:lang w:val="uk-UA"/>
        </w:rPr>
        <w:t xml:space="preserve"> нерівномірного розподілу прогностичної сили між функціональними сімействами ознак є загальною властивістю поведінкових даних онлайн-сервісів. Водночас, як показує зовнішня перевірка (§ 4.10), те, </w:t>
      </w:r>
      <w:r>
        <w:rPr>
          <w:rFonts w:ascii="Times New Roman" w:hAnsi="Times New Roman" w:cs="Times New Roman"/>
          <w:b/>
          <w:i w:val="0"/>
          <w:sz w:val="28"/>
          <w:lang w:val="uk-UA"/>
        </w:rPr>
        <w:t>яке саме</w:t>
      </w:r>
      <w:r>
        <w:rPr>
          <w:rFonts w:ascii="Times New Roman" w:hAnsi="Times New Roman" w:cs="Times New Roman"/>
          <w:b w:val="0"/>
          <w:i w:val="0"/>
          <w:sz w:val="28"/>
          <w:lang w:val="uk-UA"/>
        </w:rPr>
        <w:t xml:space="preserve"> сімейство виявляється домінантним, залежить від домену та режиму шахрайства, а не є універсальним.</w:t>
      </w:r>
    </w:p>
    <w:p>
      <w:pPr>
        <w:spacing w:before="120" w:after="60" w:line="360" w:lineRule="auto"/>
      </w:pPr>
      <w:r>
        <w:rPr>
          <w:rFonts w:ascii="Times New Roman" w:hAnsi="Times New Roman" w:cs="Times New Roman"/>
          <w:b/>
          <w:i w:val="0"/>
          <w:sz w:val="28"/>
          <w:lang w:val="uk-UA"/>
        </w:rPr>
        <w:t>4.10. Зовнішня перевірка та природа фроду на незалежному наборі (IEEE-CIS)</w:t>
      </w:r>
    </w:p>
    <w:p>
      <w:pPr>
        <w:spacing w:line="360" w:lineRule="auto" w:after="0" w:before="0"/>
        <w:ind w:firstLine="709"/>
        <w:jc w:val="both"/>
      </w:pPr>
      <w:r>
        <w:rPr>
          <w:rFonts w:ascii="Times New Roman" w:hAnsi="Times New Roman" w:cs="Times New Roman"/>
          <w:b w:val="0"/>
          <w:i w:val="0"/>
          <w:sz w:val="28"/>
          <w:lang w:val="uk-UA"/>
        </w:rPr>
        <w:t xml:space="preserve">Щоб оцінити переносимість висновків, конвеєр аналізу застосовано до незалежного реального набору IEEE-CIS Fraud Detection (§ 3.2). Пряме перенесення методики, де швидкісні ознаки обчислюються на основі поля </w:t>
      </w:r>
      <w:r>
        <w:rPr>
          <w:rFonts w:ascii="Times New Roman" w:hAnsi="Times New Roman" w:cs="Times New Roman"/>
          <w:b w:val="0"/>
          <w:i w:val="0"/>
          <w:sz w:val="28"/>
          <w:lang w:val="en-US"/>
        </w:rPr>
        <w:t>card1</w:t>
      </w:r>
      <w:r>
        <w:rPr>
          <w:rFonts w:ascii="Times New Roman" w:hAnsi="Times New Roman" w:cs="Times New Roman"/>
          <w:b w:val="0"/>
          <w:i w:val="0"/>
          <w:sz w:val="28"/>
          <w:lang w:val="uk-UA"/>
        </w:rPr>
        <w:t xml:space="preserve">, дає виродження: швидкісне сімейство майже не розділяє класи (silhouette 0,03). Це, однак, </w:t>
      </w:r>
      <w:r>
        <w:rPr>
          <w:rFonts w:ascii="Times New Roman" w:hAnsi="Times New Roman" w:cs="Times New Roman"/>
          <w:b/>
          <w:i w:val="0"/>
          <w:sz w:val="28"/>
          <w:lang w:val="uk-UA"/>
        </w:rPr>
        <w:t>артефакт відображення сутності, а не зникнення поведінкового сигналу</w:t>
      </w:r>
      <w:r>
        <w:rPr>
          <w:rFonts w:ascii="Times New Roman" w:hAnsi="Times New Roman" w:cs="Times New Roman"/>
          <w:b w:val="0"/>
          <w:i w:val="0"/>
          <w:sz w:val="28"/>
          <w:lang w:val="uk-UA"/>
        </w:rPr>
        <w:t xml:space="preserve">: на відміну від основного набору (1,2 транзакції на справжню картку), </w:t>
      </w:r>
      <w:r>
        <w:rPr>
          <w:rFonts w:ascii="Times New Roman" w:hAnsi="Times New Roman" w:cs="Times New Roman"/>
          <w:b w:val="0"/>
          <w:i w:val="0"/>
          <w:sz w:val="28"/>
          <w:lang w:val="en-US"/>
        </w:rPr>
        <w:t>card1</w:t>
      </w:r>
      <w:r>
        <w:rPr>
          <w:rFonts w:ascii="Times New Roman" w:hAnsi="Times New Roman" w:cs="Times New Roman"/>
          <w:b w:val="0"/>
          <w:i w:val="0"/>
          <w:sz w:val="28"/>
          <w:lang w:val="uk-UA"/>
        </w:rPr>
        <w:t xml:space="preserve"> в IEEE-CIS — грубий проксі, що агрегує в середньому 43,6 транзакції (13 553 значення на 590 тис. операцій), тож обчислені по </w:t>
      </w:r>
      <w:r>
        <w:rPr>
          <w:rFonts w:ascii="Times New Roman" w:hAnsi="Times New Roman" w:cs="Times New Roman"/>
          <w:b w:val="0"/>
          <w:i w:val="0"/>
          <w:sz w:val="28"/>
          <w:lang w:val="en-US"/>
        </w:rPr>
        <w:t>card1</w:t>
      </w:r>
      <w:r>
        <w:rPr>
          <w:rFonts w:ascii="Times New Roman" w:hAnsi="Times New Roman" w:cs="Times New Roman"/>
          <w:b w:val="0"/>
          <w:i w:val="0"/>
          <w:sz w:val="28"/>
          <w:lang w:val="uk-UA"/>
        </w:rPr>
        <w:t xml:space="preserve"> per-card velocity-ознаки втрачають поведінковий зміст. Тому коректніше дослідити поведінкову структуру набору на його </w:t>
      </w:r>
      <w:r>
        <w:rPr>
          <w:rFonts w:ascii="Times New Roman" w:hAnsi="Times New Roman" w:cs="Times New Roman"/>
          <w:b/>
          <w:i w:val="0"/>
          <w:sz w:val="28"/>
          <w:lang w:val="uk-UA"/>
        </w:rPr>
        <w:t>власних</w:t>
      </w:r>
      <w:r>
        <w:rPr>
          <w:rFonts w:ascii="Times New Roman" w:hAnsi="Times New Roman" w:cs="Times New Roman"/>
          <w:b w:val="0"/>
          <w:i w:val="0"/>
          <w:sz w:val="28"/>
          <w:lang w:val="uk-UA"/>
        </w:rPr>
        <w:t xml:space="preserve"> поведінкових ознаках.</w:t>
      </w:r>
    </w:p>
    <w:p>
      <w:pPr>
        <w:spacing w:line="360" w:lineRule="auto" w:after="0" w:before="0"/>
        <w:ind w:firstLine="709"/>
        <w:jc w:val="both"/>
      </w:pPr>
      <w:r>
        <w:rPr>
          <w:rFonts w:ascii="Times New Roman" w:hAnsi="Times New Roman" w:cs="Times New Roman"/>
          <w:b w:val="0"/>
          <w:i w:val="0"/>
          <w:sz w:val="28"/>
          <w:lang w:val="uk-UA"/>
        </w:rPr>
        <w:t xml:space="preserve">IEEE-CIS містить інженеровані постачальником поведінкові ознаки: </w:t>
      </w:r>
      <w:r>
        <w:rPr>
          <w:rFonts w:ascii="Times New Roman" w:hAnsi="Times New Roman" w:cs="Times New Roman"/>
          <w:b w:val="0"/>
          <w:i w:val="0"/>
          <w:sz w:val="28"/>
          <w:lang w:val="en-US"/>
        </w:rPr>
        <w:t>C1–C14</w:t>
      </w:r>
      <w:r>
        <w:rPr>
          <w:rFonts w:ascii="Times New Roman" w:hAnsi="Times New Roman" w:cs="Times New Roman"/>
          <w:b w:val="0"/>
          <w:i w:val="0"/>
          <w:sz w:val="28"/>
          <w:lang w:val="uk-UA"/>
        </w:rPr>
        <w:t xml:space="preserve"> (лічильники зв'язків картки/адреси — аналог кумулятивних velocity-ознак) та </w:t>
      </w:r>
      <w:r>
        <w:rPr>
          <w:rFonts w:ascii="Times New Roman" w:hAnsi="Times New Roman" w:cs="Times New Roman"/>
          <w:b w:val="0"/>
          <w:i w:val="0"/>
          <w:sz w:val="28"/>
          <w:lang w:val="en-US"/>
        </w:rPr>
        <w:t>D1–D15</w:t>
      </w:r>
      <w:r>
        <w:rPr>
          <w:rFonts w:ascii="Times New Roman" w:hAnsi="Times New Roman" w:cs="Times New Roman"/>
          <w:b w:val="0"/>
          <w:i w:val="0"/>
          <w:sz w:val="28"/>
          <w:lang w:val="uk-UA"/>
        </w:rPr>
        <w:t xml:space="preserve"> (часові дельти між подіями картки). Структуруючи їх у функціональні сімейства й оцінюючи розділення (таблиця 7), ми знову спостерігаємо </w:t>
      </w:r>
      <w:r>
        <w:rPr>
          <w:rFonts w:ascii="Times New Roman" w:hAnsi="Times New Roman" w:cs="Times New Roman"/>
          <w:b/>
          <w:i w:val="0"/>
          <w:sz w:val="28"/>
          <w:lang w:val="uk-UA"/>
        </w:rPr>
        <w:t>домінування поведінкового сімейства</w:t>
      </w:r>
      <w:r>
        <w:rPr>
          <w:rFonts w:ascii="Times New Roman" w:hAnsi="Times New Roman" w:cs="Times New Roman"/>
          <w:b w:val="0"/>
          <w:i w:val="0"/>
          <w:sz w:val="28"/>
          <w:lang w:val="uk-UA"/>
        </w:rPr>
        <w:t xml:space="preserve">: count-сімейство </w:t>
      </w:r>
      <w:r>
        <w:rPr>
          <w:rFonts w:ascii="Times New Roman" w:hAnsi="Times New Roman" w:cs="Times New Roman"/>
          <w:b w:val="0"/>
          <w:i w:val="0"/>
          <w:sz w:val="28"/>
          <w:lang w:val="en-US"/>
        </w:rPr>
        <w:t>C</w:t>
      </w:r>
      <w:r>
        <w:rPr>
          <w:rFonts w:ascii="Times New Roman" w:hAnsi="Times New Roman" w:cs="Times New Roman"/>
          <w:b w:val="0"/>
          <w:i w:val="0"/>
          <w:sz w:val="28"/>
          <w:lang w:val="uk-UA"/>
        </w:rPr>
        <w:t xml:space="preserve"> дає найсильнішу геометричну відокремленість (silhouette 0,48), timedelta-сімейство </w:t>
      </w:r>
      <w:r>
        <w:rPr>
          <w:rFonts w:ascii="Times New Roman" w:hAnsi="Times New Roman" w:cs="Times New Roman"/>
          <w:b w:val="0"/>
          <w:i w:val="0"/>
          <w:sz w:val="28"/>
          <w:lang w:val="en-US"/>
        </w:rPr>
        <w:t>D</w:t>
      </w:r>
      <w:r>
        <w:rPr>
          <w:rFonts w:ascii="Times New Roman" w:hAnsi="Times New Roman" w:cs="Times New Roman"/>
          <w:b w:val="0"/>
          <w:i w:val="0"/>
          <w:sz w:val="28"/>
          <w:lang w:val="uk-UA"/>
        </w:rPr>
        <w:t xml:space="preserve"> — найвищу середню F-статистику (1530), тоді як структурні за сумою (silhouette 0,07) та часові (0,03) ознаки лишаються слабкими — так само, як і в основному наборі (рис. 6). Отже, головна теза роботи — </w:t>
      </w:r>
      <w:r>
        <w:rPr>
          <w:rFonts w:ascii="Times New Roman" w:hAnsi="Times New Roman" w:cs="Times New Roman"/>
          <w:b w:val="0"/>
          <w:i/>
          <w:sz w:val="28"/>
          <w:lang w:val="uk-UA"/>
        </w:rPr>
        <w:t>розділення класів несуть поведінкові, а не сирі часові чи формальні ознаки сум</w:t>
      </w:r>
      <w:r>
        <w:rPr>
          <w:rFonts w:ascii="Times New Roman" w:hAnsi="Times New Roman" w:cs="Times New Roman"/>
          <w:b w:val="0"/>
          <w:i w:val="0"/>
          <w:sz w:val="28"/>
          <w:lang w:val="uk-UA"/>
        </w:rPr>
        <w:t xml:space="preserve"> — підтверджується і на IEEE-CIS.</w:t>
      </w:r>
    </w:p>
    <w:p>
      <w:pPr>
        <w:jc w:val="center"/>
      </w:pPr>
      <w:r>
        <w:drawing>
          <wp:inline xmlns:a="http://schemas.openxmlformats.org/drawingml/2006/main" xmlns:pic="http://schemas.openxmlformats.org/drawingml/2006/picture">
            <wp:extent cx="4500000" cy="2700000"/>
            <wp:docPr id="6" name="Picture 6"/>
            <wp:cNvGraphicFramePr>
              <a:graphicFrameLocks noChangeAspect="1"/>
            </wp:cNvGraphicFramePr>
            <a:graphic>
              <a:graphicData uri="http://schemas.openxmlformats.org/drawingml/2006/picture">
                <pic:pic>
                  <pic:nvPicPr>
                    <pic:cNvPr id="0" name="F6_external_validation.png"/>
                    <pic:cNvPicPr/>
                  </pic:nvPicPr>
                  <pic:blipFill>
                    <a:blip r:embed="rId14"/>
                    <a:stretch>
                      <a:fillRect/>
                    </a:stretch>
                  </pic:blipFill>
                  <pic:spPr>
                    <a:xfrm>
                      <a:off x="0" y="0"/>
                      <a:ext cx="4500000" cy="2700000"/>
                    </a:xfrm>
                    <a:prstGeom prst="rect"/>
                  </pic:spPr>
                </pic:pic>
              </a:graphicData>
            </a:graphic>
          </wp:inline>
        </w:drawing>
      </w:r>
    </w:p>
    <w:p>
      <w:pPr>
        <w:spacing w:line="360" w:lineRule="auto" w:after="0" w:before="0"/>
        <w:jc w:val="center"/>
      </w:pPr>
      <w:r>
        <w:rPr>
          <w:rFonts w:ascii="Times New Roman" w:hAnsi="Times New Roman" w:cs="Times New Roman"/>
          <w:b w:val="0"/>
          <w:i w:val="0"/>
          <w:sz w:val="24"/>
          <w:lang w:val="uk-UA"/>
        </w:rPr>
        <w:t xml:space="preserve">Рис. 6. IEEE-CIS (рідні ознаки набору): розділювальна сила сімейств. Поведінкові сімейства — лічильники зв'язків </w:t>
      </w:r>
      <w:r>
        <w:rPr>
          <w:rFonts w:ascii="Times New Roman" w:hAnsi="Times New Roman" w:cs="Times New Roman"/>
          <w:b w:val="0"/>
          <w:i w:val="0"/>
          <w:sz w:val="24"/>
          <w:lang w:val="en-US"/>
        </w:rPr>
        <w:t>C</w:t>
      </w:r>
      <w:r>
        <w:rPr>
          <w:rFonts w:ascii="Times New Roman" w:hAnsi="Times New Roman" w:cs="Times New Roman"/>
          <w:b w:val="0"/>
          <w:i w:val="0"/>
          <w:sz w:val="24"/>
          <w:lang w:val="uk-UA"/>
        </w:rPr>
        <w:t xml:space="preserve"> та часові дельти </w:t>
      </w:r>
      <w:r>
        <w:rPr>
          <w:rFonts w:ascii="Times New Roman" w:hAnsi="Times New Roman" w:cs="Times New Roman"/>
          <w:b w:val="0"/>
          <w:i w:val="0"/>
          <w:sz w:val="24"/>
          <w:lang w:val="en-US"/>
        </w:rPr>
        <w:t>D</w:t>
      </w:r>
      <w:r>
        <w:rPr>
          <w:rFonts w:ascii="Times New Roman" w:hAnsi="Times New Roman" w:cs="Times New Roman"/>
          <w:b w:val="0"/>
          <w:i w:val="0"/>
          <w:sz w:val="24"/>
          <w:lang w:val="uk-UA"/>
        </w:rPr>
        <w:t xml:space="preserve"> — домінують над структурними за сумою і часовими, як і в основному наборі, хоч конкретний механізм фроду інший.</w:t>
      </w:r>
    </w:p>
    <w:p>
      <w:pPr>
        <w:spacing w:line="360" w:lineRule="auto" w:after="0" w:before="0"/>
        <w:jc w:val="both"/>
      </w:pPr>
      <w:r>
        <w:rPr>
          <w:rFonts w:ascii="Times New Roman" w:hAnsi="Times New Roman" w:cs="Times New Roman"/>
          <w:b/>
          <w:i w:val="0"/>
          <w:sz w:val="28"/>
          <w:lang w:val="uk-UA"/>
        </w:rPr>
        <w:t>Таблиця 7. Порівняння наборів: масштаб, природа фроду та розділювальна сила сімейств.</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Times New Roman" w:hAnsi="Times New Roman" w:cs="Times New Roman"/>
                <w:b/>
                <w:i w:val="0"/>
                <w:sz w:val="20"/>
                <w:lang w:val="uk-UA"/>
              </w:rPr>
              <w:t>Характеристика</w:t>
            </w:r>
          </w:p>
        </w:tc>
        <w:tc>
          <w:tcPr>
            <w:tcW w:type="dxa" w:w="3213"/>
          </w:tcPr>
          <w:p>
            <w:r>
              <w:rPr>
                <w:rFonts w:ascii="Times New Roman" w:hAnsi="Times New Roman" w:cs="Times New Roman"/>
                <w:b/>
                <w:i w:val="0"/>
                <w:sz w:val="20"/>
                <w:lang w:val="uk-UA"/>
              </w:rPr>
              <w:t>Predict Chargeback Frauds (Бразилія)</w:t>
            </w:r>
          </w:p>
        </w:tc>
        <w:tc>
          <w:tcPr>
            <w:tcW w:type="dxa" w:w="3213"/>
          </w:tcPr>
          <w:p>
            <w:r>
              <w:rPr>
                <w:rFonts w:ascii="Times New Roman" w:hAnsi="Times New Roman" w:cs="Times New Roman"/>
                <w:b/>
                <w:i w:val="0"/>
                <w:sz w:val="20"/>
                <w:lang w:val="uk-UA"/>
              </w:rPr>
              <w:t>IEEE-CIS (Vesta, США)</w:t>
            </w:r>
          </w:p>
        </w:tc>
      </w:tr>
      <w:tr>
        <w:tc>
          <w:tcPr>
            <w:tcW w:type="dxa" w:w="3213"/>
          </w:tcPr>
          <w:p>
            <w:r>
              <w:rPr>
                <w:rFonts w:ascii="Times New Roman" w:hAnsi="Times New Roman" w:cs="Times New Roman"/>
                <w:b w:val="0"/>
                <w:i w:val="0"/>
                <w:sz w:val="20"/>
                <w:lang w:val="uk-UA"/>
              </w:rPr>
              <w:t>Транзакцій / частка фроду</w:t>
            </w:r>
          </w:p>
        </w:tc>
        <w:tc>
          <w:tcPr>
            <w:tcW w:type="dxa" w:w="3213"/>
          </w:tcPr>
          <w:p>
            <w:r>
              <w:rPr>
                <w:rFonts w:ascii="Times New Roman" w:hAnsi="Times New Roman" w:cs="Times New Roman"/>
                <w:b w:val="0"/>
                <w:i w:val="0"/>
                <w:sz w:val="20"/>
                <w:lang w:val="en-US"/>
              </w:rPr>
              <w:t>11 127 / 5,14 %</w:t>
            </w:r>
          </w:p>
        </w:tc>
        <w:tc>
          <w:tcPr>
            <w:tcW w:type="dxa" w:w="3213"/>
          </w:tcPr>
          <w:p>
            <w:r>
              <w:rPr>
                <w:rFonts w:ascii="Times New Roman" w:hAnsi="Times New Roman" w:cs="Times New Roman"/>
                <w:b w:val="0"/>
                <w:i w:val="0"/>
                <w:sz w:val="20"/>
                <w:lang w:val="en-US"/>
              </w:rPr>
              <w:t>590 540 / 3,50 %</w:t>
            </w:r>
          </w:p>
        </w:tc>
      </w:tr>
      <w:tr>
        <w:tc>
          <w:tcPr>
            <w:tcW w:type="dxa" w:w="3213"/>
          </w:tcPr>
          <w:p>
            <w:r>
              <w:rPr>
                <w:rFonts w:ascii="Times New Roman" w:hAnsi="Times New Roman" w:cs="Times New Roman"/>
                <w:b w:val="0"/>
                <w:i w:val="0"/>
                <w:sz w:val="20"/>
                <w:lang w:val="uk-UA"/>
              </w:rPr>
              <w:t>Транзакцій на картку-сутність</w:t>
            </w:r>
          </w:p>
        </w:tc>
        <w:tc>
          <w:tcPr>
            <w:tcW w:type="dxa" w:w="3213"/>
          </w:tcPr>
          <w:p>
            <w:r>
              <w:rPr>
                <w:rFonts w:ascii="Times New Roman" w:hAnsi="Times New Roman" w:cs="Times New Roman"/>
                <w:b w:val="0"/>
                <w:i w:val="0"/>
                <w:sz w:val="20"/>
                <w:lang w:val="uk-UA"/>
              </w:rPr>
              <w:t>1,2 (справжня картка)</w:t>
            </w:r>
          </w:p>
        </w:tc>
        <w:tc>
          <w:tcPr>
            <w:tcW w:type="dxa" w:w="3213"/>
          </w:tcPr>
          <w:p>
            <w:r>
              <w:rPr>
                <w:rFonts w:ascii="Times New Roman" w:hAnsi="Times New Roman" w:cs="Times New Roman"/>
                <w:b w:val="0"/>
                <w:i w:val="0"/>
                <w:sz w:val="20"/>
                <w:lang w:val="uk-UA"/>
              </w:rPr>
              <w:t>43,6 (проксі `card1`)</w:t>
            </w:r>
          </w:p>
        </w:tc>
      </w:tr>
      <w:tr>
        <w:tc>
          <w:tcPr>
            <w:tcW w:type="dxa" w:w="3213"/>
          </w:tcPr>
          <w:p>
            <w:r>
              <w:rPr>
                <w:rFonts w:ascii="Times New Roman" w:hAnsi="Times New Roman" w:cs="Times New Roman"/>
                <w:b w:val="0"/>
                <w:i w:val="0"/>
                <w:sz w:val="20"/>
                <w:lang w:val="uk-UA"/>
              </w:rPr>
              <w:t>Режим фроду</w:t>
            </w:r>
          </w:p>
        </w:tc>
        <w:tc>
          <w:tcPr>
            <w:tcW w:type="dxa" w:w="3213"/>
          </w:tcPr>
          <w:p>
            <w:r>
              <w:rPr>
                <w:rFonts w:ascii="Times New Roman" w:hAnsi="Times New Roman" w:cs="Times New Roman"/>
                <w:b w:val="0"/>
                <w:i w:val="0"/>
                <w:sz w:val="20"/>
                <w:lang w:val="uk-UA"/>
              </w:rPr>
              <w:t>card-testing (одноразові картки)</w:t>
            </w:r>
          </w:p>
        </w:tc>
        <w:tc>
          <w:tcPr>
            <w:tcW w:type="dxa" w:w="3213"/>
          </w:tcPr>
          <w:p>
            <w:r>
              <w:rPr>
                <w:rFonts w:ascii="Times New Roman" w:hAnsi="Times New Roman" w:cs="Times New Roman"/>
                <w:b w:val="0"/>
                <w:i w:val="0"/>
                <w:sz w:val="20"/>
                <w:lang w:val="uk-UA"/>
              </w:rPr>
              <w:t>акаунт/ідентичність (нові картки, зв'язки)</w:t>
            </w:r>
          </w:p>
        </w:tc>
      </w:tr>
      <w:tr>
        <w:tc>
          <w:tcPr>
            <w:tcW w:type="dxa" w:w="3213"/>
          </w:tcPr>
          <w:p>
            <w:r>
              <w:rPr>
                <w:rFonts w:ascii="Times New Roman" w:hAnsi="Times New Roman" w:cs="Times New Roman"/>
                <w:b w:val="0"/>
                <w:i w:val="0"/>
                <w:sz w:val="20"/>
                <w:lang w:val="uk-UA"/>
              </w:rPr>
              <w:t>Найсильніше поведінкове сімейство</w:t>
            </w:r>
          </w:p>
        </w:tc>
        <w:tc>
          <w:tcPr>
            <w:tcW w:type="dxa" w:w="3213"/>
          </w:tcPr>
          <w:p>
            <w:r>
              <w:rPr>
                <w:rFonts w:ascii="Times New Roman" w:hAnsi="Times New Roman" w:cs="Times New Roman"/>
                <w:b w:val="0"/>
                <w:i w:val="0"/>
                <w:sz w:val="20"/>
                <w:lang w:val="en-US"/>
              </w:rPr>
              <w:t>velocity, silhouette **0,81**</w:t>
            </w:r>
          </w:p>
        </w:tc>
        <w:tc>
          <w:tcPr>
            <w:tcW w:type="dxa" w:w="3213"/>
          </w:tcPr>
          <w:p>
            <w:r>
              <w:rPr>
                <w:rFonts w:ascii="Times New Roman" w:hAnsi="Times New Roman" w:cs="Times New Roman"/>
                <w:b w:val="0"/>
                <w:i w:val="0"/>
                <w:sz w:val="20"/>
                <w:lang w:val="en-US"/>
              </w:rPr>
              <w:t>count `C`, silhouette **0,48**</w:t>
            </w:r>
          </w:p>
        </w:tc>
      </w:tr>
      <w:tr>
        <w:tc>
          <w:tcPr>
            <w:tcW w:type="dxa" w:w="3213"/>
          </w:tcPr>
          <w:p>
            <w:r>
              <w:rPr>
                <w:rFonts w:ascii="Times New Roman" w:hAnsi="Times New Roman" w:cs="Times New Roman"/>
                <w:b w:val="0"/>
                <w:i w:val="0"/>
                <w:sz w:val="20"/>
                <w:lang w:val="uk-UA"/>
              </w:rPr>
              <w:t>Інше сильне поведінкове сімейство</w:t>
            </w:r>
          </w:p>
        </w:tc>
        <w:tc>
          <w:tcPr>
            <w:tcW w:type="dxa" w:w="3213"/>
          </w:tcPr>
          <w:p>
            <w:r>
              <w:rPr>
                <w:rFonts w:ascii="Times New Roman" w:hAnsi="Times New Roman" w:cs="Times New Roman"/>
                <w:b w:val="0"/>
                <w:i w:val="0"/>
                <w:sz w:val="20"/>
                <w:lang w:val="en-US"/>
              </w:rPr>
              <w:t>identity 0,64</w:t>
            </w:r>
          </w:p>
        </w:tc>
        <w:tc>
          <w:tcPr>
            <w:tcW w:type="dxa" w:w="3213"/>
          </w:tcPr>
          <w:p>
            <w:r>
              <w:rPr>
                <w:rFonts w:ascii="Times New Roman" w:hAnsi="Times New Roman" w:cs="Times New Roman"/>
                <w:b w:val="0"/>
                <w:i w:val="0"/>
                <w:sz w:val="20"/>
                <w:lang w:val="uk-UA"/>
              </w:rPr>
              <w:t>timedelta `D`, середнє F **1530**</w:t>
            </w:r>
          </w:p>
        </w:tc>
      </w:tr>
      <w:tr>
        <w:tc>
          <w:tcPr>
            <w:tcW w:type="dxa" w:w="3213"/>
          </w:tcPr>
          <w:p>
            <w:r>
              <w:rPr>
                <w:rFonts w:ascii="Times New Roman" w:hAnsi="Times New Roman" w:cs="Times New Roman"/>
                <w:b w:val="0"/>
                <w:i w:val="0"/>
                <w:sz w:val="20"/>
                <w:lang w:val="en-US"/>
              </w:rPr>
              <w:t>amount / temporal (silhouette)</w:t>
            </w:r>
          </w:p>
        </w:tc>
        <w:tc>
          <w:tcPr>
            <w:tcW w:type="dxa" w:w="3213"/>
          </w:tcPr>
          <w:p>
            <w:r>
              <w:rPr>
                <w:rFonts w:ascii="Times New Roman" w:hAnsi="Times New Roman" w:cs="Times New Roman"/>
                <w:b w:val="0"/>
                <w:i w:val="0"/>
                <w:sz w:val="20"/>
                <w:lang w:val="en-US"/>
              </w:rPr>
              <w:t>0,22 / 0,06</w:t>
            </w:r>
          </w:p>
        </w:tc>
        <w:tc>
          <w:tcPr>
            <w:tcW w:type="dxa" w:w="3213"/>
          </w:tcPr>
          <w:p>
            <w:r>
              <w:rPr>
                <w:rFonts w:ascii="Times New Roman" w:hAnsi="Times New Roman" w:cs="Times New Roman"/>
                <w:b w:val="0"/>
                <w:i w:val="0"/>
                <w:sz w:val="20"/>
                <w:lang w:val="en-US"/>
              </w:rPr>
              <w:t>0,07 / 0,03</w:t>
            </w:r>
          </w:p>
        </w:tc>
      </w:tr>
      <w:tr>
        <w:tc>
          <w:tcPr>
            <w:tcW w:type="dxa" w:w="3213"/>
          </w:tcPr>
          <w:p>
            <w:r>
              <w:rPr>
                <w:rFonts w:ascii="Times New Roman" w:hAnsi="Times New Roman" w:cs="Times New Roman"/>
                <w:b w:val="0"/>
                <w:i w:val="0"/>
                <w:sz w:val="20"/>
                <w:lang w:val="uk-UA"/>
              </w:rPr>
              <w:t>Характерний маркер режиму</w:t>
            </w:r>
          </w:p>
        </w:tc>
        <w:tc>
          <w:tcPr>
            <w:tcW w:type="dxa" w:w="3213"/>
          </w:tcPr>
          <w:p>
            <w:r>
              <w:rPr>
                <w:rFonts w:ascii="Times New Roman" w:hAnsi="Times New Roman" w:cs="Times New Roman"/>
                <w:b w:val="0"/>
                <w:i w:val="0"/>
                <w:sz w:val="20"/>
                <w:lang w:val="uk-UA"/>
              </w:rPr>
              <w:t>повторення суми у вікні 10 хв (lift 15,7×)</w:t>
            </w:r>
          </w:p>
        </w:tc>
        <w:tc>
          <w:tcPr>
            <w:tcW w:type="dxa" w:w="3213"/>
          </w:tcPr>
          <w:p>
            <w:r>
              <w:rPr>
                <w:rFonts w:ascii="Times New Roman" w:hAnsi="Times New Roman" w:cs="Times New Roman"/>
                <w:b w:val="0"/>
                <w:i w:val="0"/>
                <w:sz w:val="20"/>
                <w:lang w:val="uk-UA"/>
              </w:rPr>
              <w:t>нові картки D1≤7 дн (9,4 %); зв'язки C2&gt;10 (9,65 %)</w:t>
            </w:r>
          </w:p>
        </w:tc>
      </w:tr>
    </w:tbl>
    <w:p>
      <w:pPr>
        <w:spacing w:line="360" w:lineRule="auto" w:after="0" w:before="0"/>
        <w:ind w:firstLine="709"/>
        <w:jc w:val="both"/>
      </w:pPr>
      <w:r>
        <w:rPr>
          <w:rFonts w:ascii="Times New Roman" w:hAnsi="Times New Roman" w:cs="Times New Roman"/>
          <w:b w:val="0"/>
          <w:i w:val="0"/>
          <w:sz w:val="28"/>
          <w:lang w:val="uk-UA"/>
        </w:rPr>
        <w:t xml:space="preserve">Природа фроду в IEEE-CIS суттєво відрізняється від card-testing. Інтерпретовані зрізи показують, що частка фроду різко зростає для </w:t>
      </w:r>
      <w:r>
        <w:rPr>
          <w:rFonts w:ascii="Times New Roman" w:hAnsi="Times New Roman" w:cs="Times New Roman"/>
          <w:b/>
          <w:i w:val="0"/>
          <w:sz w:val="28"/>
          <w:lang w:val="uk-UA"/>
        </w:rPr>
        <w:t>нових карток</w:t>
      </w:r>
      <w:r>
        <w:rPr>
          <w:rFonts w:ascii="Times New Roman" w:hAnsi="Times New Roman" w:cs="Times New Roman"/>
          <w:b w:val="0"/>
          <w:i w:val="0"/>
          <w:sz w:val="28"/>
          <w:lang w:val="uk-UA"/>
        </w:rPr>
        <w:t xml:space="preserve"> (D1 ≤ 7 днів від першої появи — 9,4 % проти 1,2 % для карток віком понад рік) та для </w:t>
      </w:r>
      <w:r>
        <w:rPr>
          <w:rFonts w:ascii="Times New Roman" w:hAnsi="Times New Roman" w:cs="Times New Roman"/>
          <w:b/>
          <w:i w:val="0"/>
          <w:sz w:val="28"/>
          <w:lang w:val="uk-UA"/>
        </w:rPr>
        <w:t>сутностей із багатьма зв'язками</w:t>
      </w:r>
      <w:r>
        <w:rPr>
          <w:rFonts w:ascii="Times New Roman" w:hAnsi="Times New Roman" w:cs="Times New Roman"/>
          <w:b w:val="0"/>
          <w:i w:val="0"/>
          <w:sz w:val="28"/>
          <w:lang w:val="uk-UA"/>
        </w:rPr>
        <w:t xml:space="preserve"> (лічильник C2 &gt; 10 — 9,65 % проти 2,3 % за базової 3,5 %); фрод частіший на кредитних картках (6,7 % проти 2,4 % дебетових), для окремих типів продукту (ProductCD «C» — 11,7 %) і за розбіжності адрес білінгу й доставки. Це підпис фроду на рівні </w:t>
      </w:r>
      <w:r>
        <w:rPr>
          <w:rFonts w:ascii="Times New Roman" w:hAnsi="Times New Roman" w:cs="Times New Roman"/>
          <w:b/>
          <w:i w:val="0"/>
          <w:sz w:val="28"/>
          <w:lang w:val="uk-UA"/>
        </w:rPr>
        <w:t>акаунта/ідентичності</w:t>
      </w:r>
      <w:r>
        <w:rPr>
          <w:rFonts w:ascii="Times New Roman" w:hAnsi="Times New Roman" w:cs="Times New Roman"/>
          <w:b w:val="0"/>
          <w:i w:val="0"/>
          <w:sz w:val="28"/>
          <w:lang w:val="uk-UA"/>
        </w:rPr>
        <w:t xml:space="preserve"> (нові або синтетичні сутності, повторне використання реквізитів), а не швидкісних атак card-testing.</w:t>
      </w:r>
    </w:p>
    <w:p>
      <w:pPr>
        <w:spacing w:line="360" w:lineRule="auto" w:after="0" w:before="0"/>
        <w:ind w:firstLine="709"/>
        <w:jc w:val="both"/>
      </w:pPr>
      <w:r>
        <w:rPr>
          <w:rFonts w:ascii="Times New Roman" w:hAnsi="Times New Roman" w:cs="Times New Roman"/>
          <w:b w:val="0"/>
          <w:i w:val="0"/>
          <w:sz w:val="28"/>
          <w:lang w:val="uk-UA"/>
        </w:rPr>
        <w:t xml:space="preserve">Отже, зовнішня перевірка не спростовує, а уточнює головну тезу. Спільним для обох наборів є структурний принцип: розділення класів несуть поведінкові сімейства, тоді як сирі часові та формальні ознаки сум — слабкі. Натомість конкретний домінантний поведінковий механізм залежить від режиму фроду: швидкісне повторення (velocity) для одноразових карток проти зв'язаності сутності та віку картки (count/timedelta) для повторних покупців CNP. </w:t>
      </w:r>
      <w:r>
        <w:rPr>
          <w:rFonts w:ascii="Times New Roman" w:hAnsi="Times New Roman" w:cs="Times New Roman"/>
          <w:b/>
          <w:i w:val="0"/>
          <w:sz w:val="28"/>
          <w:lang w:val="uk-UA"/>
        </w:rPr>
        <w:t>Інваріантним є сам принцип</w:t>
      </w:r>
      <w:r>
        <w:rPr>
          <w:rFonts w:ascii="Times New Roman" w:hAnsi="Times New Roman" w:cs="Times New Roman"/>
          <w:b w:val="0"/>
          <w:i w:val="0"/>
          <w:sz w:val="28"/>
          <w:lang w:val="uk-UA"/>
        </w:rPr>
        <w:t xml:space="preserve"> «структуру поведінкового простору визначає поведінкове, а не формально-часове сімейство», а його конкретна реалізація — доменно-специфічна. Усі числові результати цього підрозділу відтворювані (</w:t>
      </w:r>
      <w:r>
        <w:rPr>
          <w:rFonts w:ascii="Times New Roman" w:hAnsi="Times New Roman" w:cs="Times New Roman"/>
          <w:b w:val="0"/>
          <w:i w:val="0"/>
          <w:sz w:val="28"/>
          <w:lang w:val="en-US"/>
        </w:rPr>
        <w:t>outputs_ieeecis/</w:t>
      </w:r>
      <w:r>
        <w:rPr>
          <w:rFonts w:ascii="Times New Roman" w:hAnsi="Times New Roman" w:cs="Times New Roman"/>
          <w:b w:val="0"/>
          <w:i w:val="0"/>
          <w:sz w:val="28"/>
          <w:lang w:val="en-US"/>
        </w:rPr>
        <w:t xml:space="preserve">, </w:t>
      </w:r>
      <w:r>
        <w:rPr>
          <w:rFonts w:ascii="Times New Roman" w:hAnsi="Times New Roman" w:cs="Times New Roman"/>
          <w:b w:val="0"/>
          <w:i w:val="0"/>
          <w:sz w:val="28"/>
          <w:lang w:val="en-US"/>
        </w:rPr>
        <w:t>outputs_ieeecis_native/</w:t>
      </w:r>
      <w:r>
        <w:rPr>
          <w:rFonts w:ascii="Times New Roman" w:hAnsi="Times New Roman" w:cs="Times New Roman"/>
          <w:b w:val="0"/>
          <w:i w:val="0"/>
          <w:sz w:val="28"/>
          <w:lang w:val="en-US"/>
        </w:rPr>
        <w:t>).</w:t>
      </w:r>
    </w:p>
    <w:p>
      <w:pPr>
        <w:spacing w:before="160" w:after="60" w:line="360" w:lineRule="auto"/>
      </w:pPr>
      <w:r>
        <w:rPr>
          <w:rFonts w:ascii="Times New Roman" w:hAnsi="Times New Roman" w:cs="Times New Roman"/>
          <w:b/>
          <w:i w:val="0"/>
          <w:sz w:val="28"/>
          <w:lang w:val="uk-UA"/>
        </w:rPr>
        <w:t>5. Висновки</w:t>
      </w:r>
    </w:p>
    <w:p>
      <w:pPr>
        <w:spacing w:line="360" w:lineRule="auto" w:after="0" w:before="0"/>
        <w:ind w:firstLine="709"/>
        <w:jc w:val="both"/>
      </w:pPr>
      <w:r>
        <w:rPr>
          <w:rFonts w:ascii="Times New Roman" w:hAnsi="Times New Roman" w:cs="Times New Roman"/>
          <w:b w:val="0"/>
          <w:i w:val="0"/>
          <w:sz w:val="28"/>
          <w:lang w:val="uk-UA"/>
        </w:rPr>
        <w:t>1. Запропоновано систематизовану таксономію поведінкових ознак карткових транзакцій, упорядковану у чотири функціональні сімейства: часові, швидкісні, структурні за сумою та ідентифікаційні (цільовокодовані). Такий упорядкований простір ознак є конструктивною альтернативою емпіричному добору ознак, поширеному у промислових антифрод-системах.</w:t>
      </w:r>
    </w:p>
    <w:p>
      <w:pPr>
        <w:spacing w:line="360" w:lineRule="auto" w:after="0" w:before="0"/>
        <w:ind w:firstLine="709"/>
        <w:jc w:val="both"/>
      </w:pPr>
      <w:r>
        <w:rPr>
          <w:rFonts w:ascii="Times New Roman" w:hAnsi="Times New Roman" w:cs="Times New Roman"/>
          <w:b w:val="0"/>
          <w:i w:val="0"/>
          <w:sz w:val="28"/>
          <w:lang w:val="uk-UA"/>
        </w:rPr>
        <w:t>2. На реальних даних Predict Chargeback Frauds (11 127 транзакцій, травень 2015) показано, що шахрайські транзакції утворюють статистично значущо відокремлену область у просторі поведінкових ознак (Wilks λ = 0,547, F = 352,95, p &lt; 10⁻³⁰⁰), причому ця область неможлива до редукції до одновимірного узагальненого «показника шахрайства» — перші дві головні компоненти пояснюють лише 37,2 % дисперсії.</w:t>
      </w:r>
    </w:p>
    <w:p>
      <w:pPr>
        <w:spacing w:line="360" w:lineRule="auto" w:after="0" w:before="0"/>
        <w:ind w:firstLine="709"/>
        <w:jc w:val="both"/>
      </w:pPr>
      <w:r>
        <w:rPr>
          <w:rFonts w:ascii="Times New Roman" w:hAnsi="Times New Roman" w:cs="Times New Roman"/>
          <w:b w:val="0"/>
          <w:i w:val="0"/>
          <w:sz w:val="28"/>
          <w:lang w:val="uk-UA"/>
        </w:rPr>
        <w:t>3. Встановлено чітку ієрархію сімейств ознак за силою розділення: швидкісне сімейство (silhouette = 0,81) домінує над ідентифікаційним (0,64), структурним за сумою (0,22) та часовим (0,06). Експерименти з послідовним вилученням підтверджують це кількісно: видалення швидкісного сімейства знижує PR-AUC з 0,547 до 0,212 (−61 %); швидкісне сімейство самостійно забезпечує якість, майже не нижчу за повний простір (PR-AUC 0,551).</w:t>
      </w:r>
    </w:p>
    <w:p>
      <w:pPr>
        <w:spacing w:line="360" w:lineRule="auto" w:after="0" w:before="0"/>
        <w:ind w:firstLine="709"/>
        <w:jc w:val="both"/>
      </w:pPr>
      <w:r>
        <w:rPr>
          <w:rFonts w:ascii="Times New Roman" w:hAnsi="Times New Roman" w:cs="Times New Roman"/>
          <w:b w:val="0"/>
          <w:i w:val="0"/>
          <w:sz w:val="28"/>
          <w:lang w:val="uk-UA"/>
        </w:rPr>
        <w:t>4. Ідентифіковано складену поведінкову ознаку card-testing атак (</w:t>
      </w:r>
      <w:r>
        <w:rPr>
          <w:rFonts w:ascii="Times New Roman" w:hAnsi="Times New Roman" w:cs="Times New Roman"/>
          <w:b w:val="0"/>
          <w:i w:val="0"/>
          <w:sz w:val="28"/>
          <w:lang w:val="en-US"/>
        </w:rPr>
        <w:t>n_tx_card_1h ≥ 2</w:t>
      </w:r>
      <w:r>
        <w:rPr>
          <w:rFonts w:ascii="Times New Roman" w:hAnsi="Times New Roman" w:cs="Times New Roman"/>
          <w:b w:val="0"/>
          <w:i w:val="0"/>
          <w:sz w:val="28"/>
          <w:lang w:val="en-US"/>
        </w:rPr>
        <w:t xml:space="preserve"> AND </w:t>
      </w:r>
      <w:r>
        <w:rPr>
          <w:rFonts w:ascii="Times New Roman" w:hAnsi="Times New Roman" w:cs="Times New Roman"/>
          <w:b w:val="0"/>
          <w:i w:val="0"/>
          <w:sz w:val="28"/>
          <w:lang w:val="en-US"/>
        </w:rPr>
        <w:t>same_amount_10min = 1</w:t>
      </w:r>
      <w:r>
        <w:rPr>
          <w:rFonts w:ascii="Times New Roman" w:hAnsi="Times New Roman" w:cs="Times New Roman"/>
          <w:b w:val="0"/>
          <w:i w:val="0"/>
          <w:sz w:val="28"/>
          <w:lang w:val="uk-UA"/>
        </w:rPr>
        <w:t>) з часткою шахрайства 80,6 % та охопленням 32,7 % загальної кількості шахрайських подій набору. Ця ознака є компактним структурним підписом основного класу зловмисної поведінки, що раніше у літературі рідко виділявся як окрема аналітична категорія.</w:t>
      </w:r>
    </w:p>
    <w:p>
      <w:pPr>
        <w:spacing w:line="360" w:lineRule="auto" w:after="0" w:before="0"/>
        <w:ind w:firstLine="709"/>
        <w:jc w:val="both"/>
      </w:pPr>
      <w:r>
        <w:rPr>
          <w:rFonts w:ascii="Times New Roman" w:hAnsi="Times New Roman" w:cs="Times New Roman"/>
          <w:b w:val="0"/>
          <w:i w:val="0"/>
          <w:sz w:val="28"/>
          <w:lang w:val="uk-UA"/>
        </w:rPr>
        <w:t>5. Експериментально показано, що популярні часові ознаки (</w:t>
      </w:r>
      <w:r>
        <w:rPr>
          <w:rFonts w:ascii="Times New Roman" w:hAnsi="Times New Roman" w:cs="Times New Roman"/>
          <w:b w:val="0"/>
          <w:i w:val="0"/>
          <w:sz w:val="28"/>
          <w:lang w:val="en-US"/>
        </w:rPr>
        <w:t>weekend</w:t>
      </w:r>
      <w:r>
        <w:rPr>
          <w:rFonts w:ascii="Times New Roman" w:hAnsi="Times New Roman" w:cs="Times New Roman"/>
          <w:b w:val="0"/>
          <w:i w:val="0"/>
          <w:sz w:val="28"/>
          <w:lang w:val="en-US"/>
        </w:rPr>
        <w:t xml:space="preserve">, </w:t>
      </w:r>
      <w:r>
        <w:rPr>
          <w:rFonts w:ascii="Times New Roman" w:hAnsi="Times New Roman" w:cs="Times New Roman"/>
          <w:b w:val="0"/>
          <w:i w:val="0"/>
          <w:sz w:val="28"/>
          <w:lang w:val="en-US"/>
        </w:rPr>
        <w:t>night</w:t>
      </w:r>
      <w:r>
        <w:rPr>
          <w:rFonts w:ascii="Times New Roman" w:hAnsi="Times New Roman" w:cs="Times New Roman"/>
          <w:b w:val="0"/>
          <w:i w:val="0"/>
          <w:sz w:val="28"/>
          <w:lang w:val="en-US"/>
        </w:rPr>
        <w:t xml:space="preserve">, </w:t>
      </w:r>
      <w:r>
        <w:rPr>
          <w:rFonts w:ascii="Times New Roman" w:hAnsi="Times New Roman" w:cs="Times New Roman"/>
          <w:b w:val="0"/>
          <w:i w:val="0"/>
          <w:sz w:val="28"/>
          <w:lang w:val="en-US"/>
        </w:rPr>
        <w:t>hour</w:t>
      </w:r>
      <w:r>
        <w:rPr>
          <w:rFonts w:ascii="Times New Roman" w:hAnsi="Times New Roman" w:cs="Times New Roman"/>
          <w:b w:val="0"/>
          <w:i w:val="0"/>
          <w:sz w:val="28"/>
          <w:lang w:val="uk-UA"/>
        </w:rPr>
        <w:t>) у задачі виявлення карткового шахрайства є опосередкованими непрямими показниками швидкісного шаблону, а не самостійними сигналами: статистично значущий ефект «вихідних» на повному наборі (χ² = 11,73, p &lt; 10⁻³) зникає при стратифікації на високошвидкісну підвибірку (χ² = 0,56, p = 0,46). Часові ознаки самі собою є фактично випадковими класифікаторами (PR-AUC 0,073 при базовій частці 0,062).</w:t>
      </w:r>
    </w:p>
    <w:p>
      <w:pPr>
        <w:spacing w:line="360" w:lineRule="auto" w:after="0" w:before="0"/>
        <w:ind w:firstLine="709"/>
        <w:jc w:val="both"/>
      </w:pPr>
      <w:r>
        <w:rPr>
          <w:rFonts w:ascii="Times New Roman" w:hAnsi="Times New Roman" w:cs="Times New Roman"/>
          <w:b w:val="0"/>
          <w:i w:val="0"/>
          <w:sz w:val="28"/>
          <w:lang w:val="uk-UA"/>
        </w:rPr>
        <w:t>6. Отримані результати мають практичне значення для проектування антифрод-систем: структурне ядро ознакового простору доцільно формувати зі швидкісних поведінкових ознак (інтервал між транзакціями, щільність у вікнах часу, повторення суми), тоді як часові та формальні ознаки сум є допоміжними і не несуть самостійного сигналу. Окремо ідентифікований підпис card-testing може використовуватися як проста і високоточна правило-базована альтернатива чи доповнення до моделей машинного навчання у real-time системах.</w:t>
      </w:r>
    </w:p>
    <w:p>
      <w:pPr>
        <w:spacing w:line="360" w:lineRule="auto" w:after="0" w:before="0"/>
        <w:ind w:firstLine="709"/>
        <w:jc w:val="both"/>
      </w:pPr>
      <w:r>
        <w:rPr>
          <w:rFonts w:ascii="Times New Roman" w:hAnsi="Times New Roman" w:cs="Times New Roman"/>
          <w:b w:val="0"/>
          <w:i w:val="0"/>
          <w:sz w:val="28"/>
          <w:lang w:val="uk-UA"/>
        </w:rPr>
        <w:t xml:space="preserve">Зовнішня перевірка на незалежному реальному наборі IEEE-CIS (§ 4.10) підтвердила головний структурний принцип: і там розділення класів несуть поведінкові сімейства (лічильники зв'язків </w:t>
      </w:r>
      <w:r>
        <w:rPr>
          <w:rFonts w:ascii="Times New Roman" w:hAnsi="Times New Roman" w:cs="Times New Roman"/>
          <w:b w:val="0"/>
          <w:i w:val="0"/>
          <w:sz w:val="28"/>
          <w:lang w:val="en-US"/>
        </w:rPr>
        <w:t>C</w:t>
      </w:r>
      <w:r>
        <w:rPr>
          <w:rFonts w:ascii="Times New Roman" w:hAnsi="Times New Roman" w:cs="Times New Roman"/>
          <w:b w:val="0"/>
          <w:i w:val="0"/>
          <w:sz w:val="28"/>
          <w:lang w:val="uk-UA"/>
        </w:rPr>
        <w:t xml:space="preserve">, часові дельти </w:t>
      </w:r>
      <w:r>
        <w:rPr>
          <w:rFonts w:ascii="Times New Roman" w:hAnsi="Times New Roman" w:cs="Times New Roman"/>
          <w:b w:val="0"/>
          <w:i w:val="0"/>
          <w:sz w:val="28"/>
          <w:lang w:val="en-US"/>
        </w:rPr>
        <w:t>D</w:t>
      </w:r>
      <w:r>
        <w:rPr>
          <w:rFonts w:ascii="Times New Roman" w:hAnsi="Times New Roman" w:cs="Times New Roman"/>
          <w:b w:val="0"/>
          <w:i w:val="0"/>
          <w:sz w:val="28"/>
          <w:lang w:val="uk-UA"/>
        </w:rPr>
        <w:t xml:space="preserve">), а сирі часові та формальні ознаки сум лишаються слабкими. Водночас </w:t>
      </w:r>
      <w:r>
        <w:rPr>
          <w:rFonts w:ascii="Times New Roman" w:hAnsi="Times New Roman" w:cs="Times New Roman"/>
          <w:b/>
          <w:i w:val="0"/>
          <w:sz w:val="28"/>
          <w:lang w:val="uk-UA"/>
        </w:rPr>
        <w:t>конкретний домінантний поведінковий механізм є доменно-специфічним</w:t>
      </w:r>
      <w:r>
        <w:rPr>
          <w:rFonts w:ascii="Times New Roman" w:hAnsi="Times New Roman" w:cs="Times New Roman"/>
          <w:b w:val="0"/>
          <w:i w:val="0"/>
          <w:sz w:val="28"/>
          <w:lang w:val="uk-UA"/>
        </w:rPr>
        <w:t>: швидкісне повторення (card-testing на одноразових картках) в основному наборі проти зв'язаності сутності та віку картки (фрод на рівні акаунта/ідентичності у CNP e-commerce) в IEEE-CIS. Тому інваріантним слід вважати сам принцип «структуру поведінкового простору визначає поведінкове, а не формально-часове сімейство», а не конкретне сімейство. Обмеженням є й те, що IEEE-CIS не містить справжнього ідентифікатора картки, тож пряме перенесення velocity-ознак на ньому некоректне.</w:t>
      </w:r>
    </w:p>
    <w:p>
      <w:pPr>
        <w:spacing w:line="360" w:lineRule="auto" w:after="0" w:before="0"/>
        <w:ind w:firstLine="709"/>
        <w:jc w:val="both"/>
      </w:pPr>
      <w:r>
        <w:rPr>
          <w:rFonts w:ascii="Times New Roman" w:hAnsi="Times New Roman" w:cs="Times New Roman"/>
          <w:b w:val="0"/>
          <w:i w:val="0"/>
          <w:sz w:val="28"/>
          <w:lang w:val="uk-UA"/>
        </w:rPr>
        <w:t>Перспективою подальших досліджень є побудова єдиної таксономії поведінкових сімейств, інваріантної до режиму фроду, перевірка на наборі зі справжнім ідентифікатором картки, розширення типології поведінкових класів поза бінарну рамку легітимний/шахрай (card-tester, bust-out, account takeover) та дослідження темпоральної динаміки інваріантних ознак у стрімінговій постановці.</w:t>
      </w:r>
    </w:p>
    <w:p>
      <w:pPr>
        <w:spacing w:before="160" w:after="60" w:line="360" w:lineRule="auto"/>
      </w:pPr>
      <w:r>
        <w:rPr>
          <w:rFonts w:ascii="Times New Roman" w:hAnsi="Times New Roman" w:cs="Times New Roman"/>
          <w:b/>
          <w:i w:val="0"/>
          <w:sz w:val="28"/>
          <w:lang w:val="uk-UA"/>
        </w:rPr>
        <w:t>Література</w:t>
      </w:r>
    </w:p>
    <w:p>
      <w:pPr>
        <w:spacing w:line="360" w:lineRule="auto" w:after="0" w:before="0"/>
        <w:ind w:firstLine="709"/>
        <w:jc w:val="both"/>
      </w:pPr>
      <w:r>
        <w:rPr>
          <w:rFonts w:ascii="Times New Roman" w:hAnsi="Times New Roman" w:cs="Times New Roman"/>
          <w:b w:val="0"/>
          <w:i w:val="0"/>
          <w:sz w:val="28"/>
          <w:lang w:val="uk-UA"/>
        </w:rPr>
        <w:t>1. Кужій Ю. І., Фургала Ю. М. Feature Engineering for Role Assessment in Counter-Strike 2 // Electronics and Information Technologies. 2025. Vol. 32. P. 121–130. DOI: 10.30970/eli.32.8.</w:t>
      </w:r>
    </w:p>
    <w:p>
      <w:pPr>
        <w:spacing w:line="360" w:lineRule="auto" w:after="0" w:before="0"/>
        <w:ind w:firstLine="709"/>
        <w:jc w:val="both"/>
      </w:pPr>
      <w:r>
        <w:rPr>
          <w:rFonts w:ascii="Times New Roman" w:hAnsi="Times New Roman" w:cs="Times New Roman"/>
          <w:b w:val="0"/>
          <w:i w:val="0"/>
          <w:sz w:val="28"/>
          <w:lang w:val="en-US"/>
        </w:rPr>
        <w:t>2. Dal Pozzolo A., Caelen O., Johnson R. A., Bontempi G. Calibrating probability with undersampling for unbalanced classification // 2015 IEEE Symposium Series on Computational Intelligence. IEEE, 2015. P. 159–166. DOI: 10.1109/SSCI.2015.33.</w:t>
      </w:r>
    </w:p>
    <w:p>
      <w:pPr>
        <w:spacing w:line="360" w:lineRule="auto" w:after="0" w:before="0"/>
        <w:ind w:firstLine="709"/>
        <w:jc w:val="both"/>
      </w:pPr>
      <w:r>
        <w:rPr>
          <w:rFonts w:ascii="Times New Roman" w:hAnsi="Times New Roman" w:cs="Times New Roman"/>
          <w:b w:val="0"/>
          <w:i w:val="0"/>
          <w:sz w:val="28"/>
          <w:lang w:val="en-US"/>
        </w:rPr>
        <w:t>3. Jurgovsky J., Granitzer M., Ziegler K., Calabretto S., Portier P.-E., He-Guelton L., Caelen O. Sequence classification for credit-card fraud detection // Expert Systems with Applications. 2018. Vol. 100. P. 234–245. DOI: 10.1016/j.eswa.2018.01.037.</w:t>
      </w:r>
    </w:p>
    <w:p>
      <w:pPr>
        <w:spacing w:line="360" w:lineRule="auto" w:after="0" w:before="0"/>
        <w:ind w:firstLine="709"/>
        <w:jc w:val="both"/>
      </w:pPr>
      <w:r>
        <w:rPr>
          <w:rFonts w:ascii="Times New Roman" w:hAnsi="Times New Roman" w:cs="Times New Roman"/>
          <w:b w:val="0"/>
          <w:i w:val="0"/>
          <w:sz w:val="28"/>
          <w:lang w:val="en-US"/>
        </w:rPr>
        <w:t>4. Lucas Y., Portier P.-E., Laporte L., He-Guelton L., Caelen O., Granitzer M., Calabretto S. Towards automated feature engineering for credit card fraud detection using multi-perspective HMMs // Future Generation Computer Systems. 2020. Vol. 102. P. 393–402. DOI: 10.1016/j.future.2019.08.029.</w:t>
      </w:r>
    </w:p>
    <w:p>
      <w:pPr>
        <w:spacing w:line="360" w:lineRule="auto" w:after="0" w:before="0"/>
        <w:ind w:firstLine="709"/>
        <w:jc w:val="both"/>
      </w:pPr>
      <w:r>
        <w:rPr>
          <w:rFonts w:ascii="Times New Roman" w:hAnsi="Times New Roman" w:cs="Times New Roman"/>
          <w:b w:val="0"/>
          <w:i w:val="0"/>
          <w:sz w:val="28"/>
          <w:lang w:val="en-US"/>
        </w:rPr>
        <w:t>5. Bahnsen A. C., Aouada D., Stojanovic A., Ottersten B. Feature engineering strategies for credit card fraud detection // Expert Systems with Applications. 2016. Vol. 51. P. 134–142. DOI: 10.1016/j.eswa.2015.12.030.</w:t>
      </w:r>
    </w:p>
    <w:p>
      <w:pPr>
        <w:spacing w:line="360" w:lineRule="auto" w:after="0" w:before="0"/>
        <w:ind w:firstLine="709"/>
        <w:jc w:val="both"/>
      </w:pPr>
      <w:r>
        <w:rPr>
          <w:rFonts w:ascii="Times New Roman" w:hAnsi="Times New Roman" w:cs="Times New Roman"/>
          <w:b w:val="0"/>
          <w:i w:val="0"/>
          <w:sz w:val="28"/>
          <w:lang w:val="en-US"/>
        </w:rPr>
        <w:t>6. Van Vlasselaer V., Bravo C., Caelen O., Eliassi-Rad T., Akoglu L., Snoeck M., Baesens B. APATE: A novel approach for automated credit card transaction fraud detection using network-based extensions // Decision Support Systems. 2015. Vol. 75. P. 38–48. DOI: 10.1016/j.dss.2015.04.013.</w:t>
      </w:r>
    </w:p>
    <w:p>
      <w:pPr>
        <w:spacing w:line="360" w:lineRule="auto" w:after="0" w:before="0"/>
        <w:ind w:firstLine="709"/>
        <w:jc w:val="both"/>
      </w:pPr>
      <w:r>
        <w:rPr>
          <w:rFonts w:ascii="Times New Roman" w:hAnsi="Times New Roman" w:cs="Times New Roman"/>
          <w:b w:val="0"/>
          <w:i w:val="0"/>
          <w:sz w:val="28"/>
          <w:lang w:val="en-US"/>
        </w:rPr>
        <w:t>7. Carneiro N., Figueira G., Costa M. A data mining based system for credit-card fraud detection in e-tail // Decision Support Systems. 2017. Vol. 95. P. 91–101. DOI: 10.1016/j.dss.2017.01.002.</w:t>
      </w:r>
    </w:p>
    <w:p>
      <w:pPr>
        <w:spacing w:line="360" w:lineRule="auto" w:after="0" w:before="0"/>
        <w:ind w:firstLine="709"/>
        <w:jc w:val="both"/>
      </w:pPr>
      <w:r>
        <w:rPr>
          <w:rFonts w:ascii="Times New Roman" w:hAnsi="Times New Roman" w:cs="Times New Roman"/>
          <w:b w:val="0"/>
          <w:i w:val="0"/>
          <w:sz w:val="28"/>
          <w:lang w:val="en-US"/>
        </w:rPr>
        <w:t>8. De Sá A. G. C., Pereira A. C. M., Pappa G. L. A customized classification algorithm for credit card fraud detection // Engineering Applications of Artificial Intelligence. 2018. Vol. 72. P. 21–29. DOI: 10.1016/j.engappai.2018.03.011.</w:t>
      </w:r>
    </w:p>
    <w:p>
      <w:pPr>
        <w:spacing w:line="360" w:lineRule="auto" w:after="0" w:before="0"/>
        <w:ind w:firstLine="709"/>
        <w:jc w:val="both"/>
      </w:pPr>
      <w:r>
        <w:rPr>
          <w:rFonts w:ascii="Times New Roman" w:hAnsi="Times New Roman" w:cs="Times New Roman"/>
          <w:b w:val="0"/>
          <w:i w:val="0"/>
          <w:sz w:val="28"/>
          <w:lang w:val="en-US"/>
        </w:rPr>
        <w:t>9. Carcillo F., Le Borgne Y.-A., Caelen O., Kessaci Y., Oblé F., Bontempi G. Combining unsupervised and supervised learning in credit card fraud detection // Information Sciences. 2021. Vol. 557. P. 317–331. DOI: 10.1016/j.ins.2019.05.042.</w:t>
      </w:r>
    </w:p>
    <w:p>
      <w:pPr>
        <w:spacing w:line="360" w:lineRule="auto" w:after="0" w:before="0"/>
        <w:ind w:firstLine="709"/>
        <w:jc w:val="both"/>
      </w:pPr>
      <w:r>
        <w:rPr>
          <w:rFonts w:ascii="Times New Roman" w:hAnsi="Times New Roman" w:cs="Times New Roman"/>
          <w:b w:val="0"/>
          <w:i w:val="0"/>
          <w:sz w:val="28"/>
          <w:lang w:val="en-US"/>
        </w:rPr>
        <w:t>10. Jolliffe I. T., Cadima J. Principal component analysis: a review and recent developments // Philosophical Transactions of the Royal Society A. 2016. Vol. 374. Art. 20150202. DOI: 10.1098/rsta.2015.0202.</w:t>
      </w:r>
    </w:p>
    <w:p>
      <w:pPr>
        <w:spacing w:line="360" w:lineRule="auto" w:after="0" w:before="0"/>
        <w:ind w:firstLine="709"/>
        <w:jc w:val="both"/>
      </w:pPr>
      <w:r>
        <w:rPr>
          <w:rFonts w:ascii="Times New Roman" w:hAnsi="Times New Roman" w:cs="Times New Roman"/>
          <w:b w:val="0"/>
          <w:i w:val="0"/>
          <w:sz w:val="28"/>
          <w:lang w:val="en-US"/>
        </w:rPr>
        <w:t>11. Rousseeuw P. J. Silhouettes: a graphical aid to the interpretation and validation of cluster analysis // Journal of Computational and Applied Mathematics. 1987. Vol. 20. P. 53–65. DOI: 10.1016/0377-0427(87)90125-7.</w:t>
      </w:r>
    </w:p>
    <w:p>
      <w:pPr>
        <w:spacing w:line="360" w:lineRule="auto" w:after="0" w:before="0"/>
        <w:ind w:firstLine="709"/>
        <w:jc w:val="both"/>
      </w:pPr>
      <w:r>
        <w:rPr>
          <w:rFonts w:ascii="Times New Roman" w:hAnsi="Times New Roman" w:cs="Times New Roman"/>
          <w:b w:val="0"/>
          <w:i w:val="0"/>
          <w:sz w:val="28"/>
          <w:lang w:val="en-US"/>
        </w:rPr>
        <w:t>12. Bishop C. M. Pattern Recognition and Machine Learning. New York: Springer, 2006. 738 p.</w:t>
      </w:r>
    </w:p>
    <w:p>
      <w:pPr>
        <w:spacing w:line="360" w:lineRule="auto" w:after="0" w:before="0"/>
        <w:ind w:firstLine="709"/>
        <w:jc w:val="both"/>
      </w:pPr>
      <w:r>
        <w:rPr>
          <w:rFonts w:ascii="Times New Roman" w:hAnsi="Times New Roman" w:cs="Times New Roman"/>
          <w:b w:val="0"/>
          <w:i w:val="0"/>
          <w:sz w:val="28"/>
          <w:lang w:val="en-US"/>
        </w:rPr>
        <w:t>13. Miranda-Alves D. Predict Chargeback Frauds. Kaggle Dataset, 2019. URL: https://www.kaggle.com/datasets/dmirandaalves/predict-chargeback-frauds-payment.</w:t>
      </w:r>
    </w:p>
    <w:p>
      <w:pPr>
        <w:spacing w:line="360" w:lineRule="auto" w:after="0" w:before="0"/>
        <w:ind w:firstLine="709"/>
        <w:jc w:val="both"/>
      </w:pPr>
      <w:r>
        <w:rPr>
          <w:rFonts w:ascii="Times New Roman" w:hAnsi="Times New Roman" w:cs="Times New Roman"/>
          <w:b w:val="0"/>
          <w:i w:val="0"/>
          <w:sz w:val="28"/>
          <w:lang w:val="en-US"/>
        </w:rPr>
        <w:t>14. IEEE Computational Intelligence Society, Vesta Corporation. IEEE-CIS Fraud Detection. Kaggle Competition, 2019. URL: https://www.kaggle.com/competitions/ieee-fraud-detection.</w:t>
      </w:r>
    </w:p>
    <w:p>
      <w:pPr>
        <w:spacing w:before="160" w:after="60" w:line="360" w:lineRule="auto"/>
      </w:pPr>
      <w:r>
        <w:rPr>
          <w:rFonts w:ascii="Times New Roman" w:hAnsi="Times New Roman" w:cs="Times New Roman"/>
          <w:b/>
          <w:i w:val="0"/>
          <w:sz w:val="28"/>
          <w:lang w:val="en-US"/>
        </w:rPr>
        <w:t>References</w:t>
      </w:r>
    </w:p>
    <w:p>
      <w:pPr>
        <w:spacing w:line="360" w:lineRule="auto" w:after="0" w:before="0"/>
        <w:ind w:firstLine="709"/>
        <w:jc w:val="both"/>
      </w:pPr>
      <w:r>
        <w:rPr>
          <w:rFonts w:ascii="Times New Roman" w:hAnsi="Times New Roman" w:cs="Times New Roman"/>
          <w:b w:val="0"/>
          <w:i w:val="0"/>
          <w:sz w:val="28"/>
          <w:lang w:val="en-US"/>
        </w:rPr>
        <w:t xml:space="preserve">1. Kuzhii, Yu. I., &amp; Furgala, Yu. M. (2025). Feature engineering for role assessment in Counter-Strike 2. </w:t>
      </w:r>
      <w:r>
        <w:rPr>
          <w:rFonts w:ascii="Times New Roman" w:hAnsi="Times New Roman" w:cs="Times New Roman"/>
          <w:b w:val="0"/>
          <w:i/>
          <w:sz w:val="28"/>
          <w:lang w:val="en-US"/>
        </w:rPr>
        <w:t>Electronics and Information Technologies, 32</w:t>
      </w:r>
      <w:r>
        <w:rPr>
          <w:rFonts w:ascii="Times New Roman" w:hAnsi="Times New Roman" w:cs="Times New Roman"/>
          <w:b w:val="0"/>
          <w:i w:val="0"/>
          <w:sz w:val="28"/>
          <w:lang w:val="en-US"/>
        </w:rPr>
        <w:t>, 121–130. https://doi.org/10.30970/eli.32.8</w:t>
      </w:r>
    </w:p>
    <w:p>
      <w:pPr>
        <w:spacing w:line="360" w:lineRule="auto" w:after="0" w:before="0"/>
        <w:ind w:firstLine="709"/>
        <w:jc w:val="both"/>
      </w:pPr>
      <w:r>
        <w:rPr>
          <w:rFonts w:ascii="Times New Roman" w:hAnsi="Times New Roman" w:cs="Times New Roman"/>
          <w:b w:val="0"/>
          <w:i w:val="0"/>
          <w:sz w:val="28"/>
          <w:lang w:val="en-US"/>
        </w:rPr>
        <w:t xml:space="preserve">2. Dal Pozzolo, A., Caelen, O., Johnson, R. A., &amp; Bontempi, G. (2015). Calibrating probability with undersampling for unbalanced classification. In </w:t>
      </w:r>
      <w:r>
        <w:rPr>
          <w:rFonts w:ascii="Times New Roman" w:hAnsi="Times New Roman" w:cs="Times New Roman"/>
          <w:b w:val="0"/>
          <w:i/>
          <w:sz w:val="28"/>
          <w:lang w:val="en-US"/>
        </w:rPr>
        <w:t>2015 IEEE Symposium Series on Computational Intelligence</w:t>
      </w:r>
      <w:r>
        <w:rPr>
          <w:rFonts w:ascii="Times New Roman" w:hAnsi="Times New Roman" w:cs="Times New Roman"/>
          <w:b w:val="0"/>
          <w:i w:val="0"/>
          <w:sz w:val="28"/>
          <w:lang w:val="en-US"/>
        </w:rPr>
        <w:t xml:space="preserve"> (pp. 159–166). IEEE. https://doi.org/10.1109/SSCI.2015.33</w:t>
      </w:r>
    </w:p>
    <w:p>
      <w:pPr>
        <w:spacing w:line="360" w:lineRule="auto" w:after="0" w:before="0"/>
        <w:ind w:firstLine="709"/>
        <w:jc w:val="both"/>
      </w:pPr>
      <w:r>
        <w:rPr>
          <w:rFonts w:ascii="Times New Roman" w:hAnsi="Times New Roman" w:cs="Times New Roman"/>
          <w:b w:val="0"/>
          <w:i w:val="0"/>
          <w:sz w:val="28"/>
          <w:lang w:val="en-US"/>
        </w:rPr>
        <w:t xml:space="preserve">3. Jurgovsky, J., Granitzer, M., Ziegler, K., Calabretto, S., Portier, P.-E., He-Guelton, L., &amp; Caelen, O. (2018). Sequence classification for credit-card fraud detection. </w:t>
      </w:r>
      <w:r>
        <w:rPr>
          <w:rFonts w:ascii="Times New Roman" w:hAnsi="Times New Roman" w:cs="Times New Roman"/>
          <w:b w:val="0"/>
          <w:i/>
          <w:sz w:val="28"/>
          <w:lang w:val="en-US"/>
        </w:rPr>
        <w:t>Expert Systems with Applications, 100</w:t>
      </w:r>
      <w:r>
        <w:rPr>
          <w:rFonts w:ascii="Times New Roman" w:hAnsi="Times New Roman" w:cs="Times New Roman"/>
          <w:b w:val="0"/>
          <w:i w:val="0"/>
          <w:sz w:val="28"/>
          <w:lang w:val="en-US"/>
        </w:rPr>
        <w:t>, 234–245. https://doi.org/10.1016/j.eswa.2018.01.037</w:t>
      </w:r>
    </w:p>
    <w:p>
      <w:pPr>
        <w:spacing w:line="360" w:lineRule="auto" w:after="0" w:before="0"/>
        <w:ind w:firstLine="709"/>
        <w:jc w:val="both"/>
      </w:pPr>
      <w:r>
        <w:rPr>
          <w:rFonts w:ascii="Times New Roman" w:hAnsi="Times New Roman" w:cs="Times New Roman"/>
          <w:b w:val="0"/>
          <w:i w:val="0"/>
          <w:sz w:val="28"/>
          <w:lang w:val="en-US"/>
        </w:rPr>
        <w:t xml:space="preserve">4. Lucas, Y., Portier, P.-E., Laporte, L., He-Guelton, L., Caelen, O., Granitzer, M., &amp; Calabretto, S. (2020). Towards automated feature engineering for credit card fraud detection using multi-perspective HMMs. </w:t>
      </w:r>
      <w:r>
        <w:rPr>
          <w:rFonts w:ascii="Times New Roman" w:hAnsi="Times New Roman" w:cs="Times New Roman"/>
          <w:b w:val="0"/>
          <w:i/>
          <w:sz w:val="28"/>
          <w:lang w:val="en-US"/>
        </w:rPr>
        <w:t>Future Generation Computer Systems, 102</w:t>
      </w:r>
      <w:r>
        <w:rPr>
          <w:rFonts w:ascii="Times New Roman" w:hAnsi="Times New Roman" w:cs="Times New Roman"/>
          <w:b w:val="0"/>
          <w:i w:val="0"/>
          <w:sz w:val="28"/>
          <w:lang w:val="en-US"/>
        </w:rPr>
        <w:t>, 393–402. https://doi.org/10.1016/j.future.2019.08.029</w:t>
      </w:r>
    </w:p>
    <w:p>
      <w:pPr>
        <w:spacing w:line="360" w:lineRule="auto" w:after="0" w:before="0"/>
        <w:ind w:firstLine="709"/>
        <w:jc w:val="both"/>
      </w:pPr>
      <w:r>
        <w:rPr>
          <w:rFonts w:ascii="Times New Roman" w:hAnsi="Times New Roman" w:cs="Times New Roman"/>
          <w:b w:val="0"/>
          <w:i w:val="0"/>
          <w:sz w:val="28"/>
          <w:lang w:val="en-US"/>
        </w:rPr>
        <w:t xml:space="preserve">5. Bahnsen, A. C., Aouada, D., Stojanovic, A., &amp; Ottersten, B. (2016). Feature engineering strategies for credit card fraud detection. </w:t>
      </w:r>
      <w:r>
        <w:rPr>
          <w:rFonts w:ascii="Times New Roman" w:hAnsi="Times New Roman" w:cs="Times New Roman"/>
          <w:b w:val="0"/>
          <w:i/>
          <w:sz w:val="28"/>
          <w:lang w:val="en-US"/>
        </w:rPr>
        <w:t>Expert Systems with Applications, 51</w:t>
      </w:r>
      <w:r>
        <w:rPr>
          <w:rFonts w:ascii="Times New Roman" w:hAnsi="Times New Roman" w:cs="Times New Roman"/>
          <w:b w:val="0"/>
          <w:i w:val="0"/>
          <w:sz w:val="28"/>
          <w:lang w:val="en-US"/>
        </w:rPr>
        <w:t>, 134–142. https://doi.org/10.1016/j.eswa.2015.12.030</w:t>
      </w:r>
    </w:p>
    <w:p>
      <w:pPr>
        <w:spacing w:line="360" w:lineRule="auto" w:after="0" w:before="0"/>
        <w:ind w:firstLine="709"/>
        <w:jc w:val="both"/>
      </w:pPr>
      <w:r>
        <w:rPr>
          <w:rFonts w:ascii="Times New Roman" w:hAnsi="Times New Roman" w:cs="Times New Roman"/>
          <w:b w:val="0"/>
          <w:i w:val="0"/>
          <w:sz w:val="28"/>
          <w:lang w:val="en-US"/>
        </w:rPr>
        <w:t xml:space="preserve">6. Van Vlasselaer, V., Bravo, C., Caelen, O., Eliassi-Rad, T., Akoglu, L., Snoeck, M., &amp; Baesens, B. (2015). APATE: A novel approach for automated credit card transaction fraud detection using network-based extensions. </w:t>
      </w:r>
      <w:r>
        <w:rPr>
          <w:rFonts w:ascii="Times New Roman" w:hAnsi="Times New Roman" w:cs="Times New Roman"/>
          <w:b w:val="0"/>
          <w:i/>
          <w:sz w:val="28"/>
          <w:lang w:val="en-US"/>
        </w:rPr>
        <w:t>Decision Support Systems, 75</w:t>
      </w:r>
      <w:r>
        <w:rPr>
          <w:rFonts w:ascii="Times New Roman" w:hAnsi="Times New Roman" w:cs="Times New Roman"/>
          <w:b w:val="0"/>
          <w:i w:val="0"/>
          <w:sz w:val="28"/>
          <w:lang w:val="en-US"/>
        </w:rPr>
        <w:t>, 38–48. https://doi.org/10.1016/j.dss.2015.04.013</w:t>
      </w:r>
    </w:p>
    <w:p>
      <w:pPr>
        <w:spacing w:line="360" w:lineRule="auto" w:after="0" w:before="0"/>
        <w:ind w:firstLine="709"/>
        <w:jc w:val="both"/>
      </w:pPr>
      <w:r>
        <w:rPr>
          <w:rFonts w:ascii="Times New Roman" w:hAnsi="Times New Roman" w:cs="Times New Roman"/>
          <w:b w:val="0"/>
          <w:i w:val="0"/>
          <w:sz w:val="28"/>
          <w:lang w:val="en-US"/>
        </w:rPr>
        <w:t xml:space="preserve">7. Carneiro, N., Figueira, G., &amp; Costa, M. (2017). A data mining based system for credit-card fraud detection in e-tail. </w:t>
      </w:r>
      <w:r>
        <w:rPr>
          <w:rFonts w:ascii="Times New Roman" w:hAnsi="Times New Roman" w:cs="Times New Roman"/>
          <w:b w:val="0"/>
          <w:i/>
          <w:sz w:val="28"/>
          <w:lang w:val="en-US"/>
        </w:rPr>
        <w:t>Decision Support Systems, 95</w:t>
      </w:r>
      <w:r>
        <w:rPr>
          <w:rFonts w:ascii="Times New Roman" w:hAnsi="Times New Roman" w:cs="Times New Roman"/>
          <w:b w:val="0"/>
          <w:i w:val="0"/>
          <w:sz w:val="28"/>
          <w:lang w:val="en-US"/>
        </w:rPr>
        <w:t>, 91–101. https://doi.org/10.1016/j.dss.2017.01.002</w:t>
      </w:r>
    </w:p>
    <w:p>
      <w:pPr>
        <w:spacing w:line="360" w:lineRule="auto" w:after="0" w:before="0"/>
        <w:ind w:firstLine="709"/>
        <w:jc w:val="both"/>
      </w:pPr>
      <w:r>
        <w:rPr>
          <w:rFonts w:ascii="Times New Roman" w:hAnsi="Times New Roman" w:cs="Times New Roman"/>
          <w:b w:val="0"/>
          <w:i w:val="0"/>
          <w:sz w:val="28"/>
          <w:lang w:val="en-US"/>
        </w:rPr>
        <w:t xml:space="preserve">8. De Sá, A. G. C., Pereira, A. C. M., &amp; Pappa, G. L. (2018). A customized classification algorithm for credit card fraud detection. </w:t>
      </w:r>
      <w:r>
        <w:rPr>
          <w:rFonts w:ascii="Times New Roman" w:hAnsi="Times New Roman" w:cs="Times New Roman"/>
          <w:b w:val="0"/>
          <w:i/>
          <w:sz w:val="28"/>
          <w:lang w:val="en-US"/>
        </w:rPr>
        <w:t>Engineering Applications of Artificial Intelligence, 72</w:t>
      </w:r>
      <w:r>
        <w:rPr>
          <w:rFonts w:ascii="Times New Roman" w:hAnsi="Times New Roman" w:cs="Times New Roman"/>
          <w:b w:val="0"/>
          <w:i w:val="0"/>
          <w:sz w:val="28"/>
          <w:lang w:val="en-US"/>
        </w:rPr>
        <w:t>, 21–29. https://doi.org/10.1016/j.engappai.2018.03.011</w:t>
      </w:r>
    </w:p>
    <w:p>
      <w:pPr>
        <w:spacing w:line="360" w:lineRule="auto" w:after="0" w:before="0"/>
        <w:ind w:firstLine="709"/>
        <w:jc w:val="both"/>
      </w:pPr>
      <w:r>
        <w:rPr>
          <w:rFonts w:ascii="Times New Roman" w:hAnsi="Times New Roman" w:cs="Times New Roman"/>
          <w:b w:val="0"/>
          <w:i w:val="0"/>
          <w:sz w:val="28"/>
          <w:lang w:val="en-US"/>
        </w:rPr>
        <w:t xml:space="preserve">9. Carcillo, F., Le Borgne, Y.-A., Caelen, O., Kessaci, Y., Oblé, F., &amp; Bontempi, G. (2021). Combining unsupervised and supervised learning in credit card fraud detection. </w:t>
      </w:r>
      <w:r>
        <w:rPr>
          <w:rFonts w:ascii="Times New Roman" w:hAnsi="Times New Roman" w:cs="Times New Roman"/>
          <w:b w:val="0"/>
          <w:i/>
          <w:sz w:val="28"/>
          <w:lang w:val="en-US"/>
        </w:rPr>
        <w:t>Information Sciences, 557</w:t>
      </w:r>
      <w:r>
        <w:rPr>
          <w:rFonts w:ascii="Times New Roman" w:hAnsi="Times New Roman" w:cs="Times New Roman"/>
          <w:b w:val="0"/>
          <w:i w:val="0"/>
          <w:sz w:val="28"/>
          <w:lang w:val="en-US"/>
        </w:rPr>
        <w:t>, 317–331. https://doi.org/10.1016/j.ins.2019.05.042</w:t>
      </w:r>
    </w:p>
    <w:p>
      <w:pPr>
        <w:spacing w:line="360" w:lineRule="auto" w:after="0" w:before="0"/>
        <w:ind w:firstLine="709"/>
        <w:jc w:val="both"/>
      </w:pPr>
      <w:r>
        <w:rPr>
          <w:rFonts w:ascii="Times New Roman" w:hAnsi="Times New Roman" w:cs="Times New Roman"/>
          <w:b w:val="0"/>
          <w:i w:val="0"/>
          <w:sz w:val="28"/>
          <w:lang w:val="en-US"/>
        </w:rPr>
        <w:t xml:space="preserve">10. Jolliffe, I. T., &amp; Cadima, J. (2016). Principal component analysis: A review and recent developments. </w:t>
      </w:r>
      <w:r>
        <w:rPr>
          <w:rFonts w:ascii="Times New Roman" w:hAnsi="Times New Roman" w:cs="Times New Roman"/>
          <w:b w:val="0"/>
          <w:i/>
          <w:sz w:val="28"/>
          <w:lang w:val="en-US"/>
        </w:rPr>
        <w:t>Philosophical Transactions of the Royal Society A, 374</w:t>
      </w:r>
      <w:r>
        <w:rPr>
          <w:rFonts w:ascii="Times New Roman" w:hAnsi="Times New Roman" w:cs="Times New Roman"/>
          <w:b w:val="0"/>
          <w:i w:val="0"/>
          <w:sz w:val="28"/>
          <w:lang w:val="en-US"/>
        </w:rPr>
        <w:t>, 20150202. https://doi.org/10.1098/rsta.2015.0202</w:t>
      </w:r>
    </w:p>
    <w:p>
      <w:pPr>
        <w:spacing w:line="360" w:lineRule="auto" w:after="0" w:before="0"/>
        <w:ind w:firstLine="709"/>
        <w:jc w:val="both"/>
      </w:pPr>
      <w:r>
        <w:rPr>
          <w:rFonts w:ascii="Times New Roman" w:hAnsi="Times New Roman" w:cs="Times New Roman"/>
          <w:b w:val="0"/>
          <w:i w:val="0"/>
          <w:sz w:val="28"/>
          <w:lang w:val="en-US"/>
        </w:rPr>
        <w:t xml:space="preserve">11. Rousseeuw, P. J. (1987). Silhouettes: A graphical aid to the interpretation and validation of cluster analysis. </w:t>
      </w:r>
      <w:r>
        <w:rPr>
          <w:rFonts w:ascii="Times New Roman" w:hAnsi="Times New Roman" w:cs="Times New Roman"/>
          <w:b w:val="0"/>
          <w:i/>
          <w:sz w:val="28"/>
          <w:lang w:val="en-US"/>
        </w:rPr>
        <w:t>Journal of Computational and Applied Mathematics, 20</w:t>
      </w:r>
      <w:r>
        <w:rPr>
          <w:rFonts w:ascii="Times New Roman" w:hAnsi="Times New Roman" w:cs="Times New Roman"/>
          <w:b w:val="0"/>
          <w:i w:val="0"/>
          <w:sz w:val="28"/>
          <w:lang w:val="en-US"/>
        </w:rPr>
        <w:t>, 53–65. https://doi.org/10.1016/0377-0427(87)90125-7</w:t>
      </w:r>
    </w:p>
    <w:p>
      <w:pPr>
        <w:spacing w:line="360" w:lineRule="auto" w:after="0" w:before="0"/>
        <w:ind w:firstLine="709"/>
        <w:jc w:val="both"/>
      </w:pPr>
      <w:r>
        <w:rPr>
          <w:rFonts w:ascii="Times New Roman" w:hAnsi="Times New Roman" w:cs="Times New Roman"/>
          <w:b w:val="0"/>
          <w:i w:val="0"/>
          <w:sz w:val="28"/>
          <w:lang w:val="en-US"/>
        </w:rPr>
        <w:t xml:space="preserve">12. Bishop, C. M. (2006). </w:t>
      </w:r>
      <w:r>
        <w:rPr>
          <w:rFonts w:ascii="Times New Roman" w:hAnsi="Times New Roman" w:cs="Times New Roman"/>
          <w:b w:val="0"/>
          <w:i/>
          <w:sz w:val="28"/>
          <w:lang w:val="en-US"/>
        </w:rPr>
        <w:t>Pattern recognition and machine learning</w:t>
      </w:r>
      <w:r>
        <w:rPr>
          <w:rFonts w:ascii="Times New Roman" w:hAnsi="Times New Roman" w:cs="Times New Roman"/>
          <w:b w:val="0"/>
          <w:i w:val="0"/>
          <w:sz w:val="28"/>
          <w:lang w:val="en-US"/>
        </w:rPr>
        <w:t>. Springer.</w:t>
      </w:r>
    </w:p>
    <w:p>
      <w:pPr>
        <w:spacing w:line="360" w:lineRule="auto" w:after="0" w:before="0"/>
        <w:ind w:firstLine="709"/>
        <w:jc w:val="both"/>
      </w:pPr>
      <w:r>
        <w:rPr>
          <w:rFonts w:ascii="Times New Roman" w:hAnsi="Times New Roman" w:cs="Times New Roman"/>
          <w:b w:val="0"/>
          <w:i w:val="0"/>
          <w:sz w:val="28"/>
          <w:lang w:val="en-US"/>
        </w:rPr>
        <w:t xml:space="preserve">13. Miranda-Alves, D. (2019). </w:t>
      </w:r>
      <w:r>
        <w:rPr>
          <w:rFonts w:ascii="Times New Roman" w:hAnsi="Times New Roman" w:cs="Times New Roman"/>
          <w:b w:val="0"/>
          <w:i/>
          <w:sz w:val="28"/>
          <w:lang w:val="en-US"/>
        </w:rPr>
        <w:t>Predict chargeback frauds</w:t>
      </w:r>
      <w:r>
        <w:rPr>
          <w:rFonts w:ascii="Times New Roman" w:hAnsi="Times New Roman" w:cs="Times New Roman"/>
          <w:b w:val="0"/>
          <w:i w:val="0"/>
          <w:sz w:val="28"/>
          <w:lang w:val="en-US"/>
        </w:rPr>
        <w:t xml:space="preserve"> [Data set]. Kaggle. https://www.kaggle.com/datasets/dmirandaalves/predict-chargeback-frauds-payment</w:t>
      </w:r>
    </w:p>
    <w:p>
      <w:pPr>
        <w:spacing w:line="360" w:lineRule="auto" w:after="0" w:before="0"/>
        <w:ind w:firstLine="709"/>
        <w:jc w:val="both"/>
      </w:pPr>
      <w:r>
        <w:rPr>
          <w:rFonts w:ascii="Times New Roman" w:hAnsi="Times New Roman" w:cs="Times New Roman"/>
          <w:b w:val="0"/>
          <w:i w:val="0"/>
          <w:sz w:val="28"/>
          <w:lang w:val="en-US"/>
        </w:rPr>
        <w:t xml:space="preserve">14. IEEE Computational Intelligence Society, &amp; Vesta Corporation. (2019). </w:t>
      </w:r>
      <w:r>
        <w:rPr>
          <w:rFonts w:ascii="Times New Roman" w:hAnsi="Times New Roman" w:cs="Times New Roman"/>
          <w:b w:val="0"/>
          <w:i/>
          <w:sz w:val="28"/>
          <w:lang w:val="en-US"/>
        </w:rPr>
        <w:t>IEEE-CIS fraud detection</w:t>
      </w:r>
      <w:r>
        <w:rPr>
          <w:rFonts w:ascii="Times New Roman" w:hAnsi="Times New Roman" w:cs="Times New Roman"/>
          <w:b w:val="0"/>
          <w:i w:val="0"/>
          <w:sz w:val="28"/>
          <w:lang w:val="en-US"/>
        </w:rPr>
        <w:t xml:space="preserve"> [Data set]. Kaggle. https://www.kaggle.com/competitions/ieee-fraud-detection</w:t>
      </w:r>
    </w:p>
    <w:p>
      <w:pPr>
        <w:spacing w:line="360" w:lineRule="auto" w:after="0" w:before="0"/>
        <w:ind w:firstLine="709"/>
        <w:jc w:val="both"/>
      </w:pPr>
      <w:r>
        <w:rPr>
          <w:rFonts w:ascii="Times New Roman" w:hAnsi="Times New Roman" w:cs="Times New Roman"/>
          <w:b w:val="0"/>
          <w:i/>
          <w:sz w:val="28"/>
          <w:lang w:val="uk-UA"/>
        </w:rPr>
        <w:t>Стаття надійшла до редакції — ... .</w:t>
      </w:r>
    </w:p>
    <w:p>
      <w:pPr>
        <w:spacing w:line="360" w:lineRule="auto" w:after="0" w:before="0"/>
        <w:ind w:firstLine="709"/>
        <w:jc w:val="both"/>
      </w:pPr>
      <w:r>
        <w:rPr>
          <w:rFonts w:ascii="Times New Roman" w:hAnsi="Times New Roman" w:cs="Times New Roman"/>
          <w:b w:val="0"/>
          <w:i/>
          <w:sz w:val="28"/>
          <w:lang w:val="uk-UA"/>
        </w:rPr>
        <w:t>Прийнята до друку — ...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