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355" w:rsidRDefault="000C2355" w:rsidP="000C2355">
      <w:pPr>
        <w:pStyle w:val="ListParagraph"/>
        <w:jc w:val="right"/>
      </w:pPr>
      <w:r>
        <w:t>Alice Yu</w:t>
      </w:r>
    </w:p>
    <w:p w:rsidR="000C2355" w:rsidRDefault="000C2355" w:rsidP="000C2355">
      <w:r>
        <w:t>Excel homework 1 – Kickstarter Data set</w:t>
      </w:r>
    </w:p>
    <w:p w:rsidR="000C2355" w:rsidRDefault="000C2355" w:rsidP="003E08E8"/>
    <w:p w:rsidR="00C86C34" w:rsidRDefault="00C86C34" w:rsidP="003E08E8">
      <w:r>
        <w:rPr>
          <w:noProof/>
        </w:rPr>
        <w:drawing>
          <wp:inline distT="0" distB="0" distL="0" distR="0" wp14:anchorId="34146CAA" wp14:editId="3E21E773">
            <wp:extent cx="5074920" cy="3406140"/>
            <wp:effectExtent l="0" t="0" r="11430" b="3810"/>
            <wp:docPr id="1" name="Chart 1">
              <a:extLst xmlns:a="http://schemas.openxmlformats.org/drawingml/2006/main">
                <a:ext uri="{FF2B5EF4-FFF2-40B4-BE49-F238E27FC236}">
                  <a16:creationId xmlns:a16="http://schemas.microsoft.com/office/drawing/2014/main" id="{208414CD-B27E-4FB2-B85F-97B24EB9CF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86C34" w:rsidRDefault="00C86C34" w:rsidP="003E08E8">
      <w:r>
        <w:rPr>
          <w:noProof/>
        </w:rPr>
        <w:drawing>
          <wp:inline distT="0" distB="0" distL="0" distR="0" wp14:anchorId="7BD3014D" wp14:editId="3A23CD5A">
            <wp:extent cx="5082540" cy="2750820"/>
            <wp:effectExtent l="0" t="0" r="3810" b="11430"/>
            <wp:docPr id="3" name="Chart 3">
              <a:extLst xmlns:a="http://schemas.openxmlformats.org/drawingml/2006/main">
                <a:ext uri="{FF2B5EF4-FFF2-40B4-BE49-F238E27FC236}">
                  <a16:creationId xmlns:a16="http://schemas.microsoft.com/office/drawing/2014/main" id="{EBD4B0F9-E002-4B85-9E3F-DA1FF1C83A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86C34" w:rsidRDefault="00C86C34" w:rsidP="003E08E8">
      <w:r>
        <w:rPr>
          <w:noProof/>
        </w:rPr>
        <w:lastRenderedPageBreak/>
        <w:drawing>
          <wp:inline distT="0" distB="0" distL="0" distR="0" wp14:anchorId="7E13D624" wp14:editId="34098034">
            <wp:extent cx="5943600" cy="2484755"/>
            <wp:effectExtent l="0" t="0" r="0" b="10795"/>
            <wp:docPr id="4" name="Chart 4">
              <a:extLst xmlns:a="http://schemas.openxmlformats.org/drawingml/2006/main">
                <a:ext uri="{FF2B5EF4-FFF2-40B4-BE49-F238E27FC236}">
                  <a16:creationId xmlns:a16="http://schemas.microsoft.com/office/drawing/2014/main" id="{BE71A5BE-73DA-4F1A-91D1-55C4E88A8C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D4295" w:rsidRDefault="003D4295" w:rsidP="003E08E8">
      <w:r>
        <w:rPr>
          <w:noProof/>
        </w:rPr>
        <w:drawing>
          <wp:inline distT="0" distB="0" distL="0" distR="0" wp14:anchorId="348D85CB" wp14:editId="345285BA">
            <wp:extent cx="5753100" cy="3329940"/>
            <wp:effectExtent l="0" t="0" r="0" b="3810"/>
            <wp:docPr id="5" name="Chart 5">
              <a:extLst xmlns:a="http://schemas.openxmlformats.org/drawingml/2006/main">
                <a:ext uri="{FF2B5EF4-FFF2-40B4-BE49-F238E27FC236}">
                  <a16:creationId xmlns:a16="http://schemas.microsoft.com/office/drawing/2014/main" id="{75099E7D-2D78-467E-8E2E-148808E40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rsidR="003E08E8" w:rsidRDefault="003E08E8" w:rsidP="003E08E8">
      <w:r>
        <w:t>What are three conclusions we can make about Kickstarter campaigns given the provided data?</w:t>
      </w:r>
    </w:p>
    <w:p w:rsidR="00C86C34" w:rsidRDefault="00875F79" w:rsidP="00C86C34">
      <w:pPr>
        <w:pStyle w:val="ListParagraph"/>
        <w:numPr>
          <w:ilvl w:val="0"/>
          <w:numId w:val="1"/>
        </w:numPr>
      </w:pPr>
      <w:r>
        <w:t>Theater, specifically plays are by far the most popular category of Kickstarter campaign. Plays are by and large a fairly successful Kickstarter endeavor.</w:t>
      </w:r>
    </w:p>
    <w:p w:rsidR="00875F79" w:rsidRDefault="00875F79" w:rsidP="00C86C34">
      <w:pPr>
        <w:pStyle w:val="ListParagraph"/>
        <w:numPr>
          <w:ilvl w:val="0"/>
          <w:numId w:val="1"/>
        </w:numPr>
      </w:pPr>
      <w:r>
        <w:t>Kickstarter campaigns launching in December tend to do substantially worse than those launched in any other month of the year.</w:t>
      </w:r>
    </w:p>
    <w:p w:rsidR="00875F79" w:rsidRDefault="00875F79" w:rsidP="00C86C34">
      <w:pPr>
        <w:pStyle w:val="ListParagraph"/>
        <w:numPr>
          <w:ilvl w:val="0"/>
          <w:numId w:val="1"/>
        </w:numPr>
      </w:pPr>
      <w:r>
        <w:t>In general, not many Kickstarter campaigns are actually cancelled.</w:t>
      </w:r>
    </w:p>
    <w:p w:rsidR="003E08E8" w:rsidRDefault="003E08E8" w:rsidP="003E08E8">
      <w:r>
        <w:t>What are some of the limitations of this dataset?</w:t>
      </w:r>
    </w:p>
    <w:p w:rsidR="000C2355" w:rsidRDefault="000B1705" w:rsidP="000B1705">
      <w:pPr>
        <w:ind w:left="720"/>
      </w:pPr>
      <w:r>
        <w:t xml:space="preserve">At least when looking at the trends above, the graphs should probably better account for the cost/ number of backers better, since there is for example, a Kickstarter campaign for The Alan </w:t>
      </w:r>
      <w:r>
        <w:lastRenderedPageBreak/>
        <w:t>Katz Show where the entire campaign was just for a $13 flash drive. When looking at the trends, it just counts as a success, but that shouldn’t be put in direct comparison with a $44,000 ask.</w:t>
      </w:r>
    </w:p>
    <w:p w:rsidR="000B1705" w:rsidRDefault="000B1705" w:rsidP="000B1705">
      <w:pPr>
        <w:ind w:left="720"/>
      </w:pPr>
      <w:r>
        <w:t>The conclusions that can be drawn from looking at the data need to be taken with a grain of salt in the sense that the most difficult thing for Kickstarter campaigns is to be noticed at all. Therefore, many of the more successful campaigns likely had outside advertising / fundraising to have garnered that level of attention.</w:t>
      </w:r>
    </w:p>
    <w:p w:rsidR="003E08E8" w:rsidRDefault="003E08E8" w:rsidP="003E08E8">
      <w:r>
        <w:t>What are some other possible tables/graphs that we could create?</w:t>
      </w:r>
    </w:p>
    <w:p w:rsidR="00452314" w:rsidRDefault="00452314" w:rsidP="002D0166">
      <w:pPr>
        <w:ind w:firstLine="720"/>
      </w:pPr>
      <w:r>
        <w:t>Graphs looking at donation over the months of the year.</w:t>
      </w:r>
    </w:p>
    <w:p w:rsidR="00452314" w:rsidRDefault="00452314" w:rsidP="002D0166">
      <w:pPr>
        <w:ind w:left="720"/>
      </w:pPr>
      <w:r>
        <w:t>Graphs looking at success rate over the years (since this data appears to begin with 2009</w:t>
      </w:r>
      <w:r w:rsidR="002D0166">
        <w:t>) to determine whether campaigns have gotten more likely to be funded since Kickstarter has become more popular as a concept.</w:t>
      </w:r>
    </w:p>
    <w:p w:rsidR="002D0166" w:rsidRDefault="002D0166" w:rsidP="002D0166">
      <w:pPr>
        <w:ind w:firstLine="720"/>
      </w:pPr>
      <w:r>
        <w:t xml:space="preserve">Tables looking at success rate based off of Spotlight. </w:t>
      </w:r>
    </w:p>
    <w:sectPr w:rsidR="002D0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3C26"/>
    <w:multiLevelType w:val="hybridMultilevel"/>
    <w:tmpl w:val="2AC40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F095D"/>
    <w:multiLevelType w:val="hybridMultilevel"/>
    <w:tmpl w:val="965CE4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E8"/>
    <w:rsid w:val="000B1705"/>
    <w:rsid w:val="000C2355"/>
    <w:rsid w:val="002D0166"/>
    <w:rsid w:val="003D4295"/>
    <w:rsid w:val="003E08E8"/>
    <w:rsid w:val="00452314"/>
    <w:rsid w:val="00520C29"/>
    <w:rsid w:val="00875F79"/>
    <w:rsid w:val="00C86C34"/>
    <w:rsid w:val="00FE6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1ED6"/>
  <w15:chartTrackingRefBased/>
  <w15:docId w15:val="{AF165002-79B0-4309-9361-21085D28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ural\Desktop\PREWORK_AY\Homework\HW1\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ural\Desktop\PREWORK_AY\Homework\HW1\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ural\Desktop\PREWORK_AY\Homework\HW1\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ural\Desktop\PREWORK_AY\Homework\HW1\StarterBoo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by Parent Category!State by Category</c:name>
    <c:fmtId val="-1"/>
  </c:pivotSource>
  <c:chart>
    <c:autoTitleDeleted val="0"/>
    <c:pivotFmts>
      <c:pivotFmt>
        <c:idx val="0"/>
        <c:spPr>
          <a:solidFill>
            <a:schemeClr val="accent4"/>
          </a:solidFill>
          <a:ln>
            <a:noFill/>
          </a:ln>
          <a:effectLst/>
        </c:spPr>
        <c:marker>
          <c:symbol val="none"/>
        </c:marker>
      </c:pivotFmt>
      <c:pivotFmt>
        <c:idx val="1"/>
        <c:spPr>
          <a:solidFill>
            <a:schemeClr val="accent5"/>
          </a:solidFill>
          <a:ln>
            <a:noFill/>
          </a:ln>
          <a:effectLst/>
        </c:spPr>
        <c:marker>
          <c:symbol val="none"/>
        </c:marker>
      </c:pivotFmt>
      <c:pivotFmt>
        <c:idx val="2"/>
        <c:spPr>
          <a:solidFill>
            <a:schemeClr val="accent6">
              <a:lumMod val="50000"/>
            </a:schemeClr>
          </a:solidFill>
          <a:ln>
            <a:noFill/>
          </a:ln>
          <a:effectLst/>
        </c:spPr>
        <c:marker>
          <c:symbol val="none"/>
        </c:marker>
      </c:pivotFmt>
      <c:pivotFmt>
        <c:idx val="3"/>
        <c:spPr>
          <a:solidFill>
            <a:schemeClr val="accent6"/>
          </a:solidFill>
          <a:ln>
            <a:noFill/>
          </a:ln>
          <a:effectLst/>
        </c:spPr>
        <c:marker>
          <c:symbol val="none"/>
        </c:marker>
      </c:pivotFmt>
      <c:pivotFmt>
        <c:idx val="4"/>
        <c:spPr>
          <a:solidFill>
            <a:schemeClr val="accent5"/>
          </a:solidFill>
          <a:ln>
            <a:noFill/>
          </a:ln>
          <a:effectLst/>
        </c:spPr>
      </c:pivotFmt>
      <c:pivotFmt>
        <c:idx val="5"/>
        <c:spPr>
          <a:solidFill>
            <a:schemeClr val="accent6"/>
          </a:solidFill>
          <a:ln>
            <a:noFill/>
          </a:ln>
          <a:effectLst/>
        </c:spPr>
        <c:marker>
          <c:symbol val="none"/>
        </c:marker>
      </c:pivotFmt>
      <c:pivotFmt>
        <c:idx val="6"/>
        <c:spPr>
          <a:solidFill>
            <a:schemeClr val="accent5"/>
          </a:solidFill>
          <a:ln>
            <a:noFill/>
          </a:ln>
          <a:effectLst/>
        </c:spPr>
        <c:marker>
          <c:symbol val="none"/>
        </c:marker>
      </c:pivotFmt>
      <c:pivotFmt>
        <c:idx val="7"/>
        <c:spPr>
          <a:solidFill>
            <a:schemeClr val="accent4"/>
          </a:solidFill>
          <a:ln>
            <a:noFill/>
          </a:ln>
          <a:effectLst/>
        </c:spPr>
        <c:marker>
          <c:symbol val="none"/>
        </c:marker>
      </c:pivotFmt>
      <c:pivotFmt>
        <c:idx val="8"/>
        <c:spPr>
          <a:solidFill>
            <a:schemeClr val="accent6">
              <a:lumMod val="50000"/>
            </a:schemeClr>
          </a:solidFill>
          <a:ln>
            <a:noFill/>
          </a:ln>
          <a:effectLst/>
        </c:spPr>
        <c:marker>
          <c:symbol val="none"/>
        </c:marker>
      </c:pivotFmt>
      <c:pivotFmt>
        <c:idx val="9"/>
        <c:spPr>
          <a:solidFill>
            <a:schemeClr val="accent6"/>
          </a:solidFill>
          <a:ln>
            <a:noFill/>
          </a:ln>
          <a:effectLst/>
        </c:spPr>
        <c:marker>
          <c:symbol val="none"/>
        </c:marker>
      </c:pivotFmt>
      <c:pivotFmt>
        <c:idx val="10"/>
        <c:spPr>
          <a:solidFill>
            <a:schemeClr val="accent5"/>
          </a:solidFill>
          <a:ln>
            <a:noFill/>
          </a:ln>
          <a:effectLst/>
        </c:spPr>
        <c:marker>
          <c:symbol val="none"/>
        </c:marker>
      </c:pivotFmt>
      <c:pivotFmt>
        <c:idx val="11"/>
        <c:spPr>
          <a:solidFill>
            <a:schemeClr val="accent4"/>
          </a:solidFill>
          <a:ln>
            <a:noFill/>
          </a:ln>
          <a:effectLst/>
        </c:spPr>
        <c:marker>
          <c:symbol val="none"/>
        </c:marker>
      </c:pivotFmt>
      <c:pivotFmt>
        <c:idx val="12"/>
        <c:spPr>
          <a:solidFill>
            <a:schemeClr val="accent6">
              <a:lumMod val="50000"/>
            </a:schemeClr>
          </a:solidFill>
          <a:ln>
            <a:noFill/>
          </a:ln>
          <a:effectLst/>
        </c:spPr>
        <c:marker>
          <c:symbol val="none"/>
        </c:marker>
      </c:pivotFmt>
    </c:pivotFmts>
    <c:plotArea>
      <c:layout/>
      <c:barChart>
        <c:barDir val="col"/>
        <c:grouping val="stacked"/>
        <c:varyColors val="0"/>
        <c:ser>
          <c:idx val="0"/>
          <c:order val="0"/>
          <c:tx>
            <c:strRef>
              <c:f>'Pivot by Parent Category'!$B$3:$B$4</c:f>
              <c:strCache>
                <c:ptCount val="1"/>
                <c:pt idx="0">
                  <c:v>successful</c:v>
                </c:pt>
              </c:strCache>
            </c:strRef>
          </c:tx>
          <c:spPr>
            <a:solidFill>
              <a:schemeClr val="accent6"/>
            </a:solidFill>
            <a:ln>
              <a:noFill/>
            </a:ln>
            <a:effectLst/>
          </c:spPr>
          <c:invertIfNegative val="0"/>
          <c:cat>
            <c:strRef>
              <c:f>'Pivot by 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Parent Category'!$B$5:$B$14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ED95-40B6-AD40-155E5CBFAB26}"/>
            </c:ext>
          </c:extLst>
        </c:ser>
        <c:ser>
          <c:idx val="1"/>
          <c:order val="1"/>
          <c:tx>
            <c:strRef>
              <c:f>'Pivot by Parent Category'!$C$3:$C$4</c:f>
              <c:strCache>
                <c:ptCount val="1"/>
                <c:pt idx="0">
                  <c:v>failed</c:v>
                </c:pt>
              </c:strCache>
            </c:strRef>
          </c:tx>
          <c:spPr>
            <a:solidFill>
              <a:schemeClr val="accent5"/>
            </a:solidFill>
            <a:ln>
              <a:noFill/>
            </a:ln>
            <a:effectLst/>
          </c:spPr>
          <c:invertIfNegative val="0"/>
          <c:cat>
            <c:strRef>
              <c:f>'Pivot by 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Parent 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ED95-40B6-AD40-155E5CBFAB26}"/>
            </c:ext>
          </c:extLst>
        </c:ser>
        <c:ser>
          <c:idx val="2"/>
          <c:order val="2"/>
          <c:tx>
            <c:strRef>
              <c:f>'Pivot by Parent Category'!$D$3:$D$4</c:f>
              <c:strCache>
                <c:ptCount val="1"/>
                <c:pt idx="0">
                  <c:v>canceled</c:v>
                </c:pt>
              </c:strCache>
            </c:strRef>
          </c:tx>
          <c:spPr>
            <a:solidFill>
              <a:schemeClr val="accent4"/>
            </a:solidFill>
            <a:ln>
              <a:noFill/>
            </a:ln>
            <a:effectLst/>
          </c:spPr>
          <c:invertIfNegative val="0"/>
          <c:cat>
            <c:strRef>
              <c:f>'Pivot by 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Parent Category'!$D$5:$D$14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ED95-40B6-AD40-155E5CBFAB26}"/>
            </c:ext>
          </c:extLst>
        </c:ser>
        <c:ser>
          <c:idx val="3"/>
          <c:order val="3"/>
          <c:tx>
            <c:strRef>
              <c:f>'Pivot by Parent Category'!$E$3:$E$4</c:f>
              <c:strCache>
                <c:ptCount val="1"/>
                <c:pt idx="0">
                  <c:v>live</c:v>
                </c:pt>
              </c:strCache>
            </c:strRef>
          </c:tx>
          <c:spPr>
            <a:solidFill>
              <a:schemeClr val="accent6">
                <a:lumMod val="50000"/>
              </a:schemeClr>
            </a:solidFill>
            <a:ln>
              <a:noFill/>
            </a:ln>
            <a:effectLst/>
          </c:spPr>
          <c:invertIfNegative val="0"/>
          <c:cat>
            <c:strRef>
              <c:f>'Pivot by 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Parent Category'!$E$5:$E$14</c:f>
              <c:numCache>
                <c:formatCode>General</c:formatCode>
                <c:ptCount val="9"/>
                <c:pt idx="1">
                  <c:v>6</c:v>
                </c:pt>
                <c:pt idx="4">
                  <c:v>20</c:v>
                </c:pt>
                <c:pt idx="8">
                  <c:v>24</c:v>
                </c:pt>
              </c:numCache>
            </c:numRef>
          </c:val>
          <c:extLst>
            <c:ext xmlns:c16="http://schemas.microsoft.com/office/drawing/2014/chart" uri="{C3380CC4-5D6E-409C-BE32-E72D297353CC}">
              <c16:uniqueId val="{00000003-ED95-40B6-AD40-155E5CBFAB26}"/>
            </c:ext>
          </c:extLst>
        </c:ser>
        <c:dLbls>
          <c:showLegendKey val="0"/>
          <c:showVal val="0"/>
          <c:showCatName val="0"/>
          <c:showSerName val="0"/>
          <c:showPercent val="0"/>
          <c:showBubbleSize val="0"/>
        </c:dLbls>
        <c:gapWidth val="150"/>
        <c:overlap val="100"/>
        <c:axId val="591023416"/>
        <c:axId val="591024696"/>
      </c:barChart>
      <c:catAx>
        <c:axId val="591023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024696"/>
        <c:crosses val="autoZero"/>
        <c:auto val="1"/>
        <c:lblAlgn val="ctr"/>
        <c:lblOffset val="100"/>
        <c:noMultiLvlLbl val="0"/>
      </c:catAx>
      <c:valAx>
        <c:axId val="591024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023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by Sub Category!State by Category</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s>
    <c:plotArea>
      <c:layout/>
      <c:barChart>
        <c:barDir val="col"/>
        <c:grouping val="stacked"/>
        <c:varyColors val="0"/>
        <c:ser>
          <c:idx val="0"/>
          <c:order val="0"/>
          <c:tx>
            <c:strRef>
              <c:f>'Pivot by Sub Category'!$B$4:$B$5</c:f>
              <c:strCache>
                <c:ptCount val="1"/>
                <c:pt idx="0">
                  <c:v>successful</c:v>
                </c:pt>
              </c:strCache>
            </c:strRef>
          </c:tx>
          <c:spPr>
            <a:solidFill>
              <a:schemeClr val="accent1"/>
            </a:solidFill>
            <a:ln>
              <a:noFill/>
            </a:ln>
            <a:effectLst/>
          </c:spPr>
          <c:invertIfNegative val="0"/>
          <c:cat>
            <c:strRef>
              <c:f>'Pivot by Sub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by Sub Category'!$B$6:$B$47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B17F-415E-8F00-F202846C5DA2}"/>
            </c:ext>
          </c:extLst>
        </c:ser>
        <c:ser>
          <c:idx val="1"/>
          <c:order val="1"/>
          <c:tx>
            <c:strRef>
              <c:f>'Pivot by Sub Category'!$C$4:$C$5</c:f>
              <c:strCache>
                <c:ptCount val="1"/>
                <c:pt idx="0">
                  <c:v>failed</c:v>
                </c:pt>
              </c:strCache>
            </c:strRef>
          </c:tx>
          <c:spPr>
            <a:solidFill>
              <a:schemeClr val="accent2"/>
            </a:solidFill>
            <a:ln>
              <a:noFill/>
            </a:ln>
            <a:effectLst/>
          </c:spPr>
          <c:invertIfNegative val="0"/>
          <c:cat>
            <c:strRef>
              <c:f>'Pivot by Sub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by Sub 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B17F-415E-8F00-F202846C5DA2}"/>
            </c:ext>
          </c:extLst>
        </c:ser>
        <c:ser>
          <c:idx val="2"/>
          <c:order val="2"/>
          <c:tx>
            <c:strRef>
              <c:f>'Pivot by Sub Category'!$D$4:$D$5</c:f>
              <c:strCache>
                <c:ptCount val="1"/>
                <c:pt idx="0">
                  <c:v>canceled</c:v>
                </c:pt>
              </c:strCache>
            </c:strRef>
          </c:tx>
          <c:spPr>
            <a:solidFill>
              <a:schemeClr val="accent3"/>
            </a:solidFill>
            <a:ln>
              <a:noFill/>
            </a:ln>
            <a:effectLst/>
          </c:spPr>
          <c:invertIfNegative val="0"/>
          <c:cat>
            <c:strRef>
              <c:f>'Pivot by Sub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by Sub Category'!$D$6:$D$47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B17F-415E-8F00-F202846C5DA2}"/>
            </c:ext>
          </c:extLst>
        </c:ser>
        <c:ser>
          <c:idx val="3"/>
          <c:order val="3"/>
          <c:tx>
            <c:strRef>
              <c:f>'Pivot by Sub Category'!$E$4:$E$5</c:f>
              <c:strCache>
                <c:ptCount val="1"/>
                <c:pt idx="0">
                  <c:v>live</c:v>
                </c:pt>
              </c:strCache>
            </c:strRef>
          </c:tx>
          <c:spPr>
            <a:solidFill>
              <a:schemeClr val="accent4"/>
            </a:solidFill>
            <a:ln>
              <a:noFill/>
            </a:ln>
            <a:effectLst/>
          </c:spPr>
          <c:invertIfNegative val="0"/>
          <c:cat>
            <c:strRef>
              <c:f>'Pivot by Sub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by Sub Category'!$E$6:$E$47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B17F-415E-8F00-F202846C5DA2}"/>
            </c:ext>
          </c:extLst>
        </c:ser>
        <c:dLbls>
          <c:showLegendKey val="0"/>
          <c:showVal val="0"/>
          <c:showCatName val="0"/>
          <c:showSerName val="0"/>
          <c:showPercent val="0"/>
          <c:showBubbleSize val="0"/>
        </c:dLbls>
        <c:gapWidth val="150"/>
        <c:overlap val="100"/>
        <c:axId val="591023416"/>
        <c:axId val="591024696"/>
      </c:barChart>
      <c:catAx>
        <c:axId val="591023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024696"/>
        <c:crosses val="autoZero"/>
        <c:auto val="1"/>
        <c:lblAlgn val="ctr"/>
        <c:lblOffset val="100"/>
        <c:noMultiLvlLbl val="0"/>
      </c:catAx>
      <c:valAx>
        <c:axId val="591024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023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by Years!PivotTable3</c:name>
    <c:fmtId val="-1"/>
  </c:pivotSource>
  <c:chart>
    <c:autoTitleDeleted val="0"/>
    <c:pivotFmts>
      <c:pivotFmt>
        <c:idx val="0"/>
        <c:spPr>
          <a:solidFill>
            <a:schemeClr val="accent1"/>
          </a:solidFill>
          <a:ln w="28575" cap="rnd">
            <a:solidFill>
              <a:schemeClr val="accent1"/>
            </a:solidFill>
            <a:round/>
          </a:ln>
          <a:effectLst/>
        </c:spPr>
        <c:marker>
          <c:symbol val="squar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
        <c:spPr>
          <a:solidFill>
            <a:schemeClr val="accent1"/>
          </a:solidFill>
          <a:ln w="28575" cap="rnd">
            <a:solidFill>
              <a:schemeClr val="accent1"/>
            </a:solidFill>
            <a:round/>
          </a:ln>
          <a:effectLst/>
        </c:spPr>
        <c:marker>
          <c:symbol val="square"/>
          <c:size val="5"/>
          <c:spPr>
            <a:solidFill>
              <a:schemeClr val="accent3"/>
            </a:solidFill>
            <a:ln w="9525">
              <a:solidFill>
                <a:schemeClr val="accent3"/>
              </a:solidFill>
            </a:ln>
            <a:effectLst/>
          </c:spPr>
        </c:marker>
      </c:pivotFmt>
      <c:pivotFmt>
        <c:idx val="3"/>
        <c:spPr>
          <a:solidFill>
            <a:schemeClr val="accent1"/>
          </a:solidFill>
          <a:ln w="28575" cap="rnd">
            <a:solidFill>
              <a:schemeClr val="accent1"/>
            </a:solidFill>
            <a:round/>
          </a:ln>
          <a:effectLst/>
        </c:spPr>
        <c:marker>
          <c:symbol val="square"/>
          <c:size val="5"/>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ymbol val="square"/>
          <c:size val="5"/>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6"/>
        <c:spPr>
          <a:solidFill>
            <a:schemeClr val="accent1"/>
          </a:solidFill>
          <a:ln w="28575" cap="rnd">
            <a:solidFill>
              <a:schemeClr val="accent1"/>
            </a:solidFill>
            <a:round/>
          </a:ln>
          <a:effectLst/>
        </c:spPr>
        <c:marker>
          <c:symbol val="square"/>
          <c:size val="5"/>
          <c:spPr>
            <a:solidFill>
              <a:schemeClr val="accent3"/>
            </a:solidFill>
            <a:ln w="9525">
              <a:solidFill>
                <a:schemeClr val="accent3"/>
              </a:solidFill>
            </a:ln>
            <a:effectLst/>
          </c:spPr>
        </c:marker>
      </c:pivotFmt>
      <c:pivotFmt>
        <c:idx val="7"/>
        <c:spPr>
          <a:solidFill>
            <a:schemeClr val="accent1"/>
          </a:solidFill>
          <a:ln w="28575" cap="rnd">
            <a:solidFill>
              <a:schemeClr val="accent1"/>
            </a:solidFill>
            <a:round/>
          </a:ln>
          <a:effectLst/>
        </c:spPr>
        <c:marker>
          <c:symbol val="square"/>
          <c:size val="5"/>
          <c:spPr>
            <a:solidFill>
              <a:schemeClr val="accent1"/>
            </a:solidFill>
            <a:ln w="9525">
              <a:solidFill>
                <a:schemeClr val="accent1"/>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9"/>
        <c:spPr>
          <a:solidFill>
            <a:schemeClr val="accent1"/>
          </a:solidFill>
          <a:ln w="28575" cap="rnd">
            <a:solidFill>
              <a:schemeClr val="accent1"/>
            </a:solidFill>
            <a:round/>
          </a:ln>
          <a:effectLst/>
        </c:spPr>
        <c:marker>
          <c:symbol val="square"/>
          <c:size val="5"/>
          <c:spPr>
            <a:solidFill>
              <a:schemeClr val="accent3"/>
            </a:solidFill>
            <a:ln w="9525">
              <a:solidFill>
                <a:schemeClr val="accent3"/>
              </a:solidFill>
            </a:ln>
            <a:effectLst/>
          </c:spPr>
        </c:marker>
      </c:pivotFmt>
    </c:pivotFmts>
    <c:plotArea>
      <c:layout/>
      <c:lineChart>
        <c:grouping val="standard"/>
        <c:varyColors val="0"/>
        <c:ser>
          <c:idx val="0"/>
          <c:order val="0"/>
          <c:tx>
            <c:strRef>
              <c:f>'Pivot by Years'!$B$4:$B$5</c:f>
              <c:strCache>
                <c:ptCount val="1"/>
                <c:pt idx="0">
                  <c:v>successful</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strRef>
              <c:f>'Pivot by Years'!$A$6:$A$18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Years'!$B$6:$B$18</c:f>
              <c:numCache>
                <c:formatCode>General</c:formatCode>
                <c:ptCount val="12"/>
                <c:pt idx="0">
                  <c:v>184</c:v>
                </c:pt>
                <c:pt idx="1">
                  <c:v>202</c:v>
                </c:pt>
                <c:pt idx="2">
                  <c:v>179</c:v>
                </c:pt>
                <c:pt idx="3">
                  <c:v>193</c:v>
                </c:pt>
                <c:pt idx="4">
                  <c:v>232</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0-C94C-4446-8F7E-A6ABD0AC9B20}"/>
            </c:ext>
          </c:extLst>
        </c:ser>
        <c:ser>
          <c:idx val="1"/>
          <c:order val="1"/>
          <c:tx>
            <c:strRef>
              <c:f>'Pivot by Years'!$C$4:$C$5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 by Years'!$A$6:$A$18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Years'!$C$6:$C$18</c:f>
              <c:numCache>
                <c:formatCode>General</c:formatCode>
                <c:ptCount val="12"/>
                <c:pt idx="0">
                  <c:v>148</c:v>
                </c:pt>
                <c:pt idx="1">
                  <c:v>106</c:v>
                </c:pt>
                <c:pt idx="2">
                  <c:v>108</c:v>
                </c:pt>
                <c:pt idx="3">
                  <c:v>102</c:v>
                </c:pt>
                <c:pt idx="4">
                  <c:v>126</c:v>
                </c:pt>
                <c:pt idx="5">
                  <c:v>148</c:v>
                </c:pt>
                <c:pt idx="6">
                  <c:v>148</c:v>
                </c:pt>
                <c:pt idx="7">
                  <c:v>134</c:v>
                </c:pt>
                <c:pt idx="8">
                  <c:v>127</c:v>
                </c:pt>
                <c:pt idx="9">
                  <c:v>150</c:v>
                </c:pt>
                <c:pt idx="10">
                  <c:v>114</c:v>
                </c:pt>
                <c:pt idx="11">
                  <c:v>119</c:v>
                </c:pt>
              </c:numCache>
            </c:numRef>
          </c:val>
          <c:smooth val="0"/>
          <c:extLst>
            <c:ext xmlns:c16="http://schemas.microsoft.com/office/drawing/2014/chart" uri="{C3380CC4-5D6E-409C-BE32-E72D297353CC}">
              <c16:uniqueId val="{00000001-C94C-4446-8F7E-A6ABD0AC9B20}"/>
            </c:ext>
          </c:extLst>
        </c:ser>
        <c:ser>
          <c:idx val="2"/>
          <c:order val="2"/>
          <c:tx>
            <c:strRef>
              <c:f>'Pivot by Years'!$D$4:$D$5</c:f>
              <c:strCache>
                <c:ptCount val="1"/>
                <c:pt idx="0">
                  <c:v>canceled</c:v>
                </c:pt>
              </c:strCache>
            </c:strRef>
          </c:tx>
          <c:spPr>
            <a:ln w="28575" cap="rnd">
              <a:solidFill>
                <a:schemeClr val="accent3"/>
              </a:solidFill>
              <a:round/>
            </a:ln>
            <a:effectLst/>
          </c:spPr>
          <c:marker>
            <c:symbol val="square"/>
            <c:size val="5"/>
            <c:spPr>
              <a:solidFill>
                <a:schemeClr val="accent3"/>
              </a:solidFill>
              <a:ln w="9525">
                <a:solidFill>
                  <a:schemeClr val="accent3"/>
                </a:solidFill>
              </a:ln>
              <a:effectLst/>
            </c:spPr>
          </c:marker>
          <c:cat>
            <c:strRef>
              <c:f>'Pivot by Years'!$A$6:$A$18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Years'!$D$6:$D$18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2-C94C-4446-8F7E-A6ABD0AC9B20}"/>
            </c:ext>
          </c:extLst>
        </c:ser>
        <c:dLbls>
          <c:showLegendKey val="0"/>
          <c:showVal val="0"/>
          <c:showCatName val="0"/>
          <c:showSerName val="0"/>
          <c:showPercent val="0"/>
          <c:showBubbleSize val="0"/>
        </c:dLbls>
        <c:marker val="1"/>
        <c:smooth val="0"/>
        <c:axId val="591024376"/>
        <c:axId val="591025656"/>
      </c:lineChart>
      <c:catAx>
        <c:axId val="591024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025656"/>
        <c:crosses val="autoZero"/>
        <c:auto val="1"/>
        <c:lblAlgn val="ctr"/>
        <c:lblOffset val="100"/>
        <c:noMultiLvlLbl val="0"/>
      </c:catAx>
      <c:valAx>
        <c:axId val="591025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024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a:t>
            </a:r>
            <a:r>
              <a:rPr lang="en-US" baseline="0"/>
              <a:t> on Goal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4"/>
          <c:tx>
            <c:strRef>
              <c:f>Bonus!$F$1</c:f>
              <c:strCache>
                <c:ptCount val="1"/>
                <c:pt idx="0">
                  <c:v>Percentage Successful </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Bonus!$F$2:$F$13</c:f>
              <c:numCache>
                <c:formatCode>0.0%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4556-46ED-B103-796319596D9C}"/>
            </c:ext>
          </c:extLst>
        </c:ser>
        <c:ser>
          <c:idx val="5"/>
          <c:order val="5"/>
          <c:tx>
            <c:strRef>
              <c:f>Bonus!$G$1</c:f>
              <c:strCache>
                <c:ptCount val="1"/>
                <c:pt idx="0">
                  <c:v>Percentage Failed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Bonus!$G$2:$G$13</c:f>
              <c:numCache>
                <c:formatCode>0.0%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4556-46ED-B103-796319596D9C}"/>
            </c:ext>
          </c:extLst>
        </c:ser>
        <c:ser>
          <c:idx val="6"/>
          <c:order val="6"/>
          <c:tx>
            <c:strRef>
              <c:f>Bonus!$H$1</c:f>
              <c:strCache>
                <c:ptCount val="1"/>
                <c:pt idx="0">
                  <c:v>Percentage Canceled</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Bonus!$H$2:$H$13</c:f>
              <c:numCache>
                <c:formatCode>0.0%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4556-46ED-B103-796319596D9C}"/>
            </c:ext>
          </c:extLst>
        </c:ser>
        <c:dLbls>
          <c:showLegendKey val="0"/>
          <c:showVal val="0"/>
          <c:showCatName val="0"/>
          <c:showSerName val="0"/>
          <c:showPercent val="0"/>
          <c:showBubbleSize val="0"/>
        </c:dLbls>
        <c:marker val="1"/>
        <c:smooth val="0"/>
        <c:axId val="648126520"/>
        <c:axId val="648129400"/>
        <c:extLst>
          <c:ext xmlns:c15="http://schemas.microsoft.com/office/drawing/2012/chart" uri="{02D57815-91ED-43cb-92C2-25804820EDAC}">
            <c15:filteredLineSeries>
              <c15:ser>
                <c:idx val="0"/>
                <c:order val="0"/>
                <c:tx>
                  <c:strRef>
                    <c:extLst>
                      <c:ext uri="{02D57815-91ED-43cb-92C2-25804820EDAC}">
                        <c15:formulaRef>
                          <c15:sqref>Bonus!$B$1</c15:sqref>
                        </c15:formulaRef>
                      </c:ext>
                    </c:extLst>
                    <c:strCache>
                      <c:ptCount val="1"/>
                      <c:pt idx="0">
                        <c:v>Number 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Bonus!$A$2:$A$13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c:ext uri="{02D57815-91ED-43cb-92C2-25804820EDAC}">
                        <c15:formulaRef>
                          <c15:sqref>Bonus!$B$2:$B$13</c15:sqref>
                        </c15:formulaRef>
                      </c:ext>
                    </c:extLst>
                    <c:numCache>
                      <c:formatCode>General</c:formatCode>
                      <c:ptCount val="12"/>
                      <c:pt idx="0">
                        <c:v>322</c:v>
                      </c:pt>
                      <c:pt idx="1">
                        <c:v>932</c:v>
                      </c:pt>
                      <c:pt idx="2">
                        <c:v>381</c:v>
                      </c:pt>
                      <c:pt idx="3">
                        <c:v>168</c:v>
                      </c:pt>
                      <c:pt idx="4">
                        <c:v>94</c:v>
                      </c:pt>
                      <c:pt idx="5">
                        <c:v>62</c:v>
                      </c:pt>
                      <c:pt idx="6">
                        <c:v>55</c:v>
                      </c:pt>
                      <c:pt idx="7">
                        <c:v>32</c:v>
                      </c:pt>
                      <c:pt idx="8">
                        <c:v>26</c:v>
                      </c:pt>
                      <c:pt idx="9">
                        <c:v>21</c:v>
                      </c:pt>
                      <c:pt idx="10">
                        <c:v>6</c:v>
                      </c:pt>
                      <c:pt idx="11">
                        <c:v>86</c:v>
                      </c:pt>
                    </c:numCache>
                  </c:numRef>
                </c:val>
                <c:smooth val="0"/>
                <c:extLst>
                  <c:ext xmlns:c16="http://schemas.microsoft.com/office/drawing/2014/chart" uri="{C3380CC4-5D6E-409C-BE32-E72D297353CC}">
                    <c16:uniqueId val="{00000003-4556-46ED-B103-796319596D9C}"/>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Bonus!$C$1</c15:sqref>
                        </c15:formulaRef>
                      </c:ext>
                    </c:extLst>
                    <c:strCache>
                      <c:ptCount val="1"/>
                      <c:pt idx="0">
                        <c:v>Number 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extLst xmlns:c15="http://schemas.microsoft.com/office/drawing/2012/chart">
                      <c:ext xmlns:c15="http://schemas.microsoft.com/office/drawing/2012/chart" uri="{02D57815-91ED-43cb-92C2-25804820EDAC}">
                        <c15:formulaRef>
                          <c15:sqref>Bonus!$A$2:$A$13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xmlns:c15="http://schemas.microsoft.com/office/drawing/2012/chart">
                      <c:ext xmlns:c15="http://schemas.microsoft.com/office/drawing/2012/chart" uri="{02D57815-91ED-43cb-92C2-25804820EDAC}">
                        <c15:formulaRef>
                          <c15:sqref>Bonus!$C$2:$C$13</c15:sqref>
                        </c15:formulaRef>
                      </c:ext>
                    </c:extLst>
                    <c:numCache>
                      <c:formatCode>General</c:formatCode>
                      <c:ptCount val="12"/>
                      <c:pt idx="0">
                        <c:v>113</c:v>
                      </c:pt>
                      <c:pt idx="1">
                        <c:v>420</c:v>
                      </c:pt>
                      <c:pt idx="2">
                        <c:v>283</c:v>
                      </c:pt>
                      <c:pt idx="3">
                        <c:v>144</c:v>
                      </c:pt>
                      <c:pt idx="4">
                        <c:v>90</c:v>
                      </c:pt>
                      <c:pt idx="5">
                        <c:v>72</c:v>
                      </c:pt>
                      <c:pt idx="6">
                        <c:v>64</c:v>
                      </c:pt>
                      <c:pt idx="7">
                        <c:v>37</c:v>
                      </c:pt>
                      <c:pt idx="8">
                        <c:v>22</c:v>
                      </c:pt>
                      <c:pt idx="9">
                        <c:v>16</c:v>
                      </c:pt>
                      <c:pt idx="10">
                        <c:v>11</c:v>
                      </c:pt>
                      <c:pt idx="11">
                        <c:v>258</c:v>
                      </c:pt>
                    </c:numCache>
                  </c:numRef>
                </c:val>
                <c:smooth val="0"/>
                <c:extLst xmlns:c15="http://schemas.microsoft.com/office/drawing/2012/chart">
                  <c:ext xmlns:c16="http://schemas.microsoft.com/office/drawing/2014/chart" uri="{C3380CC4-5D6E-409C-BE32-E72D297353CC}">
                    <c16:uniqueId val="{00000004-4556-46ED-B103-796319596D9C}"/>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Bonus!$D$1</c15:sqref>
                        </c15:formulaRef>
                      </c:ext>
                    </c:extLst>
                    <c:strCache>
                      <c:ptCount val="1"/>
                      <c:pt idx="0">
                        <c:v>Number Canceled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extLst xmlns:c15="http://schemas.microsoft.com/office/drawing/2012/chart">
                      <c:ext xmlns:c15="http://schemas.microsoft.com/office/drawing/2012/chart" uri="{02D57815-91ED-43cb-92C2-25804820EDAC}">
                        <c15:formulaRef>
                          <c15:sqref>Bonus!$A$2:$A$13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xmlns:c15="http://schemas.microsoft.com/office/drawing/2012/chart">
                      <c:ext xmlns:c15="http://schemas.microsoft.com/office/drawing/2012/chart" uri="{02D57815-91ED-43cb-92C2-25804820EDAC}">
                        <c15:formulaRef>
                          <c15:sqref>Bonus!$D$2:$D$13</c15:sqref>
                        </c15:formulaRef>
                      </c:ext>
                    </c:extLst>
                    <c:numCache>
                      <c:formatCode>General</c:formatCode>
                      <c:ptCount val="12"/>
                      <c:pt idx="0">
                        <c:v>18</c:v>
                      </c:pt>
                      <c:pt idx="1">
                        <c:v>60</c:v>
                      </c:pt>
                      <c:pt idx="2">
                        <c:v>52</c:v>
                      </c:pt>
                      <c:pt idx="3">
                        <c:v>40</c:v>
                      </c:pt>
                      <c:pt idx="4">
                        <c:v>17</c:v>
                      </c:pt>
                      <c:pt idx="5">
                        <c:v>14</c:v>
                      </c:pt>
                      <c:pt idx="6">
                        <c:v>18</c:v>
                      </c:pt>
                      <c:pt idx="7">
                        <c:v>13</c:v>
                      </c:pt>
                      <c:pt idx="8">
                        <c:v>7</c:v>
                      </c:pt>
                      <c:pt idx="9">
                        <c:v>6</c:v>
                      </c:pt>
                      <c:pt idx="10">
                        <c:v>4</c:v>
                      </c:pt>
                      <c:pt idx="11">
                        <c:v>100</c:v>
                      </c:pt>
                    </c:numCache>
                  </c:numRef>
                </c:val>
                <c:smooth val="0"/>
                <c:extLst xmlns:c15="http://schemas.microsoft.com/office/drawing/2012/chart">
                  <c:ext xmlns:c16="http://schemas.microsoft.com/office/drawing/2014/chart" uri="{C3380CC4-5D6E-409C-BE32-E72D297353CC}">
                    <c16:uniqueId val="{00000005-4556-46ED-B103-796319596D9C}"/>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Bonus!$E$1</c15:sqref>
                        </c15:formulaRef>
                      </c:ext>
                    </c:extLst>
                    <c:strCache>
                      <c:ptCount val="1"/>
                      <c:pt idx="0">
                        <c:v>Total Projects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xmlns:c15="http://schemas.microsoft.com/office/drawing/2012/chart">
                      <c:ext xmlns:c15="http://schemas.microsoft.com/office/drawing/2012/chart" uri="{02D57815-91ED-43cb-92C2-25804820EDAC}">
                        <c15:formulaRef>
                          <c15:sqref>Bonus!$A$2:$A$13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xmlns:c15="http://schemas.microsoft.com/office/drawing/2012/chart">
                      <c:ext xmlns:c15="http://schemas.microsoft.com/office/drawing/2012/chart" uri="{02D57815-91ED-43cb-92C2-25804820EDAC}">
                        <c15:formulaRef>
                          <c15:sqref>Bonus!$E$2:$E$13</c15:sqref>
                        </c15:formulaRef>
                      </c:ext>
                    </c:extLst>
                    <c:numCache>
                      <c:formatCode>General</c:formatCode>
                      <c:ptCount val="12"/>
                      <c:pt idx="0">
                        <c:v>453</c:v>
                      </c:pt>
                      <c:pt idx="1">
                        <c:v>1412</c:v>
                      </c:pt>
                      <c:pt idx="2">
                        <c:v>716</c:v>
                      </c:pt>
                      <c:pt idx="3">
                        <c:v>352</c:v>
                      </c:pt>
                      <c:pt idx="4">
                        <c:v>201</c:v>
                      </c:pt>
                      <c:pt idx="5">
                        <c:v>148</c:v>
                      </c:pt>
                      <c:pt idx="6">
                        <c:v>137</c:v>
                      </c:pt>
                      <c:pt idx="7">
                        <c:v>82</c:v>
                      </c:pt>
                      <c:pt idx="8">
                        <c:v>55</c:v>
                      </c:pt>
                      <c:pt idx="9">
                        <c:v>43</c:v>
                      </c:pt>
                      <c:pt idx="10">
                        <c:v>21</c:v>
                      </c:pt>
                      <c:pt idx="11">
                        <c:v>444</c:v>
                      </c:pt>
                    </c:numCache>
                  </c:numRef>
                </c:val>
                <c:smooth val="0"/>
                <c:extLst xmlns:c15="http://schemas.microsoft.com/office/drawing/2012/chart">
                  <c:ext xmlns:c16="http://schemas.microsoft.com/office/drawing/2014/chart" uri="{C3380CC4-5D6E-409C-BE32-E72D297353CC}">
                    <c16:uniqueId val="{00000006-4556-46ED-B103-796319596D9C}"/>
                  </c:ext>
                </c:extLst>
              </c15:ser>
            </c15:filteredLineSeries>
          </c:ext>
        </c:extLst>
      </c:lineChart>
      <c:catAx>
        <c:axId val="648126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129400"/>
        <c:crosses val="autoZero"/>
        <c:auto val="1"/>
        <c:lblAlgn val="ctr"/>
        <c:lblOffset val="100"/>
        <c:noMultiLvlLbl val="0"/>
      </c:catAx>
      <c:valAx>
        <c:axId val="64812940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126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Yu</dc:creator>
  <cp:keywords/>
  <dc:description/>
  <cp:lastModifiedBy>Alice Yu</cp:lastModifiedBy>
  <cp:revision>9</cp:revision>
  <dcterms:created xsi:type="dcterms:W3CDTF">2018-11-18T22:41:00Z</dcterms:created>
  <dcterms:modified xsi:type="dcterms:W3CDTF">2018-11-18T23:23:00Z</dcterms:modified>
</cp:coreProperties>
</file>