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AF4D6" w14:textId="77777777" w:rsidR="00752E61" w:rsidRPr="00752E61" w:rsidRDefault="00752E61" w:rsidP="00752E61">
      <w:pPr>
        <w:jc w:val="center"/>
        <w:rPr>
          <w:rFonts w:cs="Times New Roman"/>
          <w:b/>
          <w:bCs/>
          <w:szCs w:val="24"/>
          <w:lang w:val="es-CO"/>
        </w:rPr>
      </w:pPr>
    </w:p>
    <w:p w14:paraId="522F6878" w14:textId="77777777" w:rsidR="00752E61" w:rsidRPr="00752E61" w:rsidRDefault="00752E61" w:rsidP="00752E61">
      <w:pPr>
        <w:jc w:val="center"/>
        <w:rPr>
          <w:rFonts w:cs="Times New Roman"/>
          <w:b/>
          <w:bCs/>
          <w:szCs w:val="24"/>
          <w:lang w:val="es-CO"/>
        </w:rPr>
      </w:pPr>
      <w:r w:rsidRPr="00752E61">
        <w:rPr>
          <w:rFonts w:cs="Times New Roman"/>
          <w:b/>
          <w:bCs/>
          <w:szCs w:val="24"/>
          <w:lang w:val="es-CO"/>
        </w:rPr>
        <w:t>PIPELINE ETL AUTOMATIZADO CON AIRFLOW</w:t>
      </w:r>
    </w:p>
    <w:p w14:paraId="24077B43" w14:textId="22CB5475" w:rsidR="00B30265" w:rsidRPr="00752E61" w:rsidRDefault="00752E61" w:rsidP="00752E61">
      <w:pPr>
        <w:jc w:val="center"/>
        <w:rPr>
          <w:rFonts w:cs="Times New Roman"/>
          <w:b/>
          <w:bCs/>
          <w:szCs w:val="24"/>
          <w:lang w:val="es-CO"/>
        </w:rPr>
      </w:pPr>
      <w:r w:rsidRPr="00752E61">
        <w:rPr>
          <w:rFonts w:cs="Times New Roman"/>
          <w:b/>
          <w:bCs/>
          <w:szCs w:val="24"/>
          <w:lang w:val="es-CO"/>
        </w:rPr>
        <w:t>CLIMA, CALIDAD DEL AIRE Y EMISIONES A NIVEL GLOBAL</w:t>
      </w:r>
    </w:p>
    <w:p w14:paraId="7AA99302" w14:textId="77777777" w:rsidR="00B30265" w:rsidRPr="00752E61" w:rsidRDefault="00B30265" w:rsidP="00752E61">
      <w:pPr>
        <w:jc w:val="center"/>
        <w:rPr>
          <w:rFonts w:cs="Times New Roman"/>
          <w:b/>
          <w:bCs/>
          <w:szCs w:val="24"/>
          <w:lang w:val="es-CO"/>
        </w:rPr>
      </w:pPr>
    </w:p>
    <w:p w14:paraId="5679BB59" w14:textId="77777777" w:rsidR="00B30265" w:rsidRPr="00752E61" w:rsidRDefault="00B30265" w:rsidP="00752E61">
      <w:pPr>
        <w:jc w:val="center"/>
        <w:rPr>
          <w:rFonts w:cs="Times New Roman"/>
          <w:b/>
          <w:bCs/>
          <w:szCs w:val="24"/>
          <w:lang w:val="es-CO"/>
        </w:rPr>
      </w:pPr>
    </w:p>
    <w:p w14:paraId="1715167B" w14:textId="77777777" w:rsidR="00B30265" w:rsidRPr="00752E61" w:rsidRDefault="00B30265" w:rsidP="00752E61">
      <w:pPr>
        <w:jc w:val="center"/>
        <w:rPr>
          <w:rFonts w:cs="Times New Roman"/>
          <w:b/>
          <w:bCs/>
          <w:szCs w:val="24"/>
          <w:lang w:val="es-CO"/>
        </w:rPr>
      </w:pPr>
    </w:p>
    <w:p w14:paraId="1F0C3BA9"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YURANI ANDREA DUQUE SANTA</w:t>
      </w:r>
    </w:p>
    <w:p w14:paraId="3359871B"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2246061</w:t>
      </w:r>
    </w:p>
    <w:p w14:paraId="0CA0DFF1" w14:textId="77777777" w:rsidR="00B30265" w:rsidRPr="00752E61" w:rsidRDefault="00B30265" w:rsidP="00752E61">
      <w:pPr>
        <w:jc w:val="center"/>
        <w:rPr>
          <w:rFonts w:cs="Times New Roman"/>
          <w:b/>
          <w:bCs/>
          <w:szCs w:val="24"/>
          <w:lang w:val="es-CO"/>
        </w:rPr>
      </w:pPr>
    </w:p>
    <w:p w14:paraId="12BBDED2" w14:textId="6D73CFA3" w:rsidR="00B30265" w:rsidRPr="00752E61" w:rsidRDefault="00B30265" w:rsidP="00752E61">
      <w:pPr>
        <w:jc w:val="center"/>
        <w:rPr>
          <w:rFonts w:cs="Times New Roman"/>
          <w:b/>
          <w:bCs/>
          <w:szCs w:val="24"/>
          <w:lang w:val="es-CO"/>
        </w:rPr>
      </w:pPr>
      <w:r w:rsidRPr="00752E61">
        <w:rPr>
          <w:rFonts w:cs="Times New Roman"/>
          <w:b/>
          <w:bCs/>
          <w:szCs w:val="24"/>
          <w:lang w:val="es-CO"/>
        </w:rPr>
        <w:t>VALENTINA VELASCO MERA</w:t>
      </w:r>
    </w:p>
    <w:p w14:paraId="70CFB829" w14:textId="4E108AB6" w:rsidR="00B30265" w:rsidRPr="00752E61" w:rsidRDefault="00B30265" w:rsidP="00752E61">
      <w:pPr>
        <w:jc w:val="center"/>
        <w:rPr>
          <w:rFonts w:cs="Times New Roman"/>
          <w:b/>
          <w:bCs/>
          <w:szCs w:val="24"/>
          <w:lang w:val="es-CO"/>
        </w:rPr>
      </w:pPr>
      <w:r w:rsidRPr="00752E61">
        <w:rPr>
          <w:rFonts w:cs="Times New Roman"/>
          <w:b/>
          <w:bCs/>
          <w:szCs w:val="24"/>
          <w:lang w:val="es-CO"/>
        </w:rPr>
        <w:t>2247648</w:t>
      </w:r>
    </w:p>
    <w:p w14:paraId="6BD8FC92" w14:textId="77777777" w:rsidR="00B30265" w:rsidRPr="00752E61" w:rsidRDefault="00B30265" w:rsidP="00752E61">
      <w:pPr>
        <w:jc w:val="center"/>
        <w:rPr>
          <w:rFonts w:cs="Times New Roman"/>
          <w:b/>
          <w:bCs/>
          <w:szCs w:val="24"/>
          <w:lang w:val="es-CO"/>
        </w:rPr>
      </w:pPr>
    </w:p>
    <w:p w14:paraId="7E5E5AA8" w14:textId="77777777" w:rsidR="00B30265" w:rsidRPr="00752E61" w:rsidRDefault="00B30265" w:rsidP="00752E61">
      <w:pPr>
        <w:jc w:val="center"/>
        <w:rPr>
          <w:rFonts w:cs="Times New Roman"/>
          <w:b/>
          <w:bCs/>
          <w:szCs w:val="24"/>
          <w:lang w:val="es-CO"/>
        </w:rPr>
      </w:pPr>
    </w:p>
    <w:p w14:paraId="04C8D559" w14:textId="77777777" w:rsidR="00B30265" w:rsidRPr="00752E61" w:rsidRDefault="00B30265" w:rsidP="00752E61">
      <w:pPr>
        <w:jc w:val="center"/>
        <w:rPr>
          <w:rFonts w:cs="Times New Roman"/>
          <w:b/>
          <w:bCs/>
          <w:szCs w:val="24"/>
          <w:lang w:val="es-CO"/>
        </w:rPr>
      </w:pPr>
    </w:p>
    <w:p w14:paraId="27AD639E" w14:textId="77777777" w:rsidR="00B30265" w:rsidRPr="00752E61" w:rsidRDefault="00B30265" w:rsidP="00752E61">
      <w:pPr>
        <w:jc w:val="center"/>
        <w:rPr>
          <w:rFonts w:cs="Times New Roman"/>
          <w:b/>
          <w:bCs/>
          <w:szCs w:val="24"/>
          <w:lang w:val="es-CO"/>
        </w:rPr>
      </w:pPr>
    </w:p>
    <w:p w14:paraId="65E186E5" w14:textId="77777777" w:rsidR="00B30265" w:rsidRPr="00752E61" w:rsidRDefault="00B30265" w:rsidP="00752E61">
      <w:pPr>
        <w:jc w:val="center"/>
        <w:rPr>
          <w:rFonts w:cs="Times New Roman"/>
          <w:b/>
          <w:bCs/>
          <w:szCs w:val="24"/>
          <w:lang w:val="es-CO"/>
        </w:rPr>
      </w:pPr>
    </w:p>
    <w:p w14:paraId="75A5D739" w14:textId="77777777" w:rsidR="00B30265" w:rsidRPr="00752E61" w:rsidRDefault="00B30265" w:rsidP="00752E61">
      <w:pPr>
        <w:jc w:val="center"/>
        <w:rPr>
          <w:rFonts w:cs="Times New Roman"/>
          <w:b/>
          <w:bCs/>
          <w:szCs w:val="24"/>
          <w:lang w:val="es-CO"/>
        </w:rPr>
      </w:pPr>
    </w:p>
    <w:p w14:paraId="23125D7F" w14:textId="77777777" w:rsidR="00B30265" w:rsidRPr="00752E61" w:rsidRDefault="00B30265" w:rsidP="00752E61">
      <w:pPr>
        <w:jc w:val="center"/>
        <w:rPr>
          <w:rFonts w:cs="Times New Roman"/>
          <w:b/>
          <w:bCs/>
          <w:szCs w:val="24"/>
          <w:lang w:val="es-CO"/>
        </w:rPr>
      </w:pPr>
    </w:p>
    <w:p w14:paraId="7E1C2CF3" w14:textId="77777777" w:rsidR="00B30265" w:rsidRPr="00752E61" w:rsidRDefault="00B30265" w:rsidP="00752E61">
      <w:pPr>
        <w:jc w:val="center"/>
        <w:rPr>
          <w:rFonts w:cs="Times New Roman"/>
          <w:b/>
          <w:bCs/>
          <w:szCs w:val="24"/>
          <w:lang w:val="es-CO"/>
        </w:rPr>
      </w:pPr>
    </w:p>
    <w:p w14:paraId="1800F62E"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INGENIERÍA DE DATOS E INTELIGENCIA ARTIFICIAL</w:t>
      </w:r>
    </w:p>
    <w:p w14:paraId="77F10744" w14:textId="77777777" w:rsidR="00B30265" w:rsidRPr="00752E61" w:rsidRDefault="00B30265" w:rsidP="00752E61">
      <w:pPr>
        <w:jc w:val="center"/>
        <w:rPr>
          <w:rFonts w:cs="Times New Roman"/>
          <w:b/>
          <w:bCs/>
          <w:szCs w:val="24"/>
          <w:lang w:val="es-CO"/>
        </w:rPr>
      </w:pPr>
      <w:r w:rsidRPr="00752E61">
        <w:rPr>
          <w:rFonts w:cs="Times New Roman"/>
          <w:b/>
          <w:bCs/>
          <w:szCs w:val="24"/>
          <w:lang w:val="es-CO"/>
        </w:rPr>
        <w:t>SANTIAGO DE CALI</w:t>
      </w:r>
    </w:p>
    <w:p w14:paraId="2F3FAECE" w14:textId="69E7E0A1" w:rsidR="00B30265" w:rsidRPr="00752E61" w:rsidRDefault="00B30265" w:rsidP="00752E61">
      <w:pPr>
        <w:jc w:val="center"/>
        <w:rPr>
          <w:rFonts w:cs="Times New Roman"/>
          <w:b/>
          <w:bCs/>
          <w:szCs w:val="24"/>
          <w:lang w:val="es-CO"/>
        </w:rPr>
      </w:pPr>
      <w:r w:rsidRPr="00752E61">
        <w:rPr>
          <w:rFonts w:cs="Times New Roman"/>
          <w:b/>
          <w:bCs/>
          <w:szCs w:val="24"/>
          <w:lang w:val="es-CO"/>
        </w:rPr>
        <w:t>2026</w:t>
      </w:r>
    </w:p>
    <w:p>
      <w:pPr>
        <w:keepNext/>
        <w:pageBreakBefore/>
        <w:jc w:val="center"/>
      </w:pPr>
      <w:r>
        <w:rPr>
          <w:b/>
        </w:rPr>
        <w:t>Resumen</w:t>
      </w:r>
    </w:p>
    <w:p>
      <w:r>
        <w:t>Este documento describe un pipeline ETL automatizado con Apache Airflow que integra tres fuentes de datos (un archivo CSV con lecturas históricas de clima y calidad del aire, una base de datos con indicadores de emisiones por país y la API pública Open-Meteo), valida su calidad con Great Expectations y solo carga al Data Warehouse los datos que superan las validaciones. El almacén es una base PostgreSQL con modelo estrella y un dashboard en Streamlit consulta únicamente los datos ya validados. El proyecto está alineado con el Objetivo de Desarrollo Sostenible (ODS) 13, Acción por el clima, y con la meta 11.6 del ODS 11 sobre la calidad del aire urbano. Se presentan los objetivos refinados, el análisis exploratorio, el diseño del DAG, las reglas de calidad, el modelo de datos y las visualizaciones con sus conclusiones.</w:t>
      </w:r>
    </w:p>
    <w:p>
      <w:r>
        <w:rPr>
          <w:i/>
        </w:rPr>
        <w:t xml:space="preserve">Palabras clave: </w:t>
      </w:r>
      <w:r>
        <w:t>ETL, Apache Airflow, Great Expectations, calidad de datos, modelo estrella, calidad del aire, ODS 13.</w:t>
      </w:r>
    </w:p>
    <w:p>
      <w:pPr>
        <w:keepNext/>
        <w:pageBreakBefore/>
        <w:jc w:val="center"/>
      </w:pPr>
      <w:r>
        <w:rPr>
          <w:b/>
        </w:rPr>
        <w:t>1. Introducción y Objetivos Refinados</w:t>
      </w:r>
    </w:p>
    <w:p>
      <w:pPr>
        <w:ind w:firstLine="720"/>
      </w:pPr>
      <w:r>
        <w:t>La contaminación atmosférica y el cambio climático son problemáticas relacionadas que afectan la salud pública y la sostenibilidad de las ciudades. El ODS 13 (Naciones Unidas, 2015) llama a adoptar medidas urgentes contra el cambio climático y la meta 11.6 del ODS 11 exige reducir el impacto ambiental de las ciudades, con atención especial a la calidad del aire. En Santiago de Cali, el Departamento Administrativo de Gestión del Medio Ambiente (DAGMA) opera un sistema de vigilancia de la calidad del aire con propósitos similares; este proyecto retoma esa lógica de monitoreo a escala global.</w:t>
      </w:r>
    </w:p>
    <w:p>
      <w:pPr>
        <w:ind w:firstLine="720"/>
      </w:pPr>
      <w:r>
        <w:t>En la primera fase del curso el ETL se limitaba a cargar un CSV en un esquema estrella y responder qué ciudades tienen peor aire. Con las nuevas fuentes los objetivos se refinaron así:</w:t>
      </w:r>
    </w:p>
    <w:p>
      <w:pPr>
        <w:pStyle w:val="ListBullet"/>
      </w:pPr>
      <w:r>
        <w:t>Monitorear de forma continua la calidad del aire de 260 ciudades capitales frente a la guía de la OMS para PM2.5 (15 µg/m³ en 24 horas; World Health Organization [WHO], 2021), extendiendo el histórico del CSV con datos diarios de una API.</w:t>
      </w:r>
    </w:p>
    <w:p>
      <w:pPr>
        <w:pStyle w:val="ListBullet"/>
      </w:pPr>
      <w:r>
        <w:t>Relacionar el aire de cada ciudad con las emisiones de CO₂, el PIB y la energía per cápita de su país, para evaluar si el nivel de emisiones o de ingreso se asocia con la contaminación.</w:t>
      </w:r>
    </w:p>
    <w:p>
      <w:pPr>
        <w:pStyle w:val="ListBullet"/>
      </w:pPr>
      <w:r>
        <w:t>Garantizar que solo se cargan datos válidos: cada ejecución se valida y, si falla una regla crítica, la carga se bloquea y queda registrada.</w:t>
      </w:r>
    </w:p>
    <w:p>
      <w:pPr>
        <w:ind w:firstLine="720"/>
      </w:pPr>
      <w:r>
        <w:t>Las preguntas analíticas que guían el modelo son: ¿qué ciudades superan la guía de la OMS y con qué frecuencia?, ¿se relaciona la contaminación con las emisiones y el ingreso del país?, ¿cómo evoluciona el PM2.5 y qué tan frescos están los datos? y ¿en qué estado está la calidad del dato?</w:t>
      </w:r>
    </w:p>
    <w:p>
      <w:pPr>
        <w:keepNext/>
        <w:jc w:val="center"/>
      </w:pPr>
      <w:r>
        <w:rPr>
          <w:b/>
        </w:rPr>
        <w:t>2. Fuentes de Datos y API</w:t>
      </w:r>
    </w:p>
    <w:p>
      <w:pPr>
        <w:ind w:firstLine="720"/>
      </w:pPr>
      <w:r>
        <w:t>El pipeline extrae datos de tres fuentes con formatos distintos, tal como muestra la Tabla 1. La primera es el conjunto de datos World Weather Repository publicado en Kaggle (Elgiriyewithana, 2023), reutilizado del proyecto anterior. La segunda es el conjunto de emisiones de CO₂ y economía de Our World in Data (Ritchie et al., 2023), almacenado en una base de datos PostgreSQL de la que Airflow lo extrae con SQL. La tercera es la API pública Open-Meteo (Zippenfenig, 2023).</w:t>
      </w:r>
    </w:p>
    <w:p>
      <w:pPr>
        <w:keepNext/>
      </w:pPr>
      <w:r>
        <w:rPr>
          <w:i/>
        </w:rPr>
        <w:t>Tabla 1</w:t>
      </w:r>
    </w:p>
    <w:p>
      <w:pPr>
        <w:keepNext/>
      </w:pPr>
      <w:r>
        <w:rPr>
          <w:i/>
        </w:rPr>
        <w:t>Fuentes de datos del pipeline.</w:t>
      </w:r>
    </w:p>
    <w:tbl>
      <w:tblPr>
        <w:tblStyle w:val="TableGrid"/>
        <w:tblW w:type="auto" w:w="0"/>
        <w:tblLook w:firstColumn="1" w:firstRow="1" w:lastColumn="0" w:lastRow="0" w:noHBand="0" w:noVBand="1" w:val="04A0"/>
      </w:tblPr>
      <w:tblGrid>
        <w:gridCol w:w="2340"/>
        <w:gridCol w:w="2340"/>
        <w:gridCol w:w="2340"/>
        <w:gridCol w:w="2340"/>
      </w:tblGrid>
      <w:tr>
        <w:tc>
          <w:tcPr>
            <w:tcW w:type="dxa" w:w="432"/>
            <w:shd w:val="clear" w:color="auto" w:fill="D9E2F3"/>
          </w:tcPr>
          <w:p>
            <w:pPr>
              <w:spacing w:line="240" w:lineRule="auto" w:after="0"/>
            </w:pPr>
            <w:r>
              <w:rPr>
                <w:sz w:val="18"/>
              </w:rPr>
            </w:r>
            <w:r>
              <w:rPr>
                <w:b/>
                <w:sz w:val="18"/>
              </w:rPr>
              <w:t>#</w:t>
            </w:r>
          </w:p>
        </w:tc>
        <w:tc>
          <w:tcPr>
            <w:tcW w:type="dxa" w:w="2448"/>
            <w:shd w:val="clear" w:color="auto" w:fill="D9E2F3"/>
          </w:tcPr>
          <w:p>
            <w:pPr>
              <w:spacing w:line="240" w:lineRule="auto" w:after="0"/>
            </w:pPr>
            <w:r>
              <w:rPr>
                <w:sz w:val="18"/>
              </w:rPr>
            </w:r>
            <w:r>
              <w:rPr>
                <w:b/>
                <w:sz w:val="18"/>
              </w:rPr>
              <w:t>Fuente</w:t>
            </w:r>
          </w:p>
        </w:tc>
        <w:tc>
          <w:tcPr>
            <w:tcW w:type="dxa" w:w="2304"/>
            <w:shd w:val="clear" w:color="auto" w:fill="D9E2F3"/>
          </w:tcPr>
          <w:p>
            <w:pPr>
              <w:spacing w:line="240" w:lineRule="auto" w:after="0"/>
            </w:pPr>
            <w:r>
              <w:rPr>
                <w:sz w:val="18"/>
              </w:rPr>
            </w:r>
            <w:r>
              <w:rPr>
                <w:b/>
                <w:sz w:val="18"/>
              </w:rPr>
              <w:t>Acceso</w:t>
            </w:r>
          </w:p>
        </w:tc>
        <w:tc>
          <w:tcPr>
            <w:tcW w:type="dxa" w:w="4176"/>
            <w:shd w:val="clear" w:color="auto" w:fill="D9E2F3"/>
          </w:tcPr>
          <w:p>
            <w:pPr>
              <w:spacing w:line="240" w:lineRule="auto" w:after="0"/>
            </w:pPr>
            <w:r>
              <w:rPr>
                <w:sz w:val="18"/>
              </w:rPr>
            </w:r>
            <w:r>
              <w:rPr>
                <w:b/>
                <w:sz w:val="18"/>
              </w:rPr>
              <w:t>Contenido</w:t>
            </w:r>
          </w:p>
        </w:tc>
      </w:tr>
      <w:tr>
        <w:tc>
          <w:tcPr>
            <w:tcW w:type="dxa" w:w="432"/>
          </w:tcPr>
          <w:p>
            <w:pPr>
              <w:spacing w:line="240" w:lineRule="auto" w:after="0"/>
            </w:pPr>
            <w:r>
              <w:rPr>
                <w:sz w:val="18"/>
              </w:rPr>
            </w:r>
            <w:r>
              <w:rPr>
                <w:sz w:val="18"/>
              </w:rPr>
              <w:t>1</w:t>
            </w:r>
          </w:p>
        </w:tc>
        <w:tc>
          <w:tcPr>
            <w:tcW w:type="dxa" w:w="2448"/>
          </w:tcPr>
          <w:p>
            <w:pPr>
              <w:spacing w:line="240" w:lineRule="auto" w:after="0"/>
            </w:pPr>
            <w:r>
              <w:rPr>
                <w:sz w:val="18"/>
              </w:rPr>
            </w:r>
            <w:r>
              <w:rPr>
                <w:sz w:val="18"/>
              </w:rPr>
              <w:t>World Weather Repository (Kaggle)</w:t>
            </w:r>
          </w:p>
        </w:tc>
        <w:tc>
          <w:tcPr>
            <w:tcW w:type="dxa" w:w="2304"/>
          </w:tcPr>
          <w:p>
            <w:pPr>
              <w:spacing w:line="240" w:lineRule="auto" w:after="0"/>
            </w:pPr>
            <w:r>
              <w:rPr>
                <w:sz w:val="18"/>
              </w:rPr>
            </w:r>
            <w:r>
              <w:rPr>
                <w:sz w:val="18"/>
              </w:rPr>
              <w:t>archivo CSV comprimido</w:t>
            </w:r>
          </w:p>
        </w:tc>
        <w:tc>
          <w:tcPr>
            <w:tcW w:type="dxa" w:w="4176"/>
          </w:tcPr>
          <w:p>
            <w:pPr>
              <w:spacing w:line="240" w:lineRule="auto" w:after="0"/>
            </w:pPr>
            <w:r>
              <w:rPr>
                <w:sz w:val="18"/>
              </w:rPr>
            </w:r>
            <w:r>
              <w:rPr>
                <w:sz w:val="18"/>
              </w:rPr>
              <w:t>164,109 lecturas de clima y calidad del aire de 286 capitales, del 2024-05-16 al 2026-09-08</w:t>
            </w:r>
          </w:p>
        </w:tc>
      </w:tr>
      <w:tr>
        <w:tc>
          <w:tcPr>
            <w:tcW w:type="dxa" w:w="432"/>
          </w:tcPr>
          <w:p>
            <w:pPr>
              <w:spacing w:line="240" w:lineRule="auto" w:after="0"/>
            </w:pPr>
            <w:r>
              <w:rPr>
                <w:sz w:val="18"/>
              </w:rPr>
            </w:r>
            <w:r>
              <w:rPr>
                <w:sz w:val="18"/>
              </w:rPr>
              <w:t>2</w:t>
            </w:r>
          </w:p>
        </w:tc>
        <w:tc>
          <w:tcPr>
            <w:tcW w:type="dxa" w:w="2448"/>
          </w:tcPr>
          <w:p>
            <w:pPr>
              <w:spacing w:line="240" w:lineRule="auto" w:after="0"/>
            </w:pPr>
            <w:r>
              <w:rPr>
                <w:sz w:val="18"/>
              </w:rPr>
            </w:r>
            <w:r>
              <w:rPr>
                <w:sz w:val="18"/>
              </w:rPr>
              <w:t>Our World in Data, emisiones de CO₂</w:t>
            </w:r>
          </w:p>
        </w:tc>
        <w:tc>
          <w:tcPr>
            <w:tcW w:type="dxa" w:w="2304"/>
          </w:tcPr>
          <w:p>
            <w:pPr>
              <w:spacing w:line="240" w:lineRule="auto" w:after="0"/>
            </w:pPr>
            <w:r>
              <w:rPr>
                <w:sz w:val="18"/>
              </w:rPr>
            </w:r>
            <w:r>
              <w:rPr>
                <w:sz w:val="18"/>
              </w:rPr>
              <w:t>tabla source.owid_co2 (SQL)</w:t>
            </w:r>
          </w:p>
        </w:tc>
        <w:tc>
          <w:tcPr>
            <w:tcW w:type="dxa" w:w="4176"/>
          </w:tcPr>
          <w:p>
            <w:pPr>
              <w:spacing w:line="240" w:lineRule="auto" w:after="0"/>
            </w:pPr>
            <w:r>
              <w:rPr>
                <w:sz w:val="18"/>
              </w:rPr>
            </w:r>
            <w:r>
              <w:rPr>
                <w:sz w:val="18"/>
              </w:rPr>
              <w:t>50,411 filas país-año y 79 columnas: población, PIB, CO₂ y energía</w:t>
            </w:r>
          </w:p>
        </w:tc>
      </w:tr>
      <w:tr>
        <w:tc>
          <w:tcPr>
            <w:tcW w:type="dxa" w:w="432"/>
          </w:tcPr>
          <w:p>
            <w:pPr>
              <w:spacing w:line="240" w:lineRule="auto" w:after="0"/>
            </w:pPr>
            <w:r>
              <w:rPr>
                <w:sz w:val="18"/>
              </w:rPr>
            </w:r>
            <w:r>
              <w:rPr>
                <w:sz w:val="18"/>
              </w:rPr>
              <w:t>3</w:t>
            </w:r>
          </w:p>
        </w:tc>
        <w:tc>
          <w:tcPr>
            <w:tcW w:type="dxa" w:w="2448"/>
          </w:tcPr>
          <w:p>
            <w:pPr>
              <w:spacing w:line="240" w:lineRule="auto" w:after="0"/>
            </w:pPr>
            <w:r>
              <w:rPr>
                <w:sz w:val="18"/>
              </w:rPr>
            </w:r>
            <w:r>
              <w:rPr>
                <w:sz w:val="18"/>
              </w:rPr>
              <w:t>Open-Meteo</w:t>
            </w:r>
          </w:p>
        </w:tc>
        <w:tc>
          <w:tcPr>
            <w:tcW w:type="dxa" w:w="2304"/>
          </w:tcPr>
          <w:p>
            <w:pPr>
              <w:spacing w:line="240" w:lineRule="auto" w:after="0"/>
            </w:pPr>
            <w:r>
              <w:rPr>
                <w:sz w:val="18"/>
              </w:rPr>
            </w:r>
            <w:r>
              <w:rPr>
                <w:sz w:val="18"/>
              </w:rPr>
              <w:t>API REST pública, sin llave</w:t>
            </w:r>
          </w:p>
        </w:tc>
        <w:tc>
          <w:tcPr>
            <w:tcW w:type="dxa" w:w="4176"/>
          </w:tcPr>
          <w:p>
            <w:pPr>
              <w:spacing w:line="240" w:lineRule="auto" w:after="0"/>
            </w:pPr>
            <w:r>
              <w:rPr>
                <w:sz w:val="18"/>
              </w:rPr>
            </w:r>
            <w:r>
              <w:rPr>
                <w:sz w:val="18"/>
              </w:rPr>
              <w:t>PM2.5, PM10, CO, NO₂, SO₂, ozono, AQI, temperatura, humedad, viento, presión, lluvia, nubosidad y UV</w:t>
            </w:r>
          </w:p>
        </w:tc>
      </w:tr>
    </w:tbl>
    <w:p/>
    <w:p>
      <w:pPr>
        <w:keepNext/>
      </w:pPr>
      <w:r>
        <w:rPr>
          <w:b/>
        </w:rPr>
        <w:t>2.1 Detalles y justificación de la API</w:t>
      </w:r>
    </w:p>
    <w:p>
      <w:pPr>
        <w:ind w:firstLine="720"/>
      </w:pPr>
      <w:r>
        <w:t>Se utilizan dos servicios de Open-Meteo: la API de calidad del aire, que entrega valores horarios de contaminantes y del índice AQI de Estados Unidos, y la API de pronóstico y clima, que entrega valores diarios de temperatura, humedad, precipitación, viento, presión, nubosidad y radiación UV. Ambas reciben las coordenadas de varias ciudades en una misma petición (25 por bloque), el número de días pasados a consultar, y responden una lista JSON con un objeto por ubicación, que incluye las series y el desfase horario. No requieren registro ni llave.</w:t>
      </w:r>
    </w:p>
    <w:p>
      <w:pPr>
        <w:ind w:firstLine="720"/>
      </w:pPr>
      <w:r>
        <w:t>Se eligió Open-Meteo porque es gratuita y no exige credenciales, lo que permite que cualquier persona reproduzca el proyecto; porque ofrece las mismas variables y unidades (µg/m³) que el CSV; y porque su histórico reciente permite continuar la serie del CSV, que termina el 8 de septiembre de 2026. Sus limitaciones son el uso no comercial y las cuotas por hora, que el pipeline respeta consultando por bloques, reintentando con espera exponencial ante errores 429 o 5xx y pidiendo únicamente los días posteriores al último ya cargado.</w:t>
      </w:r>
    </w:p>
    <w:p>
      <w:pPr>
        <w:keepNext/>
        <w:jc w:val="center"/>
      </w:pPr>
      <w:r>
        <w:rPr>
          <w:b/>
        </w:rPr>
        <w:t>3. Arquitectura</w:t>
      </w:r>
    </w:p>
    <w:p>
      <w:pPr>
        <w:ind w:firstLine="720"/>
      </w:pPr>
      <w:r>
        <w:t>La Figura 1 presenta la arquitectura actualizada. Las tres fuentes alimentan tres ramas paralelas dentro de un DAG de Airflow; las ramas se unen en un dataset enriquecido que pasa por la validación de Great Expectations y, solo si aprueba, se carga en el Data Warehouse. Los resultados de la validación y el estado de cada ejecución se guardan en tablas de auditoría. Todo se ejecuta con Docker Compose.</w:t>
      </w:r>
    </w:p>
    <w:p>
      <w:pPr>
        <w:keepNext/>
        <w:jc w:val="center"/>
      </w:pPr>
      <w:r>
        <w:drawing>
          <wp:inline xmlns:a="http://schemas.openxmlformats.org/drawingml/2006/main" xmlns:pic="http://schemas.openxmlformats.org/drawingml/2006/picture">
            <wp:extent cx="5760720" cy="1499365"/>
            <wp:docPr id="1" name="Picture 1"/>
            <wp:cNvGraphicFramePr>
              <a:graphicFrameLocks noChangeAspect="1"/>
            </wp:cNvGraphicFramePr>
            <a:graphic>
              <a:graphicData uri="http://schemas.openxmlformats.org/drawingml/2006/picture">
                <pic:pic>
                  <pic:nvPicPr>
                    <pic:cNvPr id="0" name="arquitectura.png"/>
                    <pic:cNvPicPr/>
                  </pic:nvPicPr>
                  <pic:blipFill>
                    <a:blip r:embed="rId18"/>
                    <a:stretch>
                      <a:fillRect/>
                    </a:stretch>
                  </pic:blipFill>
                  <pic:spPr>
                    <a:xfrm>
                      <a:off x="0" y="0"/>
                      <a:ext cx="5760720" cy="1499365"/>
                    </a:xfrm>
                    <a:prstGeom prst="rect"/>
                  </pic:spPr>
                </pic:pic>
              </a:graphicData>
            </a:graphic>
          </wp:inline>
        </w:drawing>
      </w:r>
    </w:p>
    <w:p>
      <w:r>
        <w:rPr>
          <w:i/>
        </w:rPr>
        <w:t>Figura 1</w:t>
      </w:r>
      <w:r>
        <w:br/>
        <w:t>Arquitectura del pipeline con Airflow y validación de calidad.</w:t>
      </w:r>
    </w:p>
    <w:p>
      <w:pPr>
        <w:keepNext/>
      </w:pPr>
      <w:r>
        <w:rPr>
          <w:i/>
        </w:rPr>
        <w:t>Tabla 2</w:t>
      </w:r>
    </w:p>
    <w:p>
      <w:pPr>
        <w:keepNext/>
      </w:pPr>
      <w:r>
        <w:rPr>
          <w:i/>
        </w:rPr>
        <w:t>Pila tecnológica por capa.</w:t>
      </w:r>
    </w:p>
    <w:tbl>
      <w:tblPr>
        <w:tblStyle w:val="TableGrid"/>
        <w:tblW w:type="auto" w:w="0"/>
        <w:tblLook w:firstColumn="1" w:firstRow="1" w:lastColumn="0" w:lastRow="0" w:noHBand="0" w:noVBand="1" w:val="04A0"/>
      </w:tblPr>
      <w:tblGrid>
        <w:gridCol w:w="3120"/>
        <w:gridCol w:w="3120"/>
        <w:gridCol w:w="3120"/>
      </w:tblGrid>
      <w:tr>
        <w:tc>
          <w:tcPr>
            <w:tcW w:type="dxa" w:w="2016"/>
            <w:shd w:val="clear" w:color="auto" w:fill="D9E2F3"/>
          </w:tcPr>
          <w:p>
            <w:pPr>
              <w:spacing w:line="240" w:lineRule="auto" w:after="0"/>
            </w:pPr>
            <w:r>
              <w:rPr>
                <w:sz w:val="20"/>
              </w:rPr>
            </w:r>
            <w:r>
              <w:rPr>
                <w:b/>
                <w:sz w:val="20"/>
              </w:rPr>
              <w:t>Capa</w:t>
            </w:r>
          </w:p>
        </w:tc>
        <w:tc>
          <w:tcPr>
            <w:tcW w:type="dxa" w:w="3312"/>
            <w:shd w:val="clear" w:color="auto" w:fill="D9E2F3"/>
          </w:tcPr>
          <w:p>
            <w:pPr>
              <w:spacing w:line="240" w:lineRule="auto" w:after="0"/>
            </w:pPr>
            <w:r>
              <w:rPr>
                <w:sz w:val="20"/>
              </w:rPr>
            </w:r>
            <w:r>
              <w:rPr>
                <w:b/>
                <w:sz w:val="20"/>
              </w:rPr>
              <w:t>Herramienta</w:t>
            </w:r>
          </w:p>
        </w:tc>
        <w:tc>
          <w:tcPr>
            <w:tcW w:type="dxa" w:w="4032"/>
            <w:shd w:val="clear" w:color="auto" w:fill="D9E2F3"/>
          </w:tcPr>
          <w:p>
            <w:pPr>
              <w:spacing w:line="240" w:lineRule="auto" w:after="0"/>
            </w:pPr>
            <w:r>
              <w:rPr>
                <w:sz w:val="20"/>
              </w:rPr>
            </w:r>
            <w:r>
              <w:rPr>
                <w:b/>
                <w:sz w:val="20"/>
              </w:rPr>
              <w:t>Propósito</w:t>
            </w:r>
          </w:p>
        </w:tc>
      </w:tr>
      <w:tr>
        <w:tc>
          <w:tcPr>
            <w:tcW w:type="dxa" w:w="2016"/>
          </w:tcPr>
          <w:p>
            <w:pPr>
              <w:spacing w:line="240" w:lineRule="auto" w:after="0"/>
            </w:pPr>
            <w:r>
              <w:rPr>
                <w:sz w:val="20"/>
              </w:rPr>
            </w:r>
            <w:r>
              <w:rPr>
                <w:sz w:val="20"/>
              </w:rPr>
              <w:t>Orquestación</w:t>
            </w:r>
          </w:p>
        </w:tc>
        <w:tc>
          <w:tcPr>
            <w:tcW w:type="dxa" w:w="3312"/>
          </w:tcPr>
          <w:p>
            <w:pPr>
              <w:spacing w:line="240" w:lineRule="auto" w:after="0"/>
            </w:pPr>
            <w:r>
              <w:rPr>
                <w:sz w:val="20"/>
              </w:rPr>
            </w:r>
            <w:r>
              <w:rPr>
                <w:sz w:val="20"/>
              </w:rPr>
              <w:t>Apache Airflow 3.3</w:t>
            </w:r>
          </w:p>
        </w:tc>
        <w:tc>
          <w:tcPr>
            <w:tcW w:type="dxa" w:w="4032"/>
          </w:tcPr>
          <w:p>
            <w:pPr>
              <w:spacing w:line="240" w:lineRule="auto" w:after="0"/>
            </w:pPr>
            <w:r>
              <w:rPr>
                <w:sz w:val="20"/>
              </w:rPr>
            </w:r>
            <w:r>
              <w:rPr>
                <w:sz w:val="20"/>
              </w:rPr>
              <w:t>programar y ejecutar el DAG diario</w:t>
            </w:r>
          </w:p>
        </w:tc>
      </w:tr>
      <w:tr>
        <w:tc>
          <w:tcPr>
            <w:tcW w:type="dxa" w:w="2016"/>
          </w:tcPr>
          <w:p>
            <w:pPr>
              <w:spacing w:line="240" w:lineRule="auto" w:after="0"/>
            </w:pPr>
            <w:r>
              <w:rPr>
                <w:sz w:val="20"/>
              </w:rPr>
            </w:r>
            <w:r>
              <w:rPr>
                <w:sz w:val="20"/>
              </w:rPr>
              <w:t>Fuentes</w:t>
            </w:r>
          </w:p>
        </w:tc>
        <w:tc>
          <w:tcPr>
            <w:tcW w:type="dxa" w:w="3312"/>
          </w:tcPr>
          <w:p>
            <w:pPr>
              <w:spacing w:line="240" w:lineRule="auto" w:after="0"/>
            </w:pPr>
            <w:r>
              <w:rPr>
                <w:sz w:val="20"/>
              </w:rPr>
            </w:r>
            <w:r>
              <w:rPr>
                <w:sz w:val="20"/>
              </w:rPr>
              <w:t>CSV, PostgreSQL y API Open-Meteo</w:t>
            </w:r>
          </w:p>
        </w:tc>
        <w:tc>
          <w:tcPr>
            <w:tcW w:type="dxa" w:w="4032"/>
          </w:tcPr>
          <w:p>
            <w:pPr>
              <w:spacing w:line="240" w:lineRule="auto" w:after="0"/>
            </w:pPr>
            <w:r>
              <w:rPr>
                <w:sz w:val="20"/>
              </w:rPr>
            </w:r>
            <w:r>
              <w:rPr>
                <w:sz w:val="20"/>
              </w:rPr>
              <w:t>datos históricos, indicadores por país y datos frescos</w:t>
            </w:r>
          </w:p>
        </w:tc>
      </w:tr>
      <w:tr>
        <w:tc>
          <w:tcPr>
            <w:tcW w:type="dxa" w:w="2016"/>
          </w:tcPr>
          <w:p>
            <w:pPr>
              <w:spacing w:line="240" w:lineRule="auto" w:after="0"/>
            </w:pPr>
            <w:r>
              <w:rPr>
                <w:sz w:val="20"/>
              </w:rPr>
            </w:r>
            <w:r>
              <w:rPr>
                <w:sz w:val="20"/>
              </w:rPr>
              <w:t>Transformación</w:t>
            </w:r>
          </w:p>
        </w:tc>
        <w:tc>
          <w:tcPr>
            <w:tcW w:type="dxa" w:w="3312"/>
          </w:tcPr>
          <w:p>
            <w:pPr>
              <w:spacing w:line="240" w:lineRule="auto" w:after="0"/>
            </w:pPr>
            <w:r>
              <w:rPr>
                <w:sz w:val="20"/>
              </w:rPr>
            </w:r>
            <w:r>
              <w:rPr>
                <w:sz w:val="20"/>
              </w:rPr>
              <w:t>Python y pandas</w:t>
            </w:r>
          </w:p>
        </w:tc>
        <w:tc>
          <w:tcPr>
            <w:tcW w:type="dxa" w:w="4032"/>
          </w:tcPr>
          <w:p>
            <w:pPr>
              <w:spacing w:line="240" w:lineRule="auto" w:after="0"/>
            </w:pPr>
            <w:r>
              <w:rPr>
                <w:sz w:val="20"/>
              </w:rPr>
            </w:r>
            <w:r>
              <w:rPr>
                <w:sz w:val="20"/>
              </w:rPr>
              <w:t>limpieza, normalización y unión</w:t>
            </w:r>
          </w:p>
        </w:tc>
      </w:tr>
      <w:tr>
        <w:tc>
          <w:tcPr>
            <w:tcW w:type="dxa" w:w="2016"/>
          </w:tcPr>
          <w:p>
            <w:pPr>
              <w:spacing w:line="240" w:lineRule="auto" w:after="0"/>
            </w:pPr>
            <w:r>
              <w:rPr>
                <w:sz w:val="20"/>
              </w:rPr>
            </w:r>
            <w:r>
              <w:rPr>
                <w:sz w:val="20"/>
              </w:rPr>
              <w:t>Calidad</w:t>
            </w:r>
          </w:p>
        </w:tc>
        <w:tc>
          <w:tcPr>
            <w:tcW w:type="dxa" w:w="3312"/>
          </w:tcPr>
          <w:p>
            <w:pPr>
              <w:spacing w:line="240" w:lineRule="auto" w:after="0"/>
            </w:pPr>
            <w:r>
              <w:rPr>
                <w:sz w:val="20"/>
              </w:rPr>
            </w:r>
            <w:r>
              <w:rPr>
                <w:sz w:val="20"/>
              </w:rPr>
              <w:t>Great Expectations 1.23</w:t>
            </w:r>
          </w:p>
        </w:tc>
        <w:tc>
          <w:tcPr>
            <w:tcW w:type="dxa" w:w="4032"/>
          </w:tcPr>
          <w:p>
            <w:pPr>
              <w:spacing w:line="240" w:lineRule="auto" w:after="0"/>
            </w:pPr>
            <w:r>
              <w:rPr>
                <w:sz w:val="20"/>
              </w:rPr>
            </w:r>
            <w:r>
              <w:rPr>
                <w:sz w:val="20"/>
              </w:rPr>
              <w:t>validar antes de cargar</w:t>
            </w:r>
          </w:p>
        </w:tc>
      </w:tr>
      <w:tr>
        <w:tc>
          <w:tcPr>
            <w:tcW w:type="dxa" w:w="2016"/>
          </w:tcPr>
          <w:p>
            <w:pPr>
              <w:spacing w:line="240" w:lineRule="auto" w:after="0"/>
            </w:pPr>
            <w:r>
              <w:rPr>
                <w:sz w:val="20"/>
              </w:rPr>
            </w:r>
            <w:r>
              <w:rPr>
                <w:sz w:val="20"/>
              </w:rPr>
              <w:t>Almacenamiento</w:t>
            </w:r>
          </w:p>
        </w:tc>
        <w:tc>
          <w:tcPr>
            <w:tcW w:type="dxa" w:w="3312"/>
          </w:tcPr>
          <w:p>
            <w:pPr>
              <w:spacing w:line="240" w:lineRule="auto" w:after="0"/>
            </w:pPr>
            <w:r>
              <w:rPr>
                <w:sz w:val="20"/>
              </w:rPr>
            </w:r>
            <w:r>
              <w:rPr>
                <w:sz w:val="20"/>
              </w:rPr>
              <w:t>PostgreSQL 16 (o Supabase)</w:t>
            </w:r>
          </w:p>
        </w:tc>
        <w:tc>
          <w:tcPr>
            <w:tcW w:type="dxa" w:w="4032"/>
          </w:tcPr>
          <w:p>
            <w:pPr>
              <w:spacing w:line="240" w:lineRule="auto" w:after="0"/>
            </w:pPr>
            <w:r>
              <w:rPr>
                <w:sz w:val="20"/>
              </w:rPr>
            </w:r>
            <w:r>
              <w:rPr>
                <w:sz w:val="20"/>
              </w:rPr>
              <w:t>Data Warehouse en el esquema dw</w:t>
            </w:r>
          </w:p>
        </w:tc>
      </w:tr>
      <w:tr>
        <w:tc>
          <w:tcPr>
            <w:tcW w:type="dxa" w:w="2016"/>
          </w:tcPr>
          <w:p>
            <w:pPr>
              <w:spacing w:line="240" w:lineRule="auto" w:after="0"/>
            </w:pPr>
            <w:r>
              <w:rPr>
                <w:sz w:val="20"/>
              </w:rPr>
            </w:r>
            <w:r>
              <w:rPr>
                <w:sz w:val="20"/>
              </w:rPr>
              <w:t>Visualización</w:t>
            </w:r>
          </w:p>
        </w:tc>
        <w:tc>
          <w:tcPr>
            <w:tcW w:type="dxa" w:w="3312"/>
          </w:tcPr>
          <w:p>
            <w:pPr>
              <w:spacing w:line="240" w:lineRule="auto" w:after="0"/>
            </w:pPr>
            <w:r>
              <w:rPr>
                <w:sz w:val="20"/>
              </w:rPr>
            </w:r>
            <w:r>
              <w:rPr>
                <w:sz w:val="20"/>
              </w:rPr>
              <w:t>Streamlit y Plotly</w:t>
            </w:r>
          </w:p>
        </w:tc>
        <w:tc>
          <w:tcPr>
            <w:tcW w:type="dxa" w:w="4032"/>
          </w:tcPr>
          <w:p>
            <w:pPr>
              <w:spacing w:line="240" w:lineRule="auto" w:after="0"/>
            </w:pPr>
            <w:r>
              <w:rPr>
                <w:sz w:val="20"/>
              </w:rPr>
            </w:r>
            <w:r>
              <w:rPr>
                <w:sz w:val="20"/>
              </w:rPr>
              <w:t>dashboard sobre el Data Warehouse</w:t>
            </w:r>
          </w:p>
        </w:tc>
      </w:tr>
      <w:tr>
        <w:tc>
          <w:tcPr>
            <w:tcW w:type="dxa" w:w="2016"/>
          </w:tcPr>
          <w:p>
            <w:pPr>
              <w:spacing w:line="240" w:lineRule="auto" w:after="0"/>
            </w:pPr>
            <w:r>
              <w:rPr>
                <w:sz w:val="20"/>
              </w:rPr>
            </w:r>
            <w:r>
              <w:rPr>
                <w:sz w:val="20"/>
              </w:rPr>
              <w:t>Versionamiento</w:t>
            </w:r>
          </w:p>
        </w:tc>
        <w:tc>
          <w:tcPr>
            <w:tcW w:type="dxa" w:w="3312"/>
          </w:tcPr>
          <w:p>
            <w:pPr>
              <w:spacing w:line="240" w:lineRule="auto" w:after="0"/>
            </w:pPr>
            <w:r>
              <w:rPr>
                <w:sz w:val="20"/>
              </w:rPr>
            </w:r>
            <w:r>
              <w:rPr>
                <w:sz w:val="20"/>
              </w:rPr>
              <w:t>Git y GitHub</w:t>
            </w:r>
          </w:p>
        </w:tc>
        <w:tc>
          <w:tcPr>
            <w:tcW w:type="dxa" w:w="4032"/>
          </w:tcPr>
          <w:p>
            <w:pPr>
              <w:spacing w:line="240" w:lineRule="auto" w:after="0"/>
            </w:pPr>
            <w:r>
              <w:rPr>
                <w:sz w:val="20"/>
              </w:rPr>
            </w:r>
            <w:r>
              <w:rPr>
                <w:sz w:val="20"/>
              </w:rPr>
              <w:t>código, configuración y documentación</w:t>
            </w:r>
          </w:p>
        </w:tc>
      </w:tr>
    </w:tbl>
    <w:p/>
    <w:p>
      <w:pPr>
        <w:keepNext/>
        <w:jc w:val="center"/>
      </w:pPr>
      <w:r>
        <w:rPr>
          <w:b/>
        </w:rPr>
        <w:t>4. Análisis Exploratorio de Datos</w:t>
      </w:r>
    </w:p>
    <w:p>
      <w:pPr>
        <w:ind w:firstLine="720"/>
      </w:pPr>
      <w:r>
        <w:t>El análisis exploratorio se realizó sobre las tres fuentes en un cuaderno de Jupyter, revisando estructura, tipos de dato, valores nulos, duplicados y valores atípicos. Los hallazgos determinaron las transformaciones que resume la Tabla 3.</w:t>
      </w:r>
    </w:p>
    <w:p>
      <w:pPr>
        <w:keepNext/>
      </w:pPr>
      <w:r>
        <w:rPr>
          <w:i/>
        </w:rPr>
        <w:t>Tabla 3</w:t>
      </w:r>
    </w:p>
    <w:p>
      <w:pPr>
        <w:keepNext/>
      </w:pPr>
      <w:r>
        <w:rPr>
          <w:i/>
        </w:rPr>
        <w:t>Hallazgos del análisis exploratorio y decisiones de transformación.</w:t>
      </w:r>
    </w:p>
    <w:tbl>
      <w:tblPr>
        <w:tblStyle w:val="TableGrid"/>
        <w:tblW w:type="auto" w:w="0"/>
        <w:tblLook w:firstColumn="1" w:firstRow="1" w:lastColumn="0" w:lastRow="0" w:noHBand="0" w:noVBand="1" w:val="04A0"/>
      </w:tblPr>
      <w:tblGrid>
        <w:gridCol w:w="4680"/>
        <w:gridCol w:w="4680"/>
      </w:tblGrid>
      <w:tr>
        <w:tc>
          <w:tcPr>
            <w:tcW w:type="dxa" w:w="4896"/>
            <w:shd w:val="clear" w:color="auto" w:fill="D9E2F3"/>
          </w:tcPr>
          <w:p>
            <w:pPr>
              <w:spacing w:line="240" w:lineRule="auto" w:after="0"/>
            </w:pPr>
            <w:r>
              <w:rPr>
                <w:sz w:val="18"/>
              </w:rPr>
            </w:r>
            <w:r>
              <w:rPr>
                <w:b/>
                <w:sz w:val="18"/>
              </w:rPr>
              <w:t>Hallazgo</w:t>
            </w:r>
          </w:p>
        </w:tc>
        <w:tc>
          <w:tcPr>
            <w:tcW w:type="dxa" w:w="4464"/>
            <w:shd w:val="clear" w:color="auto" w:fill="D9E2F3"/>
          </w:tcPr>
          <w:p>
            <w:pPr>
              <w:spacing w:line="240" w:lineRule="auto" w:after="0"/>
            </w:pPr>
            <w:r>
              <w:rPr>
                <w:sz w:val="18"/>
              </w:rPr>
            </w:r>
            <w:r>
              <w:rPr>
                <w:b/>
                <w:sz w:val="18"/>
              </w:rPr>
              <w:t>Decisión</w:t>
            </w:r>
          </w:p>
        </w:tc>
      </w:tr>
      <w:tr>
        <w:tc>
          <w:tcPr>
            <w:tcW w:type="dxa" w:w="4896"/>
          </w:tcPr>
          <w:p>
            <w:pPr>
              <w:spacing w:line="240" w:lineRule="auto" w:after="0"/>
            </w:pPr>
            <w:r>
              <w:rPr>
                <w:sz w:val="18"/>
              </w:rPr>
            </w:r>
            <w:r>
              <w:rPr>
                <w:sz w:val="18"/>
              </w:rPr>
              <w:t>383 pares ciudad-día tienen dos lecturas</w:t>
            </w:r>
          </w:p>
        </w:tc>
        <w:tc>
          <w:tcPr>
            <w:tcW w:type="dxa" w:w="4464"/>
          </w:tcPr>
          <w:p>
            <w:pPr>
              <w:spacing w:line="240" w:lineRule="auto" w:after="0"/>
            </w:pPr>
            <w:r>
              <w:rPr>
                <w:sz w:val="18"/>
              </w:rPr>
            </w:r>
            <w:r>
              <w:rPr>
                <w:sz w:val="18"/>
              </w:rPr>
              <w:t>conservar la más reciente</w:t>
            </w:r>
          </w:p>
        </w:tc>
      </w:tr>
      <w:tr>
        <w:tc>
          <w:tcPr>
            <w:tcW w:type="dxa" w:w="4896"/>
          </w:tcPr>
          <w:p>
            <w:pPr>
              <w:spacing w:line="240" w:lineRule="auto" w:after="0"/>
            </w:pPr>
            <w:r>
              <w:rPr>
                <w:sz w:val="18"/>
              </w:rPr>
            </w:r>
            <w:r>
              <w:rPr>
                <w:sz w:val="18"/>
              </w:rPr>
              <w:t>33 nombres de país en otros idiomas o variantes (por ejemplo, Südkorea o Польша)</w:t>
            </w:r>
          </w:p>
        </w:tc>
        <w:tc>
          <w:tcPr>
            <w:tcW w:type="dxa" w:w="4464"/>
          </w:tcPr>
          <w:p>
            <w:pPr>
              <w:spacing w:line="240" w:lineRule="auto" w:after="0"/>
            </w:pPr>
            <w:r>
              <w:rPr>
                <w:sz w:val="18"/>
              </w:rPr>
            </w:r>
            <w:r>
              <w:rPr>
                <w:sz w:val="18"/>
              </w:rPr>
              <w:t>tabla de referencia que normaliza a código ISO3</w:t>
            </w:r>
          </w:p>
        </w:tc>
      </w:tr>
      <w:tr>
        <w:tc>
          <w:tcPr>
            <w:tcW w:type="dxa" w:w="4896"/>
          </w:tcPr>
          <w:p>
            <w:pPr>
              <w:spacing w:line="240" w:lineRule="auto" w:after="0"/>
            </w:pPr>
            <w:r>
              <w:rPr>
                <w:sz w:val="18"/>
              </w:rPr>
            </w:r>
            <w:r>
              <w:rPr>
                <w:sz w:val="18"/>
              </w:rPr>
              <w:t>Las coordenadas de una ciudad cambian con el tiempo y hay ciudades con dos nombres</w:t>
            </w:r>
          </w:p>
        </w:tc>
        <w:tc>
          <w:tcPr>
            <w:tcW w:type="dxa" w:w="4464"/>
          </w:tcPr>
          <w:p>
            <w:pPr>
              <w:spacing w:line="240" w:lineRule="auto" w:after="0"/>
            </w:pPr>
            <w:r>
              <w:rPr>
                <w:sz w:val="18"/>
              </w:rPr>
            </w:r>
            <w:r>
              <w:rPr>
                <w:sz w:val="18"/>
              </w:rPr>
              <w:t>ubicación canónica por país y ciudad (286 nombres pasan a 260 ubicaciones)</w:t>
            </w:r>
          </w:p>
        </w:tc>
      </w:tr>
      <w:tr>
        <w:tc>
          <w:tcPr>
            <w:tcW w:type="dxa" w:w="4896"/>
          </w:tcPr>
          <w:p>
            <w:pPr>
              <w:spacing w:line="240" w:lineRule="auto" w:after="0"/>
            </w:pPr>
            <w:r>
              <w:rPr>
                <w:sz w:val="18"/>
              </w:rPr>
            </w:r>
            <w:r>
              <w:rPr>
                <w:sz w:val="18"/>
              </w:rPr>
              <w:t>Valores negativos en contaminantes</w:t>
            </w:r>
          </w:p>
        </w:tc>
        <w:tc>
          <w:tcPr>
            <w:tcW w:type="dxa" w:w="4464"/>
          </w:tcPr>
          <w:p>
            <w:pPr>
              <w:spacing w:line="240" w:lineRule="auto" w:after="0"/>
            </w:pPr>
            <w:r>
              <w:rPr>
                <w:sz w:val="18"/>
              </w:rPr>
            </w:r>
            <w:r>
              <w:rPr>
                <w:sz w:val="18"/>
              </w:rPr>
              <w:t>descartar esas filas</w:t>
            </w:r>
          </w:p>
        </w:tc>
      </w:tr>
      <w:tr>
        <w:tc>
          <w:tcPr>
            <w:tcW w:type="dxa" w:w="4896"/>
          </w:tcPr>
          <w:p>
            <w:pPr>
              <w:spacing w:line="240" w:lineRule="auto" w:after="0"/>
            </w:pPr>
            <w:r>
              <w:rPr>
                <w:sz w:val="18"/>
              </w:rPr>
            </w:r>
            <w:r>
              <w:rPr>
                <w:sz w:val="18"/>
              </w:rPr>
              <w:t>Una lectura de 79.3 °C en Suva (Fiyi)</w:t>
            </w:r>
          </w:p>
        </w:tc>
        <w:tc>
          <w:tcPr>
            <w:tcW w:type="dxa" w:w="4464"/>
          </w:tcPr>
          <w:p>
            <w:pPr>
              <w:spacing w:line="240" w:lineRule="auto" w:after="0"/>
            </w:pPr>
            <w:r>
              <w:rPr>
                <w:sz w:val="18"/>
              </w:rPr>
            </w:r>
            <w:r>
              <w:rPr>
                <w:sz w:val="18"/>
              </w:rPr>
              <w:t>descartar temperaturas fuera de -90 a 60 °C</w:t>
            </w:r>
          </w:p>
        </w:tc>
      </w:tr>
      <w:tr>
        <w:tc>
          <w:tcPr>
            <w:tcW w:type="dxa" w:w="4896"/>
          </w:tcPr>
          <w:p>
            <w:pPr>
              <w:spacing w:line="240" w:lineRule="auto" w:after="0"/>
            </w:pPr>
            <w:r>
              <w:rPr>
                <w:sz w:val="18"/>
              </w:rPr>
            </w:r>
            <w:r>
              <w:rPr>
                <w:sz w:val="18"/>
              </w:rPr>
              <w:t>PM10 llega a 6,000 µg/m³ en Riad por tormentas de polvo reales</w:t>
            </w:r>
          </w:p>
        </w:tc>
        <w:tc>
          <w:tcPr>
            <w:tcW w:type="dxa" w:w="4464"/>
          </w:tcPr>
          <w:p>
            <w:pPr>
              <w:spacing w:line="240" w:lineRule="auto" w:after="0"/>
            </w:pPr>
            <w:r>
              <w:rPr>
                <w:sz w:val="18"/>
              </w:rPr>
            </w:r>
            <w:r>
              <w:rPr>
                <w:sz w:val="18"/>
              </w:rPr>
              <w:t>no se trata como error; límite de validación de 10,000</w:t>
            </w:r>
          </w:p>
        </w:tc>
      </w:tr>
      <w:tr>
        <w:tc>
          <w:tcPr>
            <w:tcW w:type="dxa" w:w="4896"/>
          </w:tcPr>
          <w:p>
            <w:pPr>
              <w:spacing w:line="240" w:lineRule="auto" w:after="0"/>
            </w:pPr>
            <w:r>
              <w:rPr>
                <w:sz w:val="18"/>
              </w:rPr>
            </w:r>
            <w:r>
              <w:rPr>
                <w:sz w:val="18"/>
              </w:rPr>
              <w:t>El PIB no tiene datos recientes y hay 7,931 filas agregadas sin ISO</w:t>
            </w:r>
          </w:p>
        </w:tc>
        <w:tc>
          <w:tcPr>
            <w:tcW w:type="dxa" w:w="4464"/>
          </w:tcPr>
          <w:p>
            <w:pPr>
              <w:spacing w:line="240" w:lineRule="auto" w:after="0"/>
            </w:pPr>
            <w:r>
              <w:rPr>
                <w:sz w:val="18"/>
              </w:rPr>
            </w:r>
            <w:r>
              <w:rPr>
                <w:sz w:val="18"/>
              </w:rPr>
              <w:t>último dato disponible por indicador y país; se excluyen los agregados</w:t>
            </w:r>
          </w:p>
        </w:tc>
      </w:tr>
      <w:tr>
        <w:tc>
          <w:tcPr>
            <w:tcW w:type="dxa" w:w="4896"/>
          </w:tcPr>
          <w:p>
            <w:pPr>
              <w:spacing w:line="240" w:lineRule="auto" w:after="0"/>
            </w:pPr>
            <w:r>
              <w:rPr>
                <w:sz w:val="18"/>
              </w:rPr>
            </w:r>
            <w:r>
              <w:rPr>
                <w:sz w:val="18"/>
              </w:rPr>
              <w:t>La API entrega horas y el CSV una lectura por día</w:t>
            </w:r>
          </w:p>
        </w:tc>
        <w:tc>
          <w:tcPr>
            <w:tcW w:type="dxa" w:w="4464"/>
          </w:tcPr>
          <w:p>
            <w:pPr>
              <w:spacing w:line="240" w:lineRule="auto" w:after="0"/>
            </w:pPr>
            <w:r>
              <w:rPr>
                <w:sz w:val="18"/>
              </w:rPr>
            </w:r>
            <w:r>
              <w:rPr>
                <w:sz w:val="18"/>
              </w:rPr>
              <w:t>promedio diario, mínimo 18 horas y sin el día en curso</w:t>
            </w:r>
          </w:p>
        </w:tc>
      </w:tr>
      <w:tr>
        <w:tc>
          <w:tcPr>
            <w:tcW w:type="dxa" w:w="4896"/>
          </w:tcPr>
          <w:p>
            <w:pPr>
              <w:spacing w:line="240" w:lineRule="auto" w:after="0"/>
            </w:pPr>
            <w:r>
              <w:rPr>
                <w:sz w:val="18"/>
              </w:rPr>
            </w:r>
            <w:r>
              <w:rPr>
                <w:sz w:val="18"/>
              </w:rPr>
              <w:t>La API y el CSV se solapan en fechas</w:t>
            </w:r>
          </w:p>
        </w:tc>
        <w:tc>
          <w:tcPr>
            <w:tcW w:type="dxa" w:w="4464"/>
          </w:tcPr>
          <w:p>
            <w:pPr>
              <w:spacing w:line="240" w:lineRule="auto" w:after="0"/>
            </w:pPr>
            <w:r>
              <w:rPr>
                <w:sz w:val="18"/>
              </w:rPr>
            </w:r>
            <w:r>
              <w:rPr>
                <w:sz w:val="18"/>
              </w:rPr>
              <w:t>la API solo aporta días posteriores al último del CSV</w:t>
            </w:r>
          </w:p>
        </w:tc>
      </w:tr>
      <w:tr>
        <w:tc>
          <w:tcPr>
            <w:tcW w:type="dxa" w:w="4896"/>
          </w:tcPr>
          <w:p>
            <w:pPr>
              <w:spacing w:line="240" w:lineRule="auto" w:after="0"/>
            </w:pPr>
            <w:r>
              <w:rPr>
                <w:sz w:val="18"/>
              </w:rPr>
            </w:r>
            <w:r>
              <w:rPr>
                <w:sz w:val="18"/>
              </w:rPr>
              <w:t>El índice EPA del CSV es categórico y la API entrega el AQI numérico</w:t>
            </w:r>
          </w:p>
        </w:tc>
        <w:tc>
          <w:tcPr>
            <w:tcW w:type="dxa" w:w="4464"/>
          </w:tcPr>
          <w:p>
            <w:pPr>
              <w:spacing w:line="240" w:lineRule="auto" w:after="0"/>
            </w:pPr>
            <w:r>
              <w:rPr>
                <w:sz w:val="18"/>
              </w:rPr>
            </w:r>
            <w:r>
              <w:rPr>
                <w:sz w:val="18"/>
              </w:rPr>
              <w:t>derivar la categoría EPA (1 a 6) del AQI</w:t>
            </w:r>
          </w:p>
        </w:tc>
      </w:tr>
    </w:tbl>
    <w:p/>
    <w:p>
      <w:pPr>
        <w:ind w:firstLine="720"/>
      </w:pPr>
      <w:r>
        <w:t>La Figura 2 muestra las distribuciones del CSV: el PM2.5 tiene una cola larga a la derecha, con una parte importante de las lecturas por encima de la guía de la OMS, y la mayoría de las lecturas pertenecen a las categorías 1 y 2 del índice EPA. La Figura 3 muestra las emisiones de CO₂ per cápita por país.</w:t>
      </w:r>
    </w:p>
    <w:p>
      <w:pPr>
        <w:keepNext/>
        <w:jc w:val="center"/>
      </w:pPr>
      <w:r>
        <w:drawing>
          <wp:inline xmlns:a="http://schemas.openxmlformats.org/drawingml/2006/main" xmlns:pic="http://schemas.openxmlformats.org/drawingml/2006/picture">
            <wp:extent cx="5852160" cy="1560576"/>
            <wp:docPr id="2" name="Picture 2"/>
            <wp:cNvGraphicFramePr>
              <a:graphicFrameLocks noChangeAspect="1"/>
            </wp:cNvGraphicFramePr>
            <a:graphic>
              <a:graphicData uri="http://schemas.openxmlformats.org/drawingml/2006/picture">
                <pic:pic>
                  <pic:nvPicPr>
                    <pic:cNvPr id="0" name="eda_distribuciones_csv.png"/>
                    <pic:cNvPicPr/>
                  </pic:nvPicPr>
                  <pic:blipFill>
                    <a:blip r:embed="rId19"/>
                    <a:stretch>
                      <a:fillRect/>
                    </a:stretch>
                  </pic:blipFill>
                  <pic:spPr>
                    <a:xfrm>
                      <a:off x="0" y="0"/>
                      <a:ext cx="5852160" cy="1560576"/>
                    </a:xfrm>
                    <a:prstGeom prst="rect"/>
                  </pic:spPr>
                </pic:pic>
              </a:graphicData>
            </a:graphic>
          </wp:inline>
        </w:drawing>
      </w:r>
    </w:p>
    <w:p>
      <w:r>
        <w:rPr>
          <w:i/>
        </w:rPr>
        <w:t>Figura 2</w:t>
      </w:r>
      <w:r>
        <w:br/>
        <w:t>Distribuciones de PM2.5, temperatura e índice EPA en el CSV.</w:t>
      </w:r>
    </w:p>
    <w:p>
      <w:pPr>
        <w:keepNext/>
        <w:jc w:val="center"/>
      </w:pPr>
      <w:r>
        <w:drawing>
          <wp:inline xmlns:a="http://schemas.openxmlformats.org/drawingml/2006/main" xmlns:pic="http://schemas.openxmlformats.org/drawingml/2006/picture">
            <wp:extent cx="5486400" cy="1763486"/>
            <wp:docPr id="3" name="Picture 3"/>
            <wp:cNvGraphicFramePr>
              <a:graphicFrameLocks noChangeAspect="1"/>
            </wp:cNvGraphicFramePr>
            <a:graphic>
              <a:graphicData uri="http://schemas.openxmlformats.org/drawingml/2006/picture">
                <pic:pic>
                  <pic:nvPicPr>
                    <pic:cNvPr id="0" name="eda_distribuciones_owid.png"/>
                    <pic:cNvPicPr/>
                  </pic:nvPicPr>
                  <pic:blipFill>
                    <a:blip r:embed="rId20"/>
                    <a:stretch>
                      <a:fillRect/>
                    </a:stretch>
                  </pic:blipFill>
                  <pic:spPr>
                    <a:xfrm>
                      <a:off x="0" y="0"/>
                      <a:ext cx="5486400" cy="1763486"/>
                    </a:xfrm>
                    <a:prstGeom prst="rect"/>
                  </pic:spPr>
                </pic:pic>
              </a:graphicData>
            </a:graphic>
          </wp:inline>
        </w:drawing>
      </w:r>
    </w:p>
    <w:p>
      <w:r>
        <w:rPr>
          <w:i/>
        </w:rPr>
        <w:t>Figura 3</w:t>
      </w:r>
      <w:r>
        <w:br/>
        <w:t>Distribución de CO₂ per cápita y mayores emisores.</w:t>
      </w:r>
    </w:p>
    <w:p>
      <w:pPr>
        <w:keepNext/>
        <w:jc w:val="center"/>
      </w:pPr>
      <w:r>
        <w:rPr>
          <w:b/>
        </w:rPr>
        <w:t>5. Descripción de los Pasos del Pipeline ETL</w:t>
      </w:r>
    </w:p>
    <w:p>
      <w:pPr>
        <w:keepNext/>
      </w:pPr>
      <w:r>
        <w:rPr>
          <w:i/>
        </w:rPr>
        <w:t>Tabla 4</w:t>
      </w:r>
    </w:p>
    <w:p>
      <w:pPr>
        <w:keepNext/>
      </w:pPr>
      <w:r>
        <w:rPr>
          <w:i/>
        </w:rPr>
        <w:t>Pasos del pipeline ETL.</w:t>
      </w:r>
    </w:p>
    <w:tbl>
      <w:tblPr>
        <w:tblStyle w:val="TableGrid"/>
        <w:tblW w:type="auto" w:w="0"/>
        <w:tblLook w:firstColumn="1" w:firstRow="1" w:lastColumn="0" w:lastRow="0" w:noHBand="0" w:noVBand="1" w:val="04A0"/>
      </w:tblPr>
      <w:tblGrid>
        <w:gridCol w:w="3120"/>
        <w:gridCol w:w="3120"/>
        <w:gridCol w:w="3120"/>
      </w:tblGrid>
      <w:tr>
        <w:tc>
          <w:tcPr>
            <w:tcW w:type="dxa" w:w="2016"/>
            <w:shd w:val="clear" w:color="auto" w:fill="D9E2F3"/>
          </w:tcPr>
          <w:p>
            <w:pPr>
              <w:spacing w:line="240" w:lineRule="auto" w:after="0"/>
            </w:pPr>
            <w:r>
              <w:rPr>
                <w:sz w:val="18"/>
              </w:rPr>
            </w:r>
            <w:r>
              <w:rPr>
                <w:b/>
                <w:sz w:val="18"/>
              </w:rPr>
              <w:t>Paso</w:t>
            </w:r>
          </w:p>
        </w:tc>
        <w:tc>
          <w:tcPr>
            <w:tcW w:type="dxa" w:w="2160"/>
            <w:shd w:val="clear" w:color="auto" w:fill="D9E2F3"/>
          </w:tcPr>
          <w:p>
            <w:pPr>
              <w:spacing w:line="240" w:lineRule="auto" w:after="0"/>
            </w:pPr>
            <w:r>
              <w:rPr>
                <w:sz w:val="18"/>
              </w:rPr>
            </w:r>
            <w:r>
              <w:rPr>
                <w:b/>
                <w:sz w:val="18"/>
              </w:rPr>
              <w:t>Módulo</w:t>
            </w:r>
          </w:p>
        </w:tc>
        <w:tc>
          <w:tcPr>
            <w:tcW w:type="dxa" w:w="5184"/>
            <w:shd w:val="clear" w:color="auto" w:fill="D9E2F3"/>
          </w:tcPr>
          <w:p>
            <w:pPr>
              <w:spacing w:line="240" w:lineRule="auto" w:after="0"/>
            </w:pPr>
            <w:r>
              <w:rPr>
                <w:sz w:val="18"/>
              </w:rPr>
            </w:r>
            <w:r>
              <w:rPr>
                <w:b/>
                <w:sz w:val="18"/>
              </w:rPr>
              <w:t>Descripción</w:t>
            </w:r>
          </w:p>
        </w:tc>
      </w:tr>
      <w:tr>
        <w:tc>
          <w:tcPr>
            <w:tcW w:type="dxa" w:w="2016"/>
          </w:tcPr>
          <w:p>
            <w:pPr>
              <w:spacing w:line="240" w:lineRule="auto" w:after="0"/>
            </w:pPr>
            <w:r>
              <w:rPr>
                <w:sz w:val="18"/>
              </w:rPr>
            </w:r>
            <w:r>
              <w:rPr>
                <w:sz w:val="18"/>
              </w:rPr>
              <w:t>Preparación de la fuente</w:t>
            </w:r>
          </w:p>
        </w:tc>
        <w:tc>
          <w:tcPr>
            <w:tcW w:type="dxa" w:w="2160"/>
          </w:tcPr>
          <w:p>
            <w:pPr>
              <w:spacing w:line="240" w:lineRule="auto" w:after="0"/>
            </w:pPr>
            <w:r>
              <w:rPr>
                <w:sz w:val="18"/>
              </w:rPr>
            </w:r>
            <w:r>
              <w:rPr>
                <w:sz w:val="18"/>
              </w:rPr>
              <w:t>seed_source_db.py</w:t>
            </w:r>
          </w:p>
        </w:tc>
        <w:tc>
          <w:tcPr>
            <w:tcW w:type="dxa" w:w="5184"/>
          </w:tcPr>
          <w:p>
            <w:pPr>
              <w:spacing w:line="240" w:lineRule="auto" w:after="0"/>
            </w:pPr>
            <w:r>
              <w:rPr>
                <w:sz w:val="18"/>
              </w:rPr>
            </w:r>
            <w:r>
              <w:rPr>
                <w:sz w:val="18"/>
              </w:rPr>
              <w:t>carga el dataset de emisiones en source.owid_co2 (idempotente)</w:t>
            </w:r>
          </w:p>
        </w:tc>
      </w:tr>
      <w:tr>
        <w:tc>
          <w:tcPr>
            <w:tcW w:type="dxa" w:w="2016"/>
          </w:tcPr>
          <w:p>
            <w:pPr>
              <w:spacing w:line="240" w:lineRule="auto" w:after="0"/>
            </w:pPr>
            <w:r>
              <w:rPr>
                <w:sz w:val="18"/>
              </w:rPr>
            </w:r>
            <w:r>
              <w:rPr>
                <w:sz w:val="18"/>
              </w:rPr>
              <w:t>Extract CSV</w:t>
            </w:r>
          </w:p>
        </w:tc>
        <w:tc>
          <w:tcPr>
            <w:tcW w:type="dxa" w:w="2160"/>
          </w:tcPr>
          <w:p>
            <w:pPr>
              <w:spacing w:line="240" w:lineRule="auto" w:after="0"/>
            </w:pPr>
            <w:r>
              <w:rPr>
                <w:sz w:val="18"/>
              </w:rPr>
            </w:r>
            <w:r>
              <w:rPr>
                <w:sz w:val="18"/>
              </w:rPr>
              <w:t>extract_csv.py</w:t>
            </w:r>
          </w:p>
        </w:tc>
        <w:tc>
          <w:tcPr>
            <w:tcW w:type="dxa" w:w="5184"/>
          </w:tcPr>
          <w:p>
            <w:pPr>
              <w:spacing w:line="240" w:lineRule="auto" w:after="0"/>
            </w:pPr>
            <w:r>
              <w:rPr>
                <w:sz w:val="18"/>
              </w:rPr>
            </w:r>
            <w:r>
              <w:rPr>
                <w:sz w:val="18"/>
              </w:rPr>
              <w:t>lee el CSV, valida las columnas y lo deja en staging en formato parquet</w:t>
            </w:r>
          </w:p>
        </w:tc>
      </w:tr>
      <w:tr>
        <w:tc>
          <w:tcPr>
            <w:tcW w:type="dxa" w:w="2016"/>
          </w:tcPr>
          <w:p>
            <w:pPr>
              <w:spacing w:line="240" w:lineRule="auto" w:after="0"/>
            </w:pPr>
            <w:r>
              <w:rPr>
                <w:sz w:val="18"/>
              </w:rPr>
            </w:r>
            <w:r>
              <w:rPr>
                <w:sz w:val="18"/>
              </w:rPr>
              <w:t>Extract DB</w:t>
            </w:r>
          </w:p>
        </w:tc>
        <w:tc>
          <w:tcPr>
            <w:tcW w:type="dxa" w:w="2160"/>
          </w:tcPr>
          <w:p>
            <w:pPr>
              <w:spacing w:line="240" w:lineRule="auto" w:after="0"/>
            </w:pPr>
            <w:r>
              <w:rPr>
                <w:sz w:val="18"/>
              </w:rPr>
            </w:r>
            <w:r>
              <w:rPr>
                <w:sz w:val="18"/>
              </w:rPr>
              <w:t>extract_db.py</w:t>
            </w:r>
          </w:p>
        </w:tc>
        <w:tc>
          <w:tcPr>
            <w:tcW w:type="dxa" w:w="5184"/>
          </w:tcPr>
          <w:p>
            <w:pPr>
              <w:spacing w:line="240" w:lineRule="auto" w:after="0"/>
            </w:pPr>
            <w:r>
              <w:rPr>
                <w:sz w:val="18"/>
              </w:rPr>
            </w:r>
            <w:r>
              <w:rPr>
                <w:sz w:val="18"/>
              </w:rPr>
              <w:t>consulta con SQL la tabla source.owid_co2 por bloques</w:t>
            </w:r>
          </w:p>
        </w:tc>
      </w:tr>
      <w:tr>
        <w:tc>
          <w:tcPr>
            <w:tcW w:type="dxa" w:w="2016"/>
          </w:tcPr>
          <w:p>
            <w:pPr>
              <w:spacing w:line="240" w:lineRule="auto" w:after="0"/>
            </w:pPr>
            <w:r>
              <w:rPr>
                <w:sz w:val="18"/>
              </w:rPr>
            </w:r>
            <w:r>
              <w:rPr>
                <w:sz w:val="18"/>
              </w:rPr>
              <w:t>Extract API</w:t>
            </w:r>
          </w:p>
        </w:tc>
        <w:tc>
          <w:tcPr>
            <w:tcW w:type="dxa" w:w="2160"/>
          </w:tcPr>
          <w:p>
            <w:pPr>
              <w:spacing w:line="240" w:lineRule="auto" w:after="0"/>
            </w:pPr>
            <w:r>
              <w:rPr>
                <w:sz w:val="18"/>
              </w:rPr>
            </w:r>
            <w:r>
              <w:rPr>
                <w:sz w:val="18"/>
              </w:rPr>
              <w:t>extract_api.py</w:t>
            </w:r>
          </w:p>
        </w:tc>
        <w:tc>
          <w:tcPr>
            <w:tcW w:type="dxa" w:w="5184"/>
          </w:tcPr>
          <w:p>
            <w:pPr>
              <w:spacing w:line="240" w:lineRule="auto" w:after="0"/>
            </w:pPr>
            <w:r>
              <w:rPr>
                <w:sz w:val="18"/>
              </w:rPr>
            </w:r>
            <w:r>
              <w:rPr>
                <w:sz w:val="18"/>
              </w:rPr>
              <w:t>consulta Open-Meteo por bloques de ciudades, solo los días faltantes</w:t>
            </w:r>
          </w:p>
        </w:tc>
      </w:tr>
      <w:tr>
        <w:tc>
          <w:tcPr>
            <w:tcW w:type="dxa" w:w="2016"/>
          </w:tcPr>
          <w:p>
            <w:pPr>
              <w:spacing w:line="240" w:lineRule="auto" w:after="0"/>
            </w:pPr>
            <w:r>
              <w:rPr>
                <w:sz w:val="18"/>
              </w:rPr>
            </w:r>
            <w:r>
              <w:rPr>
                <w:sz w:val="18"/>
              </w:rPr>
              <w:t>Transform CSV</w:t>
            </w:r>
          </w:p>
        </w:tc>
        <w:tc>
          <w:tcPr>
            <w:tcW w:type="dxa" w:w="2160"/>
          </w:tcPr>
          <w:p>
            <w:pPr>
              <w:spacing w:line="240" w:lineRule="auto" w:after="0"/>
            </w:pPr>
            <w:r>
              <w:rPr>
                <w:sz w:val="18"/>
              </w:rPr>
            </w:r>
            <w:r>
              <w:rPr>
                <w:sz w:val="18"/>
              </w:rPr>
              <w:t>transform_csv.py</w:t>
            </w:r>
          </w:p>
        </w:tc>
        <w:tc>
          <w:tcPr>
            <w:tcW w:type="dxa" w:w="5184"/>
          </w:tcPr>
          <w:p>
            <w:pPr>
              <w:spacing w:line="240" w:lineRule="auto" w:after="0"/>
            </w:pPr>
            <w:r>
              <w:rPr>
                <w:sz w:val="18"/>
              </w:rPr>
            </w:r>
            <w:r>
              <w:rPr>
                <w:sz w:val="18"/>
              </w:rPr>
              <w:t>nombres en snake_case, fechas, ISO3, ubicaciones canónicas, duplicados y valores inválidos</w:t>
            </w:r>
          </w:p>
        </w:tc>
      </w:tr>
      <w:tr>
        <w:tc>
          <w:tcPr>
            <w:tcW w:type="dxa" w:w="2016"/>
          </w:tcPr>
          <w:p>
            <w:pPr>
              <w:spacing w:line="240" w:lineRule="auto" w:after="0"/>
            </w:pPr>
            <w:r>
              <w:rPr>
                <w:sz w:val="18"/>
              </w:rPr>
            </w:r>
            <w:r>
              <w:rPr>
                <w:sz w:val="18"/>
              </w:rPr>
              <w:t>Transform OWID</w:t>
            </w:r>
          </w:p>
        </w:tc>
        <w:tc>
          <w:tcPr>
            <w:tcW w:type="dxa" w:w="2160"/>
          </w:tcPr>
          <w:p>
            <w:pPr>
              <w:spacing w:line="240" w:lineRule="auto" w:after="0"/>
            </w:pPr>
            <w:r>
              <w:rPr>
                <w:sz w:val="18"/>
              </w:rPr>
            </w:r>
            <w:r>
              <w:rPr>
                <w:sz w:val="18"/>
              </w:rPr>
              <w:t>transform_owid.py</w:t>
            </w:r>
          </w:p>
        </w:tc>
        <w:tc>
          <w:tcPr>
            <w:tcW w:type="dxa" w:w="5184"/>
          </w:tcPr>
          <w:p>
            <w:pPr>
              <w:spacing w:line="240" w:lineRule="auto" w:after="0"/>
            </w:pPr>
            <w:r>
              <w:rPr>
                <w:sz w:val="18"/>
              </w:rPr>
            </w:r>
            <w:r>
              <w:rPr>
                <w:sz w:val="18"/>
              </w:rPr>
              <w:t>un valor vigente por país e indicador, sin agregados regionales</w:t>
            </w:r>
          </w:p>
        </w:tc>
      </w:tr>
      <w:tr>
        <w:tc>
          <w:tcPr>
            <w:tcW w:type="dxa" w:w="2016"/>
          </w:tcPr>
          <w:p>
            <w:pPr>
              <w:spacing w:line="240" w:lineRule="auto" w:after="0"/>
            </w:pPr>
            <w:r>
              <w:rPr>
                <w:sz w:val="18"/>
              </w:rPr>
            </w:r>
            <w:r>
              <w:rPr>
                <w:sz w:val="18"/>
              </w:rPr>
              <w:t>Transform API</w:t>
            </w:r>
          </w:p>
        </w:tc>
        <w:tc>
          <w:tcPr>
            <w:tcW w:type="dxa" w:w="2160"/>
          </w:tcPr>
          <w:p>
            <w:pPr>
              <w:spacing w:line="240" w:lineRule="auto" w:after="0"/>
            </w:pPr>
            <w:r>
              <w:rPr>
                <w:sz w:val="18"/>
              </w:rPr>
            </w:r>
            <w:r>
              <w:rPr>
                <w:sz w:val="18"/>
              </w:rPr>
              <w:t>transform_api.py</w:t>
            </w:r>
          </w:p>
        </w:tc>
        <w:tc>
          <w:tcPr>
            <w:tcW w:type="dxa" w:w="5184"/>
          </w:tcPr>
          <w:p>
            <w:pPr>
              <w:spacing w:line="240" w:lineRule="auto" w:after="0"/>
            </w:pPr>
            <w:r>
              <w:rPr>
                <w:sz w:val="18"/>
              </w:rPr>
            </w:r>
            <w:r>
              <w:rPr>
                <w:sz w:val="18"/>
              </w:rPr>
              <w:t>horas a promedio diario, categoría EPA desde el AQI, solo días completos</w:t>
            </w:r>
          </w:p>
        </w:tc>
      </w:tr>
      <w:tr>
        <w:tc>
          <w:tcPr>
            <w:tcW w:type="dxa" w:w="2016"/>
          </w:tcPr>
          <w:p>
            <w:pPr>
              <w:spacing w:line="240" w:lineRule="auto" w:after="0"/>
            </w:pPr>
            <w:r>
              <w:rPr>
                <w:sz w:val="18"/>
              </w:rPr>
            </w:r>
            <w:r>
              <w:rPr>
                <w:sz w:val="18"/>
              </w:rPr>
              <w:t>Merge</w:t>
            </w:r>
          </w:p>
        </w:tc>
        <w:tc>
          <w:tcPr>
            <w:tcW w:type="dxa" w:w="2160"/>
          </w:tcPr>
          <w:p>
            <w:pPr>
              <w:spacing w:line="240" w:lineRule="auto" w:after="0"/>
            </w:pPr>
            <w:r>
              <w:rPr>
                <w:sz w:val="18"/>
              </w:rPr>
            </w:r>
            <w:r>
              <w:rPr>
                <w:sz w:val="18"/>
              </w:rPr>
              <w:t>merge.py</w:t>
            </w:r>
          </w:p>
        </w:tc>
        <w:tc>
          <w:tcPr>
            <w:tcW w:type="dxa" w:w="5184"/>
          </w:tcPr>
          <w:p>
            <w:pPr>
              <w:spacing w:line="240" w:lineRule="auto" w:after="0"/>
            </w:pPr>
            <w:r>
              <w:rPr>
                <w:sz w:val="18"/>
              </w:rPr>
            </w:r>
            <w:r>
              <w:rPr>
                <w:sz w:val="18"/>
              </w:rPr>
              <w:t>dataset enriquecido con lecturas de CSV y API, indicadores del país y razón contra la guía de la OMS</w:t>
            </w:r>
          </w:p>
        </w:tc>
      </w:tr>
      <w:tr>
        <w:tc>
          <w:tcPr>
            <w:tcW w:type="dxa" w:w="2016"/>
          </w:tcPr>
          <w:p>
            <w:pPr>
              <w:spacing w:line="240" w:lineRule="auto" w:after="0"/>
            </w:pPr>
            <w:r>
              <w:rPr>
                <w:sz w:val="18"/>
              </w:rPr>
            </w:r>
            <w:r>
              <w:rPr>
                <w:sz w:val="18"/>
              </w:rPr>
              <w:t>Validación</w:t>
            </w:r>
          </w:p>
        </w:tc>
        <w:tc>
          <w:tcPr>
            <w:tcW w:type="dxa" w:w="2160"/>
          </w:tcPr>
          <w:p>
            <w:pPr>
              <w:spacing w:line="240" w:lineRule="auto" w:after="0"/>
            </w:pPr>
            <w:r>
              <w:rPr>
                <w:sz w:val="18"/>
              </w:rPr>
            </w:r>
            <w:r>
              <w:rPr>
                <w:sz w:val="18"/>
              </w:rPr>
              <w:t>quality.py</w:t>
            </w:r>
          </w:p>
        </w:tc>
        <w:tc>
          <w:tcPr>
            <w:tcW w:type="dxa" w:w="5184"/>
          </w:tcPr>
          <w:p>
            <w:pPr>
              <w:spacing w:line="240" w:lineRule="auto" w:after="0"/>
            </w:pPr>
            <w:r>
              <w:rPr>
                <w:sz w:val="18"/>
              </w:rPr>
            </w:r>
            <w:r>
              <w:rPr>
                <w:sz w:val="18"/>
              </w:rPr>
              <w:t>tres suites de Great Expectations y registro de resultados</w:t>
            </w:r>
          </w:p>
        </w:tc>
      </w:tr>
      <w:tr>
        <w:tc>
          <w:tcPr>
            <w:tcW w:type="dxa" w:w="2016"/>
          </w:tcPr>
          <w:p>
            <w:pPr>
              <w:spacing w:line="240" w:lineRule="auto" w:after="0"/>
            </w:pPr>
            <w:r>
              <w:rPr>
                <w:sz w:val="18"/>
              </w:rPr>
            </w:r>
            <w:r>
              <w:rPr>
                <w:sz w:val="18"/>
              </w:rPr>
              <w:t>Load</w:t>
            </w:r>
          </w:p>
        </w:tc>
        <w:tc>
          <w:tcPr>
            <w:tcW w:type="dxa" w:w="2160"/>
          </w:tcPr>
          <w:p>
            <w:pPr>
              <w:spacing w:line="240" w:lineRule="auto" w:after="0"/>
            </w:pPr>
            <w:r>
              <w:rPr>
                <w:sz w:val="18"/>
              </w:rPr>
            </w:r>
            <w:r>
              <w:rPr>
                <w:sz w:val="18"/>
              </w:rPr>
              <w:t>load_dw.py</w:t>
            </w:r>
          </w:p>
        </w:tc>
        <w:tc>
          <w:tcPr>
            <w:tcW w:type="dxa" w:w="5184"/>
          </w:tcPr>
          <w:p>
            <w:pPr>
              <w:spacing w:line="240" w:lineRule="auto" w:after="0"/>
            </w:pPr>
            <w:r>
              <w:rPr>
                <w:sz w:val="18"/>
              </w:rPr>
            </w:r>
            <w:r>
              <w:rPr>
                <w:sz w:val="18"/>
              </w:rPr>
              <w:t>dimensiones y luego hechos, en una transacción con carga masiva (COPY)</w:t>
            </w:r>
          </w:p>
        </w:tc>
      </w:tr>
    </w:tbl>
    <w:p/>
    <w:p>
      <w:pPr>
        <w:ind w:firstLine="720"/>
      </w:pPr>
      <w:r>
        <w:t>La estrategia de carga combina upserts: las dimensiones se actualizan, los hechos del CSV usan ON CONFLICT DO NOTHING porque son históricos y los de la API usan DO UPDATE porque se refrescan los últimos días. La clave de un hecho es la combinación de ubicación, fecha y fuente, por lo que reejecutar el pipeline no duplica datos. Los datos viajan entre tareas como archivos parquet en una carpeta de staging por ejecución, y no como XCom.</w:t>
      </w:r>
    </w:p>
    <w:p>
      <w:pPr>
        <w:keepNext/>
        <w:jc w:val="center"/>
      </w:pPr>
      <w:r>
        <w:rPr>
          <w:b/>
        </w:rPr>
        <w:t>6. Supuestos y Decisiones de Transformación</w:t>
      </w:r>
    </w:p>
    <w:p>
      <w:pPr>
        <w:pStyle w:val="ListBullet"/>
      </w:pPr>
      <w:r>
        <w:t>El CSV trae una lectura puntual por ciudad y día; la API, promedios diarios. La columna source distingue el origen de cada fila.</w:t>
      </w:r>
    </w:p>
    <w:p>
      <w:pPr>
        <w:pStyle w:val="ListBullet"/>
      </w:pPr>
      <w:r>
        <w:t>En las lecturas de la API, la velocidad del viento es el máximo diario y las demás variables son promedios.</w:t>
      </w:r>
    </w:p>
    <w:p>
      <w:pPr>
        <w:pStyle w:val="ListBullet"/>
      </w:pPr>
      <w:r>
        <w:t>Los indicadores del país (CO₂, PIB, población y energía) son una foto del último año disponible de cada serie, porque las series no terminan el mismo año. El año de cada valor se conserva.</w:t>
      </w:r>
    </w:p>
    <w:p>
      <w:pPr>
        <w:pStyle w:val="ListBullet"/>
      </w:pPr>
      <w:r>
        <w:t>Un país sin indicadores (Kosovo, que no tiene código ISO en OWID) queda con esos campos nulos.</w:t>
      </w:r>
    </w:p>
    <w:p>
      <w:pPr>
        <w:pStyle w:val="ListBullet"/>
      </w:pPr>
      <w:r>
        <w:t>El día en curso se excluye de la API por estar incompleto y la API solo aporta días posteriores al último del CSV para no duplicar lecturas.</w:t>
      </w:r>
    </w:p>
    <w:p>
      <w:pPr>
        <w:pStyle w:val="ListBullet"/>
      </w:pPr>
      <w:r>
        <w:t>Una ciudad se identifica por país y nombre canónico; sus coordenadas son las de la lectura más reciente.</w:t>
      </w:r>
    </w:p>
    <w:p>
      <w:pPr>
        <w:keepNext/>
        <w:jc w:val="center"/>
      </w:pPr>
      <w:r>
        <w:rPr>
          <w:b/>
        </w:rPr>
        <w:t>7. Diseño del DAG de Airflow</w:t>
      </w:r>
    </w:p>
    <w:p>
      <w:pPr>
        <w:ind w:firstLine="720"/>
      </w:pPr>
      <w:r>
        <w:t>El DAG etl_calidad_aire se programa de forma diaria, con una sola ejecución activa a la vez (Apache Software Foundation, 2026). Sus tareas se organizan así: tres extracciones independientes que corren en paralelo (extract_csv, extract_db y extract_api), cada una seguida de su transformación; la tarea merge_sources, que espera las tres transformaciones; validate_quality, que ejecuta Great Expectations; y load_dw, que carga el Data Warehouse y registra la ejecución.</w:t>
      </w:r>
    </w:p>
    <w:p>
      <w:pPr>
        <w:ind w:firstLine="720"/>
      </w:pPr>
      <w:r>
        <w:t>Si una expectativa crítica falla, validate_quality lanza una excepción sin reintentos y load_dw queda en estado upstream_failed, es decir, no se ejecuta. Cada tarea tiene dos reintentos con dos minutos de espera y una función de respaldo que registra cualquier fallo en la tabla de auditoría de ejecuciones. Para demostrar el bloqueo existe el parámetro prueba_falla_calidad, que inyecta filas inválidas en la unión. La Figura 4 muestra una ejecución bloqueada por ese motivo y la Figura 5 una ejecución exitosa.</w:t>
      </w:r>
    </w:p>
    <w:p>
      <w:pPr>
        <w:keepNext/>
        <w:jc w:val="center"/>
      </w:pPr>
      <w:r>
        <w:drawing>
          <wp:inline xmlns:a="http://schemas.openxmlformats.org/drawingml/2006/main" xmlns:pic="http://schemas.openxmlformats.org/drawingml/2006/picture">
            <wp:extent cx="5486400" cy="3655314"/>
            <wp:docPr id="4" name="Picture 4"/>
            <wp:cNvGraphicFramePr>
              <a:graphicFrameLocks noChangeAspect="1"/>
            </wp:cNvGraphicFramePr>
            <a:graphic>
              <a:graphicData uri="http://schemas.openxmlformats.org/drawingml/2006/picture">
                <pic:pic>
                  <pic:nvPicPr>
                    <pic:cNvPr id="0" name="airflow_dag_bloqueado.jpg"/>
                    <pic:cNvPicPr/>
                  </pic:nvPicPr>
                  <pic:blipFill>
                    <a:blip r:embed="rId21"/>
                    <a:stretch>
                      <a:fillRect/>
                    </a:stretch>
                  </pic:blipFill>
                  <pic:spPr>
                    <a:xfrm>
                      <a:off x="0" y="0"/>
                      <a:ext cx="5486400" cy="3655314"/>
                    </a:xfrm>
                    <a:prstGeom prst="rect"/>
                  </pic:spPr>
                </pic:pic>
              </a:graphicData>
            </a:graphic>
          </wp:inline>
        </w:drawing>
      </w:r>
    </w:p>
    <w:p>
      <w:r>
        <w:rPr>
          <w:i/>
        </w:rPr>
        <w:t>Figura 4</w:t>
      </w:r>
      <w:r>
        <w:br/>
        <w:t>Grafo del DAG en una ejecución con datos inválidos: la validación falla y la carga no se ejecuta.</w:t>
      </w:r>
    </w:p>
    <w:p>
      <w:pPr>
        <w:keepNext/>
        <w:jc w:val="center"/>
      </w:pPr>
      <w:r>
        <w:drawing>
          <wp:inline xmlns:a="http://schemas.openxmlformats.org/drawingml/2006/main" xmlns:pic="http://schemas.openxmlformats.org/drawingml/2006/picture">
            <wp:extent cx="5486400" cy="3655314"/>
            <wp:docPr id="5" name="Picture 5"/>
            <wp:cNvGraphicFramePr>
              <a:graphicFrameLocks noChangeAspect="1"/>
            </wp:cNvGraphicFramePr>
            <a:graphic>
              <a:graphicData uri="http://schemas.openxmlformats.org/drawingml/2006/picture">
                <pic:pic>
                  <pic:nvPicPr>
                    <pic:cNvPr id="0" name="airflow_ejecucion_exitosa.jpg"/>
                    <pic:cNvPicPr/>
                  </pic:nvPicPr>
                  <pic:blipFill>
                    <a:blip r:embed="rId22"/>
                    <a:stretch>
                      <a:fillRect/>
                    </a:stretch>
                  </pic:blipFill>
                  <pic:spPr>
                    <a:xfrm>
                      <a:off x="0" y="0"/>
                      <a:ext cx="5486400" cy="3655314"/>
                    </a:xfrm>
                    <a:prstGeom prst="rect"/>
                  </pic:spPr>
                </pic:pic>
              </a:graphicData>
            </a:graphic>
          </wp:inline>
        </w:drawing>
      </w:r>
    </w:p>
    <w:p>
      <w:r>
        <w:rPr>
          <w:i/>
        </w:rPr>
        <w:t>Figura 5</w:t>
      </w:r>
      <w:r>
        <w:br/>
        <w:t>Ejecución exitosa del DAG con las nueve tareas completadas.</w:t>
      </w:r>
    </w:p>
    <w:p>
      <w:pPr>
        <w:keepNext/>
        <w:jc w:val="center"/>
      </w:pPr>
      <w:r>
        <w:rPr>
          <w:b/>
        </w:rPr>
        <w:t>8. Validación con Great Expectations</w:t>
      </w:r>
    </w:p>
    <w:p>
      <w:pPr>
        <w:ind w:firstLine="720"/>
      </w:pPr>
      <w:r>
        <w:t>La validación se implementó con tres suites (Great Expectations, 2026), definidas en código y versionadas como archivos JSON. Cada expectativa es crítica, si bloquea la carga, o de advertencia, si solo se registra. El resultado de cada expectativa se guarda en una tabla de auditoría y se generan los Data Docs de la biblioteca.</w:t>
      </w:r>
    </w:p>
    <w:p>
      <w:pPr>
        <w:keepNext/>
      </w:pPr>
      <w:r>
        <w:rPr>
          <w:i/>
        </w:rPr>
        <w:t>Tabla 5</w:t>
      </w:r>
    </w:p>
    <w:p>
      <w:pPr>
        <w:keepNext/>
      </w:pPr>
      <w:r>
        <w:rPr>
          <w:i/>
        </w:rPr>
        <w:t>Resumen de las suites de validación.</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D9E2F3"/>
          </w:tcPr>
          <w:p>
            <w:pPr>
              <w:spacing w:line="240" w:lineRule="auto" w:after="0"/>
            </w:pPr>
            <w:r>
              <w:rPr>
                <w:sz w:val="18"/>
              </w:rPr>
            </w:r>
            <w:r>
              <w:rPr>
                <w:b/>
                <w:sz w:val="18"/>
              </w:rPr>
              <w:t>Suite</w:t>
            </w:r>
          </w:p>
        </w:tc>
        <w:tc>
          <w:tcPr>
            <w:tcW w:type="dxa" w:w="1008"/>
            <w:shd w:val="clear" w:color="auto" w:fill="D9E2F3"/>
          </w:tcPr>
          <w:p>
            <w:pPr>
              <w:spacing w:line="240" w:lineRule="auto" w:after="0"/>
            </w:pPr>
            <w:r>
              <w:rPr>
                <w:sz w:val="18"/>
              </w:rPr>
            </w:r>
            <w:r>
              <w:rPr>
                <w:b/>
                <w:sz w:val="18"/>
              </w:rPr>
              <w:t>Críticas</w:t>
            </w:r>
          </w:p>
        </w:tc>
        <w:tc>
          <w:tcPr>
            <w:tcW w:type="dxa" w:w="1296"/>
            <w:shd w:val="clear" w:color="auto" w:fill="D9E2F3"/>
          </w:tcPr>
          <w:p>
            <w:pPr>
              <w:spacing w:line="240" w:lineRule="auto" w:after="0"/>
            </w:pPr>
            <w:r>
              <w:rPr>
                <w:sz w:val="18"/>
              </w:rPr>
            </w:r>
            <w:r>
              <w:rPr>
                <w:b/>
                <w:sz w:val="18"/>
              </w:rPr>
              <w:t>Advertencias</w:t>
            </w:r>
          </w:p>
        </w:tc>
        <w:tc>
          <w:tcPr>
            <w:tcW w:type="dxa" w:w="4896"/>
            <w:shd w:val="clear" w:color="auto" w:fill="D9E2F3"/>
          </w:tcPr>
          <w:p>
            <w:pPr>
              <w:spacing w:line="240" w:lineRule="auto" w:after="0"/>
            </w:pPr>
            <w:r>
              <w:rPr>
                <w:sz w:val="18"/>
              </w:rPr>
            </w:r>
            <w:r>
              <w:rPr>
                <w:b/>
                <w:sz w:val="18"/>
              </w:rPr>
              <w:t>Reglas principales</w:t>
            </w:r>
          </w:p>
        </w:tc>
      </w:tr>
      <w:tr>
        <w:tc>
          <w:tcPr>
            <w:tcW w:type="dxa" w:w="2160"/>
          </w:tcPr>
          <w:p>
            <w:pPr>
              <w:spacing w:line="240" w:lineRule="auto" w:after="0"/>
            </w:pPr>
            <w:r>
              <w:rPr>
                <w:sz w:val="18"/>
              </w:rPr>
            </w:r>
            <w:r>
              <w:rPr>
                <w:sz w:val="18"/>
              </w:rPr>
              <w:t>Hechos de calidad del aire</w:t>
            </w:r>
          </w:p>
        </w:tc>
        <w:tc>
          <w:tcPr>
            <w:tcW w:type="dxa" w:w="1008"/>
          </w:tcPr>
          <w:p>
            <w:pPr>
              <w:spacing w:line="240" w:lineRule="auto" w:after="0"/>
            </w:pPr>
            <w:r>
              <w:rPr>
                <w:sz w:val="18"/>
              </w:rPr>
            </w:r>
            <w:r>
              <w:rPr>
                <w:sz w:val="18"/>
              </w:rPr>
              <w:t>14</w:t>
            </w:r>
          </w:p>
        </w:tc>
        <w:tc>
          <w:tcPr>
            <w:tcW w:type="dxa" w:w="1296"/>
          </w:tcPr>
          <w:p>
            <w:pPr>
              <w:spacing w:line="240" w:lineRule="auto" w:after="0"/>
            </w:pPr>
            <w:r>
              <w:rPr>
                <w:sz w:val="18"/>
              </w:rPr>
            </w:r>
            <w:r>
              <w:rPr>
                <w:sz w:val="18"/>
              </w:rPr>
              <w:t>3</w:t>
            </w:r>
          </w:p>
        </w:tc>
        <w:tc>
          <w:tcPr>
            <w:tcW w:type="dxa" w:w="4896"/>
          </w:tcPr>
          <w:p>
            <w:pPr>
              <w:spacing w:line="240" w:lineRule="auto" w:after="0"/>
            </w:pPr>
            <w:r>
              <w:rPr>
                <w:sz w:val="18"/>
              </w:rPr>
            </w:r>
            <w:r>
              <w:rPr>
                <w:sz w:val="18"/>
              </w:rPr>
              <w:t>filas entre 100 mil y 5 millones; claves no nulas; fuente válida; unicidad de (ubicación, fecha, fuente); humedad y nubosidad de 0 a 100; temperatura de -90 a 60; rangos físicos de viento, presión, PM2.5, PM10 e índice EPA; frescura del último día</w:t>
            </w:r>
          </w:p>
        </w:tc>
      </w:tr>
      <w:tr>
        <w:tc>
          <w:tcPr>
            <w:tcW w:type="dxa" w:w="2160"/>
          </w:tcPr>
          <w:p>
            <w:pPr>
              <w:spacing w:line="240" w:lineRule="auto" w:after="0"/>
            </w:pPr>
            <w:r>
              <w:rPr>
                <w:sz w:val="18"/>
              </w:rPr>
            </w:r>
            <w:r>
              <w:rPr>
                <w:sz w:val="18"/>
              </w:rPr>
              <w:t>Ubicaciones</w:t>
            </w:r>
          </w:p>
        </w:tc>
        <w:tc>
          <w:tcPr>
            <w:tcW w:type="dxa" w:w="1008"/>
          </w:tcPr>
          <w:p>
            <w:pPr>
              <w:spacing w:line="240" w:lineRule="auto" w:after="0"/>
            </w:pPr>
            <w:r>
              <w:rPr>
                <w:sz w:val="18"/>
              </w:rPr>
            </w:r>
            <w:r>
              <w:rPr>
                <w:sz w:val="18"/>
              </w:rPr>
              <w:t>5</w:t>
            </w:r>
          </w:p>
        </w:tc>
        <w:tc>
          <w:tcPr>
            <w:tcW w:type="dxa" w:w="1296"/>
          </w:tcPr>
          <w:p>
            <w:pPr>
              <w:spacing w:line="240" w:lineRule="auto" w:after="0"/>
            </w:pPr>
            <w:r>
              <w:rPr>
                <w:sz w:val="18"/>
              </w:rPr>
            </w:r>
            <w:r>
              <w:rPr>
                <w:sz w:val="18"/>
              </w:rPr>
              <w:t>1</w:t>
            </w:r>
          </w:p>
        </w:tc>
        <w:tc>
          <w:tcPr>
            <w:tcW w:type="dxa" w:w="4896"/>
          </w:tcPr>
          <w:p>
            <w:pPr>
              <w:spacing w:line="240" w:lineRule="auto" w:after="0"/>
            </w:pPr>
            <w:r>
              <w:rPr>
                <w:sz w:val="18"/>
              </w:rPr>
            </w:r>
            <w:r>
              <w:rPr>
                <w:sz w:val="18"/>
              </w:rPr>
              <w:t>clave única; nombre no nulo; latitud y longitud válidas; ISO3 con formato de tres letras; ISO3 con indicadores</w:t>
            </w:r>
          </w:p>
        </w:tc>
      </w:tr>
      <w:tr>
        <w:tc>
          <w:tcPr>
            <w:tcW w:type="dxa" w:w="2160"/>
          </w:tcPr>
          <w:p>
            <w:pPr>
              <w:spacing w:line="240" w:lineRule="auto" w:after="0"/>
            </w:pPr>
            <w:r>
              <w:rPr>
                <w:sz w:val="18"/>
              </w:rPr>
            </w:r>
            <w:r>
              <w:rPr>
                <w:sz w:val="18"/>
              </w:rPr>
              <w:t>Indicadores por país</w:t>
            </w:r>
          </w:p>
        </w:tc>
        <w:tc>
          <w:tcPr>
            <w:tcW w:type="dxa" w:w="1008"/>
          </w:tcPr>
          <w:p>
            <w:pPr>
              <w:spacing w:line="240" w:lineRule="auto" w:after="0"/>
            </w:pPr>
            <w:r>
              <w:rPr>
                <w:sz w:val="18"/>
              </w:rPr>
            </w:r>
            <w:r>
              <w:rPr>
                <w:sz w:val="18"/>
              </w:rPr>
              <w:t>4</w:t>
            </w:r>
          </w:p>
        </w:tc>
        <w:tc>
          <w:tcPr>
            <w:tcW w:type="dxa" w:w="1296"/>
          </w:tcPr>
          <w:p>
            <w:pPr>
              <w:spacing w:line="240" w:lineRule="auto" w:after="0"/>
            </w:pPr>
            <w:r>
              <w:rPr>
                <w:sz w:val="18"/>
              </w:rPr>
            </w:r>
            <w:r>
              <w:rPr>
                <w:sz w:val="18"/>
              </w:rPr>
              <w:t>2</w:t>
            </w:r>
          </w:p>
        </w:tc>
        <w:tc>
          <w:tcPr>
            <w:tcW w:type="dxa" w:w="4896"/>
          </w:tcPr>
          <w:p>
            <w:pPr>
              <w:spacing w:line="240" w:lineRule="auto" w:after="0"/>
            </w:pPr>
            <w:r>
              <w:rPr>
                <w:sz w:val="18"/>
              </w:rPr>
            </w:r>
            <w:r>
              <w:rPr>
                <w:sz w:val="18"/>
              </w:rPr>
              <w:t>entre 150 y 260 países; ISO3 único y no nulo; población positiva; rango de CO₂ per cápita; cobertura del PIB</w:t>
            </w:r>
          </w:p>
        </w:tc>
      </w:tr>
    </w:tbl>
    <w:p/>
    <w:p>
      <w:pPr>
        <w:ind w:firstLine="720"/>
      </w:pPr>
      <w:r>
        <w:t>La Figura 6 muestra la validación de una ejecución con datos inválidos: se cumplen 15 de 17 expectativas y fallan dos críticas (humedad fuera de rango y filas repetidas), lo que basta para bloquear la carga.</w:t>
      </w:r>
    </w:p>
    <w:p>
      <w:pPr>
        <w:keepNext/>
        <w:jc w:val="center"/>
      </w:pPr>
      <w:r>
        <w:drawing>
          <wp:inline xmlns:a="http://schemas.openxmlformats.org/drawingml/2006/main" xmlns:pic="http://schemas.openxmlformats.org/drawingml/2006/picture">
            <wp:extent cx="5486400" cy="3120390"/>
            <wp:docPr id="6" name="Picture 6"/>
            <wp:cNvGraphicFramePr>
              <a:graphicFrameLocks noChangeAspect="1"/>
            </wp:cNvGraphicFramePr>
            <a:graphic>
              <a:graphicData uri="http://schemas.openxmlformats.org/drawingml/2006/picture">
                <pic:pic>
                  <pic:nvPicPr>
                    <pic:cNvPr id="0" name="gx_validacion_fallida.jpg"/>
                    <pic:cNvPicPr/>
                  </pic:nvPicPr>
                  <pic:blipFill>
                    <a:blip r:embed="rId23"/>
                    <a:stretch>
                      <a:fillRect/>
                    </a:stretch>
                  </pic:blipFill>
                  <pic:spPr>
                    <a:xfrm>
                      <a:off x="0" y="0"/>
                      <a:ext cx="5486400" cy="3120390"/>
                    </a:xfrm>
                    <a:prstGeom prst="rect"/>
                  </pic:spPr>
                </pic:pic>
              </a:graphicData>
            </a:graphic>
          </wp:inline>
        </w:drawing>
      </w:r>
    </w:p>
    <w:p>
      <w:r>
        <w:rPr>
          <w:i/>
        </w:rPr>
        <w:t>Figura 6</w:t>
      </w:r>
      <w:r>
        <w:br/>
        <w:t>Resultado de la validación de una ejecución con datos inválidos.</w:t>
      </w:r>
    </w:p>
    <w:p>
      <w:pPr>
        <w:keepNext/>
        <w:jc w:val="center"/>
      </w:pPr>
      <w:r>
        <w:rPr>
          <w:b/>
        </w:rPr>
        <w:t>9. Modelo de Datos</w:t>
      </w:r>
    </w:p>
    <w:p>
      <w:pPr>
        <w:ind w:firstLine="720"/>
      </w:pPr>
      <w:r>
        <w:t>El Data Warehouse sigue un esquema en estrella (Kimball y Ross, 2013), como muestra la Figura 7. La tabla de hechos contiene una fila por ciudad, día y fuente, con las variables de clima, los contaminantes, el índice EPA, la razón contra la guía de la OMS y una bandera de excedencia. Las dimensiones son ubicación, fecha, fuente e indicadores del país. Dos tablas de auditoría guardan los resultados de validación y el estado de cada ejecución.</w:t>
      </w:r>
    </w:p>
    <w:p>
      <w:pPr>
        <w:keepNext/>
        <w:jc w:val="center"/>
      </w:pPr>
      <w:r>
        <w:drawing>
          <wp:inline xmlns:a="http://schemas.openxmlformats.org/drawingml/2006/main" xmlns:pic="http://schemas.openxmlformats.org/drawingml/2006/picture">
            <wp:extent cx="5669280" cy="4437615"/>
            <wp:docPr id="7" name="Picture 7"/>
            <wp:cNvGraphicFramePr>
              <a:graphicFrameLocks noChangeAspect="1"/>
            </wp:cNvGraphicFramePr>
            <a:graphic>
              <a:graphicData uri="http://schemas.openxmlformats.org/drawingml/2006/picture">
                <pic:pic>
                  <pic:nvPicPr>
                    <pic:cNvPr id="0" name="modelo_estrella.png"/>
                    <pic:cNvPicPr/>
                  </pic:nvPicPr>
                  <pic:blipFill>
                    <a:blip r:embed="rId24"/>
                    <a:stretch>
                      <a:fillRect/>
                    </a:stretch>
                  </pic:blipFill>
                  <pic:spPr>
                    <a:xfrm>
                      <a:off x="0" y="0"/>
                      <a:ext cx="5669280" cy="4437615"/>
                    </a:xfrm>
                    <a:prstGeom prst="rect"/>
                  </pic:spPr>
                </pic:pic>
              </a:graphicData>
            </a:graphic>
          </wp:inline>
        </w:drawing>
      </w:r>
    </w:p>
    <w:p>
      <w:r>
        <w:rPr>
          <w:i/>
        </w:rPr>
        <w:t>Figura 7</w:t>
      </w:r>
      <w:r>
        <w:br/>
        <w:t>Modelo estrella del Data Warehouse (esquema dw).</w:t>
      </w:r>
    </w:p>
    <w:p>
      <w:pPr>
        <w:keepNext/>
        <w:jc w:val="center"/>
      </w:pPr>
      <w:r>
        <w:rPr>
          <w:b/>
        </w:rPr>
        <w:t>10. Visualizaciones e Insights</w:t>
      </w:r>
    </w:p>
    <w:p>
      <w:pPr>
        <w:ind w:firstLine="720"/>
      </w:pPr>
      <w:r>
        <w:t>El dashboard se construyó con Streamlit y consulta únicamente las tablas del Data Warehouse, es decir, datos ya validados. Con los datos cargados al 29 de septiembre de 2026 se obtienen los siguientes resultados:</w:t>
      </w:r>
    </w:p>
    <w:p>
      <w:pPr>
        <w:pStyle w:val="ListBullet"/>
      </w:pPr>
      <w:r>
        <w:t>El 44 % de los registros ciudad-día superan la guía diaria de la OMS para PM2.5, y 82 de 233 ciudades (con al menos 30 días de datos) la superan en más de la mitad de los días. Santiago, Riad, Yakarta, Pekín y Nueva Delhi encabezan el ranking (Figura 8).</w:t>
      </w:r>
    </w:p>
    <w:p>
      <w:pPr>
        <w:pStyle w:val="ListBullet"/>
      </w:pPr>
      <w:r>
        <w:t>La correlación de Spearman entre el PM2.5 y el CO₂ per cápita del país es -0.08 (187 países) y con el PIB per cápita es -0.21 (159 países): la contaminación de las capitales casi no se explica por las emisiones per cápita del país y solo se asocia débilmente con un menor ingreso (Figura 9).</w:t>
      </w:r>
    </w:p>
    <w:p>
      <w:pPr>
        <w:pStyle w:val="ListBullet"/>
      </w:pPr>
      <w:r>
        <w:t>La serie mensual muestra un máximo a inicios de 2025 y la continuación con los datos de la API (Figura 10).</w:t>
      </w:r>
    </w:p>
    <w:p>
      <w:pPr>
        <w:pStyle w:val="ListBullet"/>
      </w:pPr>
      <w:r>
        <w:t>La pestaña de calidad de los datos muestra el estado de la última ejecución, el resumen de la última validación y el historial, incluida la ejecución bloqueada de la demostración (Figura 11).</w:t>
      </w:r>
    </w:p>
    <w:p>
      <w:pPr>
        <w:keepNext/>
        <w:jc w:val="center"/>
      </w:pPr>
      <w:r>
        <w:drawing>
          <wp:inline xmlns:a="http://schemas.openxmlformats.org/drawingml/2006/main" xmlns:pic="http://schemas.openxmlformats.org/drawingml/2006/picture">
            <wp:extent cx="5120640" cy="3411626"/>
            <wp:docPr id="8" name="Picture 8"/>
            <wp:cNvGraphicFramePr>
              <a:graphicFrameLocks noChangeAspect="1"/>
            </wp:cNvGraphicFramePr>
            <a:graphic>
              <a:graphicData uri="http://schemas.openxmlformats.org/drawingml/2006/picture">
                <pic:pic>
                  <pic:nvPicPr>
                    <pic:cNvPr id="0" name="dashboard_ciudades.jpg"/>
                    <pic:cNvPicPr/>
                  </pic:nvPicPr>
                  <pic:blipFill>
                    <a:blip r:embed="rId25"/>
                    <a:stretch>
                      <a:fillRect/>
                    </a:stretch>
                  </pic:blipFill>
                  <pic:spPr>
                    <a:xfrm>
                      <a:off x="0" y="0"/>
                      <a:ext cx="5120640" cy="3411626"/>
                    </a:xfrm>
                    <a:prstGeom prst="rect"/>
                  </pic:spPr>
                </pic:pic>
              </a:graphicData>
            </a:graphic>
          </wp:inline>
        </w:drawing>
      </w:r>
    </w:p>
    <w:p>
      <w:r>
        <w:rPr>
          <w:i/>
        </w:rPr>
        <w:t>Figura 8</w:t>
      </w:r>
      <w:r>
        <w:br/>
        <w:t>Ranking de ciudades por PM2.5 promedio y mapa.</w:t>
      </w:r>
    </w:p>
    <w:p>
      <w:pPr>
        <w:keepNext/>
        <w:jc w:val="center"/>
      </w:pPr>
      <w:r>
        <w:drawing>
          <wp:inline xmlns:a="http://schemas.openxmlformats.org/drawingml/2006/main" xmlns:pic="http://schemas.openxmlformats.org/drawingml/2006/picture">
            <wp:extent cx="5120640" cy="3411626"/>
            <wp:docPr id="9" name="Picture 9"/>
            <wp:cNvGraphicFramePr>
              <a:graphicFrameLocks noChangeAspect="1"/>
            </wp:cNvGraphicFramePr>
            <a:graphic>
              <a:graphicData uri="http://schemas.openxmlformats.org/drawingml/2006/picture">
                <pic:pic>
                  <pic:nvPicPr>
                    <pic:cNvPr id="0" name="dashboard_emisiones.jpg"/>
                    <pic:cNvPicPr/>
                  </pic:nvPicPr>
                  <pic:blipFill>
                    <a:blip r:embed="rId26"/>
                    <a:stretch>
                      <a:fillRect/>
                    </a:stretch>
                  </pic:blipFill>
                  <pic:spPr>
                    <a:xfrm>
                      <a:off x="0" y="0"/>
                      <a:ext cx="5120640" cy="3411626"/>
                    </a:xfrm>
                    <a:prstGeom prst="rect"/>
                  </pic:spPr>
                </pic:pic>
              </a:graphicData>
            </a:graphic>
          </wp:inline>
        </w:drawing>
      </w:r>
    </w:p>
    <w:p>
      <w:r>
        <w:rPr>
          <w:i/>
        </w:rPr>
        <w:t>Figura 9</w:t>
      </w:r>
      <w:r>
        <w:br/>
        <w:t>Relación entre el PM2.5 y el PIB per cápita de los países.</w:t>
      </w:r>
    </w:p>
    <w:p>
      <w:pPr>
        <w:keepNext/>
        <w:jc w:val="center"/>
      </w:pPr>
      <w:r>
        <w:drawing>
          <wp:inline xmlns:a="http://schemas.openxmlformats.org/drawingml/2006/main" xmlns:pic="http://schemas.openxmlformats.org/drawingml/2006/picture">
            <wp:extent cx="5120640" cy="3411626"/>
            <wp:docPr id="10" name="Picture 10"/>
            <wp:cNvGraphicFramePr>
              <a:graphicFrameLocks noChangeAspect="1"/>
            </wp:cNvGraphicFramePr>
            <a:graphic>
              <a:graphicData uri="http://schemas.openxmlformats.org/drawingml/2006/picture">
                <pic:pic>
                  <pic:nvPicPr>
                    <pic:cNvPr id="0" name="dashboard_evolucion.jpg"/>
                    <pic:cNvPicPr/>
                  </pic:nvPicPr>
                  <pic:blipFill>
                    <a:blip r:embed="rId27"/>
                    <a:stretch>
                      <a:fillRect/>
                    </a:stretch>
                  </pic:blipFill>
                  <pic:spPr>
                    <a:xfrm>
                      <a:off x="0" y="0"/>
                      <a:ext cx="5120640" cy="3411626"/>
                    </a:xfrm>
                    <a:prstGeom prst="rect"/>
                  </pic:spPr>
                </pic:pic>
              </a:graphicData>
            </a:graphic>
          </wp:inline>
        </w:drawing>
      </w:r>
    </w:p>
    <w:p>
      <w:r>
        <w:rPr>
          <w:i/>
        </w:rPr>
        <w:t>Figura 10</w:t>
      </w:r>
      <w:r>
        <w:br/>
        <w:t>Evolución mensual del PM2.5 por fuente.</w:t>
      </w:r>
    </w:p>
    <w:p>
      <w:pPr>
        <w:keepNext/>
        <w:jc w:val="center"/>
      </w:pPr>
      <w:r>
        <w:drawing>
          <wp:inline xmlns:a="http://schemas.openxmlformats.org/drawingml/2006/main" xmlns:pic="http://schemas.openxmlformats.org/drawingml/2006/picture">
            <wp:extent cx="5120640" cy="3411626"/>
            <wp:docPr id="11" name="Picture 11"/>
            <wp:cNvGraphicFramePr>
              <a:graphicFrameLocks noChangeAspect="1"/>
            </wp:cNvGraphicFramePr>
            <a:graphic>
              <a:graphicData uri="http://schemas.openxmlformats.org/drawingml/2006/picture">
                <pic:pic>
                  <pic:nvPicPr>
                    <pic:cNvPr id="0" name="dashboard_calidad_datos.jpg"/>
                    <pic:cNvPicPr/>
                  </pic:nvPicPr>
                  <pic:blipFill>
                    <a:blip r:embed="rId28"/>
                    <a:stretch>
                      <a:fillRect/>
                    </a:stretch>
                  </pic:blipFill>
                  <pic:spPr>
                    <a:xfrm>
                      <a:off x="0" y="0"/>
                      <a:ext cx="5120640" cy="3411626"/>
                    </a:xfrm>
                    <a:prstGeom prst="rect"/>
                  </pic:spPr>
                </pic:pic>
              </a:graphicData>
            </a:graphic>
          </wp:inline>
        </w:drawing>
      </w:r>
    </w:p>
    <w:p>
      <w:r>
        <w:rPr>
          <w:i/>
        </w:rPr>
        <w:t>Figura 11</w:t>
      </w:r>
      <w:r>
        <w:br/>
        <w:t>Estado de la calidad de los datos y historial de ejecuciones.</w:t>
      </w:r>
    </w:p>
    <w:p>
      <w:pPr>
        <w:keepNext/>
        <w:jc w:val="center"/>
      </w:pPr>
      <w:r>
        <w:rPr>
          <w:b/>
        </w:rPr>
        <w:t>11. Reproducibilidad</w:t>
      </w:r>
    </w:p>
    <w:p>
      <w:pPr>
        <w:ind w:firstLine="720"/>
      </w:pPr>
      <w:r>
        <w:t>El proyecto se levanta con Docker Compose y valores por defecto que apuntan a un PostgreSQL local, por lo que no requiere configuración adicional. Los pasos completos y la solución de problemas están en el archivo README del repositorio. El resumen es el siguiente:</w:t>
      </w:r>
    </w:p>
    <w:p>
      <w:pPr>
        <w:spacing w:line="240" w:lineRule="auto"/>
        <w:ind w:left="432"/>
        <w:shd w:val="clear" w:fill="F2F2F2"/>
      </w:pPr>
      <w:r>
        <w:rPr>
          <w:rFonts w:ascii="Consolas" w:hAnsi="Consolas"/>
          <w:sz w:val="18"/>
        </w:rPr>
        <w:t>git clone https://github.com/yurani-duque/etl-airflow-calidad-aire.git</w:t>
        <w:br/>
        <w:t>cd etl-airflow-calidad-aire</w:t>
        <w:br/>
        <w:t>cp .env.example .env</w:t>
        <w:br/>
        <w:t>docker compose up -d --build</w:t>
      </w:r>
    </w:p>
    <w:p>
      <w:pPr>
        <w:ind w:firstLine="720"/>
      </w:pPr>
      <w:r>
        <w:t>Después se abre Airflow en el puerto 8080, se ejecuta el DAG y se consulta el dashboard en el puerto 8501. La misma configuración permite usar Supabase u otro PostgreSQL cambiando únicamente las variables del archivo .env.</w:t>
      </w:r>
    </w:p>
    <w:p>
      <w:pPr>
        <w:keepNext/>
        <w:jc w:val="center"/>
      </w:pPr>
      <w:r>
        <w:rPr>
          <w:b/>
        </w:rPr>
        <w:t>12. Conclusiones</w:t>
      </w:r>
    </w:p>
    <w:p>
      <w:pPr>
        <w:ind w:firstLine="720"/>
      </w:pPr>
      <w:r>
        <w:t>El pipeline automatiza la ingesta periódica de tres fuentes heterogéneas y las integra en un único dataset enriquecido. La validación con Great Expectations dentro del DAG impide que datos inválidos lleguen al Data Warehouse, como se comprobó inyectando datos corruptos, y el análisis exploratorio permitió detectar problemas reales de las fuentes, como nombres de país en otros idiomas, coordenadas cambiantes y lecturas físicamente imposibles. Los resultados muestran que casi la mitad de los registros ciudad-día superan la guía de la OMS para PM2.5 y que esa contaminación se relaciona poco con las emisiones per cápita del país. Como trabajo futuro se propone incorporar más contaminantes a los indicadores del dashboard y una carga incremental de los hechos históricos.</w:t>
      </w:r>
    </w:p>
    <w:p>
      <w:pPr>
        <w:keepNext/>
        <w:pageBreakBefore/>
        <w:jc w:val="center"/>
      </w:pPr>
      <w:r>
        <w:rPr>
          <w:b/>
        </w:rPr>
        <w:t>Referencias</w:t>
      </w:r>
    </w:p>
    <w:p>
      <w:pPr>
        <w:ind w:left="720" w:hanging="720"/>
      </w:pPr>
      <w:r>
        <w:t>Apache Software Foundation. (2026). Apache Airflow documentation. https://airflow.apache.org/docs/</w:t>
      </w:r>
    </w:p>
    <w:p>
      <w:pPr>
        <w:ind w:left="720" w:hanging="720"/>
      </w:pPr>
      <w:r>
        <w:t>Elgiriyewithana, N. (2023). World Weather Repository (Daily updating) [Conjunto de datos]. Kaggle. https://www.kaggle.com/datasets/nelgiriyewithana/global-weather-repository</w:t>
      </w:r>
    </w:p>
    <w:p>
      <w:pPr>
        <w:ind w:left="720" w:hanging="720"/>
      </w:pPr>
      <w:r>
        <w:t>Great Expectations. (2026). Great Expectations documentation. https://docs.greatexpectations.io/</w:t>
      </w:r>
    </w:p>
    <w:p>
      <w:pPr>
        <w:ind w:left="720" w:hanging="720"/>
      </w:pPr>
      <w:r>
        <w:t>Kimball, R., &amp; Ross, M. (2013). The data warehouse toolkit: The definitive guide to dimensional modeling (3.a ed.). Wiley.</w:t>
      </w:r>
    </w:p>
    <w:p>
      <w:pPr>
        <w:ind w:left="720" w:hanging="720"/>
      </w:pPr>
      <w:r>
        <w:t>Naciones Unidas. (2015). Objetivos de Desarrollo Sostenible. https://www.un.org/sustainabledevelopment/es/</w:t>
      </w:r>
    </w:p>
    <w:p>
      <w:pPr>
        <w:ind w:left="720" w:hanging="720"/>
      </w:pPr>
      <w:r>
        <w:t>Ritchie, H., Rosado, P., &amp; Roser, M. (2023). CO₂ and greenhouse gas emissions. Our World in Data. https://ourworldindata.org/co2-and-greenhouse-gas-emissions</w:t>
      </w:r>
    </w:p>
    <w:p>
      <w:pPr>
        <w:ind w:left="720" w:hanging="720"/>
      </w:pPr>
      <w:r>
        <w:t>World Health Organization. (2021). WHO global air quality guidelines: Particulate matter (PM2.5 and PM10), ozone, nitrogen dioxide, sulfur dioxide and carbon monoxide. https://www.who.int/publications/i/item/9789240034228</w:t>
      </w:r>
    </w:p>
    <w:p>
      <w:pPr>
        <w:ind w:left="720" w:hanging="720"/>
      </w:pPr>
      <w:r>
        <w:t>Zippenfenig, P. (2023). Open-Meteo.com weather API [Software]. https://open-meteo.com/</w:t>
      </w:r>
    </w:p>
    <w:sectPr w:rsidR="00A9710D" w:rsidRPr="00B30265" w:rsidSect="0003461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39B82" w14:textId="77777777" w:rsidR="00BF46CE" w:rsidRDefault="00BF46CE">
      <w:pPr>
        <w:spacing w:line="240" w:lineRule="auto"/>
      </w:pPr>
      <w:r>
        <w:separator/>
      </w:r>
    </w:p>
  </w:endnote>
  <w:endnote w:type="continuationSeparator" w:id="0">
    <w:p w14:paraId="129678B0" w14:textId="77777777" w:rsidR="00BF46CE" w:rsidRDefault="00BF46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5C28D" w14:textId="77777777" w:rsidR="00BF46CE" w:rsidRDefault="00BF46CE">
      <w:pPr>
        <w:spacing w:line="240" w:lineRule="auto"/>
      </w:pPr>
      <w:r>
        <w:separator/>
      </w:r>
    </w:p>
  </w:footnote>
  <w:footnote w:type="continuationSeparator" w:id="0">
    <w:p w14:paraId="6348274C" w14:textId="77777777" w:rsidR="00BF46CE" w:rsidRDefault="00BF46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6CC3E" w14:textId="76212449" w:rsidR="00A9710D" w:rsidRPr="00B30265" w:rsidRDefault="00B30265">
    <w:pPr>
      <w:pStyle w:val="Header"/>
      <w:tabs>
        <w:tab w:val="left" w:pos="9360"/>
      </w:tabs>
      <w:rPr>
        <w:lang w:val="es-ES"/>
      </w:rPr>
    </w:pPr>
    <w:r>
      <w:rPr>
        <w:noProof/>
      </w:rPr>
      <w:drawing>
        <wp:anchor distT="0" distB="0" distL="114300" distR="114300" simplePos="0" relativeHeight="251658240" behindDoc="0" locked="0" layoutInCell="1" allowOverlap="1" wp14:anchorId="7079EDA4" wp14:editId="54297F1A">
          <wp:simplePos x="0" y="0"/>
          <wp:positionH relativeFrom="column">
            <wp:posOffset>5168590</wp:posOffset>
          </wp:positionH>
          <wp:positionV relativeFrom="paragraph">
            <wp:posOffset>-161693</wp:posOffset>
          </wp:positionV>
          <wp:extent cx="1464431" cy="261620"/>
          <wp:effectExtent l="0" t="0" r="2540" b="5080"/>
          <wp:wrapNone/>
          <wp:docPr id="12266043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464431" cy="26162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7368354">
    <w:abstractNumId w:val="8"/>
  </w:num>
  <w:num w:numId="2" w16cid:durableId="2014263088">
    <w:abstractNumId w:val="6"/>
  </w:num>
  <w:num w:numId="3" w16cid:durableId="545263354">
    <w:abstractNumId w:val="5"/>
  </w:num>
  <w:num w:numId="4" w16cid:durableId="1441804522">
    <w:abstractNumId w:val="4"/>
  </w:num>
  <w:num w:numId="5" w16cid:durableId="124742224">
    <w:abstractNumId w:val="7"/>
  </w:num>
  <w:num w:numId="6" w16cid:durableId="321858645">
    <w:abstractNumId w:val="3"/>
  </w:num>
  <w:num w:numId="7" w16cid:durableId="1609197149">
    <w:abstractNumId w:val="2"/>
  </w:num>
  <w:num w:numId="8" w16cid:durableId="1793010405">
    <w:abstractNumId w:val="1"/>
  </w:num>
  <w:num w:numId="9" w16cid:durableId="2023164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C93"/>
    <w:rsid w:val="00326F90"/>
    <w:rsid w:val="00752E61"/>
    <w:rsid w:val="00A9710D"/>
    <w:rsid w:val="00AA1D8D"/>
    <w:rsid w:val="00B30265"/>
    <w:rsid w:val="00B47730"/>
    <w:rsid w:val="00BF46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65FAC1"/>
  <w14:defaultImageDpi w14:val="300"/>
  <w15:docId w15:val="{19BE8542-77A5-496A-BFFE-7D21D03AB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17</Pages>
  <Words>2325</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fersombra</cp:lastModifiedBy>
  <cp:revision>3</cp:revision>
  <dcterms:created xsi:type="dcterms:W3CDTF">2013-12-23T23:15:00Z</dcterms:created>
  <dcterms:modified xsi:type="dcterms:W3CDTF">2026-09-13T18:31:00Z</dcterms:modified>
  <cp:category/>
</cp:coreProperties>
</file>