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A5" w:rsidRPr="008459CA" w:rsidRDefault="00E32BA5" w:rsidP="005C1D42">
      <w:pPr>
        <w:spacing w:beforeLines="40" w:before="96"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1960AD" w:rsidRPr="008459CA">
        <w:rPr>
          <w:rFonts w:ascii="Times New Roman" w:hAnsi="Times New Roman" w:cs="Times New Roman"/>
          <w:sz w:val="28"/>
          <w:szCs w:val="28"/>
        </w:rPr>
        <w:t>IMG_Analyzer</w:t>
      </w:r>
      <w:proofErr w:type="spellEnd"/>
      <w:r w:rsidRPr="008459CA">
        <w:rPr>
          <w:rFonts w:ascii="Times New Roman" w:hAnsi="Times New Roman" w:cs="Times New Roman"/>
          <w:sz w:val="28"/>
          <w:szCs w:val="28"/>
        </w:rPr>
        <w:t xml:space="preserve"> предназначена для построения зависимости интенсивности излучения, отраженного исследуемым уголковым отражателем, от угловых секунд, определения углового расстояния между пятнами, а также для автоматического расчета ЭПР. На рисунке </w:t>
      </w:r>
      <w:r w:rsidR="001960AD" w:rsidRPr="008459CA">
        <w:rPr>
          <w:rFonts w:ascii="Times New Roman" w:hAnsi="Times New Roman" w:cs="Times New Roman"/>
          <w:sz w:val="28"/>
          <w:szCs w:val="28"/>
        </w:rPr>
        <w:t>1 приведен интерфейс программы</w:t>
      </w:r>
      <w:r w:rsidRPr="008459CA">
        <w:rPr>
          <w:rFonts w:ascii="Times New Roman" w:hAnsi="Times New Roman" w:cs="Times New Roman"/>
          <w:sz w:val="28"/>
          <w:szCs w:val="28"/>
        </w:rPr>
        <w:t>.</w:t>
      </w:r>
    </w:p>
    <w:p w:rsidR="00E32BA5" w:rsidRPr="008459CA" w:rsidRDefault="00E32BA5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EEF6" wp14:editId="1F252CE9">
            <wp:extent cx="5940425" cy="297051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A5" w:rsidRPr="008459CA" w:rsidRDefault="00E32BA5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</w:t>
      </w:r>
      <w:r w:rsidR="00360076" w:rsidRPr="008459CA">
        <w:rPr>
          <w:rFonts w:ascii="Times New Roman" w:hAnsi="Times New Roman" w:cs="Times New Roman"/>
          <w:sz w:val="28"/>
          <w:szCs w:val="28"/>
        </w:rPr>
        <w:t xml:space="preserve"> 1</w:t>
      </w:r>
      <w:r w:rsidRPr="008459CA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E32BA5" w:rsidRPr="008459CA" w:rsidRDefault="000376F1" w:rsidP="005C1D42">
      <w:pPr>
        <w:spacing w:beforeLines="40" w:before="96" w:after="0" w:line="360" w:lineRule="auto"/>
        <w:ind w:left="-284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9CA">
        <w:rPr>
          <w:rFonts w:ascii="Times New Roman" w:hAnsi="Times New Roman" w:cs="Times New Roman"/>
          <w:b/>
          <w:sz w:val="28"/>
          <w:szCs w:val="28"/>
        </w:rPr>
        <w:t>Методика работы с программой:</w:t>
      </w:r>
    </w:p>
    <w:p w:rsidR="000376F1" w:rsidRPr="008459CA" w:rsidRDefault="000376F1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 xml:space="preserve">Запустить программу путем нажатия </w:t>
      </w:r>
      <w:r w:rsidR="007004F9" w:rsidRPr="008459CA">
        <w:rPr>
          <w:rFonts w:ascii="Times New Roman" w:hAnsi="Times New Roman" w:cs="Times New Roman"/>
          <w:sz w:val="28"/>
          <w:szCs w:val="28"/>
        </w:rPr>
        <w:t>на ярлык</w:t>
      </w:r>
      <w:r w:rsidRPr="0084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9CA">
        <w:rPr>
          <w:rFonts w:ascii="Times New Roman" w:hAnsi="Times New Roman" w:cs="Times New Roman"/>
          <w:sz w:val="28"/>
          <w:szCs w:val="28"/>
        </w:rPr>
        <w:t>IMG_Analyzer</w:t>
      </w:r>
      <w:proofErr w:type="spellEnd"/>
      <w:r w:rsidRPr="008459CA">
        <w:rPr>
          <w:rFonts w:ascii="Times New Roman" w:hAnsi="Times New Roman" w:cs="Times New Roman"/>
          <w:sz w:val="28"/>
          <w:szCs w:val="28"/>
        </w:rPr>
        <w:t>.</w:t>
      </w:r>
    </w:p>
    <w:p w:rsidR="00831DBB" w:rsidRPr="008459CA" w:rsidRDefault="009E6B02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 xml:space="preserve">Измеренные диаграммы направленности исследуемого уголкового отражателя загрузить нажатием кнопки «Выберите файл…». </w:t>
      </w:r>
      <w:r w:rsidR="00831DBB" w:rsidRPr="008459CA">
        <w:rPr>
          <w:rFonts w:ascii="Times New Roman" w:hAnsi="Times New Roman" w:cs="Times New Roman"/>
          <w:sz w:val="28"/>
          <w:szCs w:val="28"/>
        </w:rPr>
        <w:t>Программа позволяет проводить измерения для нескольких диаграмм направленности одного уголкового отражателя сразу, для этого при выборе файла выделяются необходимые изображения.</w:t>
      </w:r>
    </w:p>
    <w:p w:rsidR="009E6B02" w:rsidRPr="008459CA" w:rsidRDefault="009E6B02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Далее нажатием кнопки «Параметры» открывается окно, вид которого представлен на рисунке (2) , и выгружается диаграмма направленности эталонного уголкового отражателя. Также в да</w:t>
      </w:r>
      <w:r w:rsidR="007004F9" w:rsidRPr="008459CA">
        <w:rPr>
          <w:rFonts w:ascii="Times New Roman" w:hAnsi="Times New Roman" w:cs="Times New Roman"/>
          <w:sz w:val="28"/>
          <w:szCs w:val="28"/>
        </w:rPr>
        <w:t>нном окне можно настроить угловой размер пикселя и контрольное угловое расстояние, при добавлении которого на итоговом графике появятся красные пунктирные линии, расположенные на заданном ра</w:t>
      </w:r>
      <w:r w:rsidR="00360076" w:rsidRPr="008459CA">
        <w:rPr>
          <w:rFonts w:ascii="Times New Roman" w:hAnsi="Times New Roman" w:cs="Times New Roman"/>
          <w:sz w:val="28"/>
          <w:szCs w:val="28"/>
        </w:rPr>
        <w:t xml:space="preserve">сстоянии друг от друга, и, </w:t>
      </w:r>
      <w:r w:rsidR="007004F9" w:rsidRPr="008459CA">
        <w:rPr>
          <w:rFonts w:ascii="Times New Roman" w:hAnsi="Times New Roman" w:cs="Times New Roman"/>
          <w:sz w:val="28"/>
          <w:szCs w:val="28"/>
        </w:rPr>
        <w:lastRenderedPageBreak/>
        <w:t>с помощью которых</w:t>
      </w:r>
      <w:r w:rsidR="00360076" w:rsidRPr="008459CA">
        <w:rPr>
          <w:rFonts w:ascii="Times New Roman" w:hAnsi="Times New Roman" w:cs="Times New Roman"/>
          <w:sz w:val="28"/>
          <w:szCs w:val="28"/>
        </w:rPr>
        <w:t>,</w:t>
      </w:r>
      <w:r w:rsidR="007004F9" w:rsidRPr="008459CA">
        <w:rPr>
          <w:rFonts w:ascii="Times New Roman" w:hAnsi="Times New Roman" w:cs="Times New Roman"/>
          <w:sz w:val="28"/>
          <w:szCs w:val="28"/>
        </w:rPr>
        <w:t xml:space="preserve"> можно наглядно оценивать величину углового расстояния.</w:t>
      </w:r>
    </w:p>
    <w:p w:rsidR="00F31262" w:rsidRPr="008459CA" w:rsidRDefault="00F31262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После загрузки всех необходимых диаграмм направленности нажим</w:t>
      </w:r>
      <w:r w:rsidR="00C751DB" w:rsidRPr="008459CA">
        <w:rPr>
          <w:rFonts w:ascii="Times New Roman" w:hAnsi="Times New Roman" w:cs="Times New Roman"/>
          <w:sz w:val="28"/>
          <w:szCs w:val="28"/>
        </w:rPr>
        <w:t>ается кнопка «Определить центр», с помощью которой программа строит график зависимости интенсивности от угловых секунд для центра.</w:t>
      </w:r>
    </w:p>
    <w:p w:rsidR="001960AD" w:rsidRPr="008459CA" w:rsidRDefault="00F31262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Для определения расстояния между максимумами можно воспользоваться несколькими алгоритмами, представленными в программе.</w:t>
      </w:r>
      <w:r w:rsidR="00DF4D55" w:rsidRPr="00DF4D55">
        <w:rPr>
          <w:rFonts w:ascii="Times New Roman" w:hAnsi="Times New Roman" w:cs="Times New Roman"/>
          <w:sz w:val="28"/>
          <w:szCs w:val="28"/>
        </w:rPr>
        <w:t xml:space="preserve"> </w:t>
      </w:r>
      <w:r w:rsidR="00DF4D55">
        <w:rPr>
          <w:rFonts w:ascii="Times New Roman" w:hAnsi="Times New Roman" w:cs="Times New Roman"/>
          <w:sz w:val="28"/>
          <w:szCs w:val="28"/>
        </w:rPr>
        <w:t>Принцип действия каждого из алгоритмов будет описан ниже.</w:t>
      </w:r>
    </w:p>
    <w:p w:rsidR="000A3EE9" w:rsidRPr="008459CA" w:rsidRDefault="000A3EE9" w:rsidP="005C1D42">
      <w:pPr>
        <w:pStyle w:val="a5"/>
        <w:numPr>
          <w:ilvl w:val="0"/>
          <w:numId w:val="1"/>
        </w:num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Сохранить результат работы программы путем нажатия кнопок «Сохранить график» и «Вывести в файл».</w:t>
      </w:r>
    </w:p>
    <w:p w:rsidR="001960AD" w:rsidRPr="008459CA" w:rsidRDefault="001960AD" w:rsidP="00257926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89C71" wp14:editId="46D684ED">
            <wp:extent cx="5940425" cy="33960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AD" w:rsidRPr="008459CA" w:rsidRDefault="001960AD" w:rsidP="00257926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2 – окно «Параметры»</w:t>
      </w:r>
    </w:p>
    <w:p w:rsidR="00293215" w:rsidRPr="008459CA" w:rsidRDefault="00F31262" w:rsidP="005C1D42">
      <w:p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b/>
          <w:sz w:val="28"/>
          <w:szCs w:val="28"/>
        </w:rPr>
        <w:t>Мето</w:t>
      </w:r>
      <w:r w:rsidR="00293215" w:rsidRPr="008459CA">
        <w:rPr>
          <w:rFonts w:ascii="Times New Roman" w:hAnsi="Times New Roman" w:cs="Times New Roman"/>
          <w:b/>
          <w:sz w:val="28"/>
          <w:szCs w:val="28"/>
        </w:rPr>
        <w:t>д среднего взвешенного з</w:t>
      </w:r>
      <w:bookmarkStart w:id="0" w:name="_GoBack"/>
      <w:bookmarkEnd w:id="0"/>
      <w:r w:rsidR="00293215" w:rsidRPr="008459CA">
        <w:rPr>
          <w:rFonts w:ascii="Times New Roman" w:hAnsi="Times New Roman" w:cs="Times New Roman"/>
          <w:b/>
          <w:sz w:val="28"/>
          <w:szCs w:val="28"/>
        </w:rPr>
        <w:t>начения.</w:t>
      </w:r>
      <w:r w:rsidR="00293215" w:rsidRPr="008459CA">
        <w:rPr>
          <w:rFonts w:ascii="Times New Roman" w:hAnsi="Times New Roman" w:cs="Times New Roman"/>
          <w:sz w:val="28"/>
          <w:szCs w:val="28"/>
        </w:rPr>
        <w:t xml:space="preserve"> Алгоритм работы данного метода</w:t>
      </w:r>
      <w:r w:rsidRPr="008459CA">
        <w:rPr>
          <w:rFonts w:ascii="Times New Roman" w:hAnsi="Times New Roman" w:cs="Times New Roman"/>
          <w:sz w:val="28"/>
          <w:szCs w:val="28"/>
        </w:rPr>
        <w:t xml:space="preserve"> </w:t>
      </w:r>
      <w:r w:rsidR="006B3DCB" w:rsidRPr="008459CA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293215" w:rsidRPr="008459CA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  <w:r w:rsidR="005F7050" w:rsidRPr="008459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215" w:rsidRPr="008459CA" w:rsidRDefault="00293215" w:rsidP="005C1D42">
      <w:pPr>
        <w:pStyle w:val="a5"/>
        <w:numPr>
          <w:ilvl w:val="0"/>
          <w:numId w:val="2"/>
        </w:numPr>
        <w:spacing w:beforeLines="40" w:before="96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Программа находит локальный минимум на графике, от которого на расстоянии 0,1</w:t>
      </w:r>
      <w:r w:rsidRPr="008459C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459CA">
        <w:rPr>
          <w:rFonts w:ascii="Times New Roman" w:hAnsi="Times New Roman" w:cs="Times New Roman"/>
          <w:sz w:val="28"/>
          <w:szCs w:val="28"/>
        </w:rPr>
        <w:t xml:space="preserve"> проводится горизонтальная прямая</w:t>
      </w:r>
      <w:r w:rsidR="006B3DCB" w:rsidRPr="008459CA">
        <w:rPr>
          <w:rFonts w:ascii="Times New Roman" w:hAnsi="Times New Roman" w:cs="Times New Roman"/>
          <w:sz w:val="28"/>
          <w:szCs w:val="28"/>
        </w:rPr>
        <w:t xml:space="preserve">, ограничивающая </w:t>
      </w:r>
      <w:r w:rsidRPr="008459CA">
        <w:rPr>
          <w:rFonts w:ascii="Times New Roman" w:hAnsi="Times New Roman" w:cs="Times New Roman"/>
          <w:sz w:val="28"/>
          <w:szCs w:val="28"/>
        </w:rPr>
        <w:t>диапазон точек для поиска максимального значения.</w:t>
      </w:r>
    </w:p>
    <w:p w:rsidR="00293215" w:rsidRPr="008459CA" w:rsidRDefault="00293215" w:rsidP="005C1D42">
      <w:pPr>
        <w:pStyle w:val="a5"/>
        <w:numPr>
          <w:ilvl w:val="0"/>
          <w:numId w:val="2"/>
        </w:numPr>
        <w:spacing w:beforeLines="40" w:before="96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Среднее взвешенное значение определяется по следующей формуле:</w:t>
      </w:r>
    </w:p>
    <w:p w:rsidR="00293215" w:rsidRPr="008459CA" w:rsidRDefault="00BE4D2A" w:rsidP="005C1D42">
      <w:pPr>
        <w:pStyle w:val="a5"/>
        <w:spacing w:beforeLines="40" w:before="96"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∙j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43817" w:rsidRPr="008459CA" w:rsidRDefault="00BE4D2A" w:rsidP="005C1D42">
      <w:pPr>
        <w:spacing w:beforeLines="40" w:before="96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459C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459C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8459CA">
        <w:rPr>
          <w:rFonts w:ascii="Times New Roman" w:eastAsiaTheme="minorEastAsia" w:hAnsi="Times New Roman" w:cs="Times New Roman"/>
          <w:sz w:val="28"/>
          <w:szCs w:val="28"/>
        </w:rPr>
        <w:t xml:space="preserve"> номер пикселя,</w:t>
      </w:r>
      <w:r w:rsidR="00D43817" w:rsidRPr="008459C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8459CA">
        <w:rPr>
          <w:rFonts w:ascii="Times New Roman" w:eastAsiaTheme="minorEastAsia" w:hAnsi="Times New Roman" w:cs="Times New Roman"/>
          <w:sz w:val="28"/>
          <w:szCs w:val="28"/>
        </w:rPr>
        <w:t>значение интенсивности в -том пикселе</w:t>
      </w:r>
      <w:r w:rsidR="00322E8B" w:rsidRPr="008459CA">
        <w:rPr>
          <w:rFonts w:ascii="Times New Roman" w:eastAsiaTheme="minorEastAsia" w:hAnsi="Times New Roman" w:cs="Times New Roman"/>
          <w:sz w:val="28"/>
          <w:szCs w:val="28"/>
        </w:rPr>
        <w:t xml:space="preserve">,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22E8B" w:rsidRPr="008459CA">
        <w:rPr>
          <w:rFonts w:ascii="Times New Roman" w:eastAsiaTheme="minorEastAsia" w:hAnsi="Times New Roman" w:cs="Times New Roman"/>
          <w:sz w:val="28"/>
          <w:szCs w:val="28"/>
        </w:rPr>
        <w:t xml:space="preserve"> может изменяться в диапазоне от 0 до 255 </w:t>
      </w:r>
      <w:proofErr w:type="spellStart"/>
      <w:r w:rsidR="00322E8B" w:rsidRPr="008459CA">
        <w:rPr>
          <w:rFonts w:ascii="Times New Roman" w:eastAsiaTheme="minorEastAsia" w:hAnsi="Times New Roman" w:cs="Times New Roman"/>
          <w:sz w:val="28"/>
          <w:szCs w:val="28"/>
        </w:rPr>
        <w:t>отн</w:t>
      </w:r>
      <w:proofErr w:type="spellEnd"/>
      <w:r w:rsidR="00322E8B" w:rsidRPr="008459CA">
        <w:rPr>
          <w:rFonts w:ascii="Times New Roman" w:eastAsiaTheme="minorEastAsia" w:hAnsi="Times New Roman" w:cs="Times New Roman"/>
          <w:sz w:val="28"/>
          <w:szCs w:val="28"/>
        </w:rPr>
        <w:t>. ед.</w:t>
      </w:r>
    </w:p>
    <w:p w:rsidR="006B3DCB" w:rsidRPr="008459CA" w:rsidRDefault="006B3DCB" w:rsidP="005C1D42">
      <w:pPr>
        <w:pStyle w:val="a5"/>
        <w:numPr>
          <w:ilvl w:val="0"/>
          <w:numId w:val="2"/>
        </w:numPr>
        <w:spacing w:beforeLines="40" w:before="96"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59CA"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угловое расстояние между максимумами путем нахождения разности между </w:t>
      </w:r>
      <w:r w:rsidRPr="008459C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softHyphen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</m:oMath>
      <w:r w:rsidRPr="008459C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459C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59C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1262" w:rsidRPr="008459CA" w:rsidRDefault="006B3DCB" w:rsidP="005C1D42">
      <w:pPr>
        <w:spacing w:beforeLines="40" w:before="96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5AA">
        <w:rPr>
          <w:rFonts w:ascii="Times New Roman" w:hAnsi="Times New Roman" w:cs="Times New Roman"/>
          <w:b/>
          <w:sz w:val="28"/>
          <w:szCs w:val="28"/>
          <w:highlight w:val="yellow"/>
        </w:rPr>
        <w:t>Метод равных сумм</w:t>
      </w:r>
      <w:r w:rsidRPr="008459CA">
        <w:rPr>
          <w:rFonts w:ascii="Times New Roman" w:hAnsi="Times New Roman" w:cs="Times New Roman"/>
          <w:b/>
          <w:sz w:val="28"/>
          <w:szCs w:val="28"/>
        </w:rPr>
        <w:t>.</w:t>
      </w:r>
      <w:r w:rsidRPr="008459CA">
        <w:rPr>
          <w:rFonts w:ascii="Times New Roman" w:hAnsi="Times New Roman" w:cs="Times New Roman"/>
          <w:sz w:val="28"/>
          <w:szCs w:val="28"/>
        </w:rPr>
        <w:t xml:space="preserve"> При использовании данного метода </w:t>
      </w:r>
      <w:r w:rsidR="001960AD" w:rsidRPr="008459CA">
        <w:rPr>
          <w:rFonts w:ascii="Times New Roman" w:hAnsi="Times New Roman" w:cs="Times New Roman"/>
          <w:sz w:val="28"/>
          <w:szCs w:val="28"/>
        </w:rPr>
        <w:t xml:space="preserve">находится такое значение координаты, при котором площадь под первым максимумом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960AD" w:rsidRPr="008459CA">
        <w:rPr>
          <w:rFonts w:ascii="Times New Roman" w:eastAsiaTheme="minorEastAsia" w:hAnsi="Times New Roman" w:cs="Times New Roman"/>
          <w:sz w:val="28"/>
          <w:szCs w:val="28"/>
        </w:rPr>
        <w:t xml:space="preserve"> равняется п</w:t>
      </w:r>
      <w:r w:rsidR="001960AD" w:rsidRPr="008459CA">
        <w:rPr>
          <w:rFonts w:ascii="Times New Roman" w:hAnsi="Times New Roman" w:cs="Times New Roman"/>
          <w:sz w:val="28"/>
          <w:szCs w:val="28"/>
        </w:rPr>
        <w:t xml:space="preserve">лощади под вторым максимумом </w:t>
      </w:r>
      <w:r w:rsidR="001960AD" w:rsidRPr="008459C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softHyphen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. </m:t>
        </m:r>
      </m:oMath>
      <w:r w:rsidR="001960AD" w:rsidRPr="008459CA">
        <w:rPr>
          <w:rFonts w:ascii="Times New Roman" w:eastAsiaTheme="minorEastAsia" w:hAnsi="Times New Roman" w:cs="Times New Roman"/>
          <w:sz w:val="28"/>
          <w:szCs w:val="28"/>
        </w:rPr>
        <w:t>После чего угловое расстояние находится как разница этими двумя координатами.</w:t>
      </w:r>
    </w:p>
    <w:p w:rsidR="00F31262" w:rsidRPr="008459CA" w:rsidRDefault="00F31262" w:rsidP="005C1D42">
      <w:p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b/>
          <w:sz w:val="28"/>
          <w:szCs w:val="28"/>
        </w:rPr>
        <w:t>Аппроксимация</w:t>
      </w:r>
      <w:r w:rsidR="001960AD" w:rsidRPr="008459CA">
        <w:rPr>
          <w:rFonts w:ascii="Times New Roman" w:hAnsi="Times New Roman" w:cs="Times New Roman"/>
          <w:b/>
          <w:sz w:val="28"/>
          <w:szCs w:val="28"/>
        </w:rPr>
        <w:t xml:space="preserve"> методом наименьших квадратов.</w:t>
      </w:r>
      <w:r w:rsidR="001960AD" w:rsidRPr="008459CA">
        <w:rPr>
          <w:rFonts w:ascii="Times New Roman" w:hAnsi="Times New Roman" w:cs="Times New Roman"/>
          <w:sz w:val="28"/>
          <w:szCs w:val="28"/>
        </w:rPr>
        <w:t xml:space="preserve"> Полученная зависимость интенсивности от угловых секунд аппроксимируется полиномом, </w:t>
      </w:r>
      <w:proofErr w:type="gramStart"/>
      <w:r w:rsidR="001960AD" w:rsidRPr="008459CA">
        <w:rPr>
          <w:rFonts w:ascii="Times New Roman" w:hAnsi="Times New Roman" w:cs="Times New Roman"/>
          <w:sz w:val="28"/>
          <w:szCs w:val="28"/>
        </w:rPr>
        <w:t>наилучшим способом</w:t>
      </w:r>
      <w:proofErr w:type="gramEnd"/>
      <w:r w:rsidR="001960AD" w:rsidRPr="008459CA">
        <w:rPr>
          <w:rFonts w:ascii="Times New Roman" w:hAnsi="Times New Roman" w:cs="Times New Roman"/>
          <w:sz w:val="28"/>
          <w:szCs w:val="28"/>
        </w:rPr>
        <w:t xml:space="preserve"> описывающим данную зависимость, далее угловое расстояние находится между максимумами аппроксимирующей функции.</w:t>
      </w:r>
    </w:p>
    <w:p w:rsidR="00F31262" w:rsidRPr="008459CA" w:rsidRDefault="00F31262" w:rsidP="005C1D42">
      <w:pPr>
        <w:spacing w:beforeLines="40" w:before="96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b/>
          <w:sz w:val="28"/>
          <w:szCs w:val="28"/>
        </w:rPr>
        <w:t>Нахождение по максимумам</w:t>
      </w:r>
      <w:r w:rsidRPr="008459CA">
        <w:rPr>
          <w:rFonts w:ascii="Times New Roman" w:hAnsi="Times New Roman" w:cs="Times New Roman"/>
          <w:sz w:val="28"/>
          <w:szCs w:val="28"/>
        </w:rPr>
        <w:t xml:space="preserve"> является самым простым в реализации методом, в котором программа находит максимальное значение для каждого из пятен и в качестве результата выводит разницу между ними.</w:t>
      </w:r>
    </w:p>
    <w:p w:rsidR="006F050D" w:rsidRPr="008459CA" w:rsidRDefault="006F050D" w:rsidP="005C1D42">
      <w:pPr>
        <w:spacing w:beforeLines="40" w:before="96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В правом окне программы отображается значени</w:t>
      </w:r>
      <w:r w:rsidR="00043EE7" w:rsidRPr="008459CA">
        <w:rPr>
          <w:rFonts w:ascii="Times New Roman" w:hAnsi="Times New Roman" w:cs="Times New Roman"/>
          <w:sz w:val="28"/>
          <w:szCs w:val="28"/>
        </w:rPr>
        <w:t>е</w:t>
      </w:r>
      <w:r w:rsidRPr="008459CA">
        <w:rPr>
          <w:rFonts w:ascii="Times New Roman" w:hAnsi="Times New Roman" w:cs="Times New Roman"/>
          <w:sz w:val="28"/>
          <w:szCs w:val="28"/>
        </w:rPr>
        <w:t xml:space="preserve"> углового размера пикселя, которы</w:t>
      </w:r>
      <w:r w:rsidR="00043EE7" w:rsidRPr="008459CA">
        <w:rPr>
          <w:rFonts w:ascii="Times New Roman" w:hAnsi="Times New Roman" w:cs="Times New Roman"/>
          <w:sz w:val="28"/>
          <w:szCs w:val="28"/>
        </w:rPr>
        <w:t>й</w:t>
      </w:r>
      <w:r w:rsidRPr="008459CA">
        <w:rPr>
          <w:rFonts w:ascii="Times New Roman" w:hAnsi="Times New Roman" w:cs="Times New Roman"/>
          <w:sz w:val="28"/>
          <w:szCs w:val="28"/>
        </w:rPr>
        <w:t xml:space="preserve"> задается в окне «Параметры», значение ЭПР эталонного уголкового отражателя, </w:t>
      </w:r>
      <w:r w:rsidRPr="008459CA">
        <w:rPr>
          <w:rFonts w:ascii="Times New Roman" w:eastAsiaTheme="minorEastAsia" w:hAnsi="Times New Roman" w:cs="Times New Roman"/>
          <w:sz w:val="28"/>
          <w:szCs w:val="28"/>
        </w:rPr>
        <w:t>значения ЭПР для левого и правого пятна и угловое расстояние между максимумами, рассчитанное одним и методов, описанных выше.</w:t>
      </w:r>
    </w:p>
    <w:p w:rsidR="00322E8B" w:rsidRPr="008459CA" w:rsidRDefault="00943842" w:rsidP="00322E8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В программе </w:t>
      </w:r>
      <w:proofErr w:type="spellStart"/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IMG_Analyzer</w:t>
      </w:r>
      <w:proofErr w:type="spellEnd"/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определение </w:t>
      </w:r>
      <w:r w:rsidR="00322E8B"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эффективной поверхности рассеяния происходит путем сравнения с эталонной </w:t>
      </w:r>
      <w:proofErr w:type="spellStart"/>
      <w:r w:rsidR="00322E8B"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ретрорефлекторной</w:t>
      </w:r>
      <w:proofErr w:type="spellEnd"/>
      <w:r w:rsidR="00322E8B"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системой для рабочей длины волны лазерного излучения 532 </w:t>
      </w:r>
      <w:proofErr w:type="spellStart"/>
      <w:r w:rsidR="00322E8B"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нм</w:t>
      </w:r>
      <w:proofErr w:type="spellEnd"/>
      <w:r w:rsidR="00322E8B"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22E8B" w:rsidRPr="008459CA" w:rsidRDefault="007305AA" w:rsidP="00322E8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изм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эт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эт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e>
          </m:eqArr>
        </m:oMath>
      </m:oMathPara>
    </w:p>
    <w:p w:rsidR="00943842" w:rsidRPr="008459CA" w:rsidRDefault="00322E8B" w:rsidP="00322E8B">
      <w:pPr>
        <w:spacing w:line="360" w:lineRule="auto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изм</m:t>
            </m:r>
          </m:sub>
        </m:sSub>
      </m:oMath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-</w:t>
      </w:r>
      <w:proofErr w:type="gramEnd"/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интенсивность отраженного сигнала от исследуемого уголкового отражателя,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эт</m:t>
            </m:r>
          </m:sub>
        </m:sSub>
      </m:oMath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- интенсивность отраженного сигнала от контрольного уголкового отражателя с известной ЭПР,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эт</m:t>
            </m:r>
          </m:sub>
        </m:sSub>
      </m:oMath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- ЭПР контрольного уголкового отражателя, составляющая около 10</w:t>
      </w:r>
      <w:r w:rsidRPr="008459C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7 </w:t>
      </w:r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>2</w:t>
      </w:r>
      <w:r w:rsidRPr="008459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31DBB" w:rsidRPr="008459CA" w:rsidRDefault="00831DBB" w:rsidP="005C1D42">
      <w:pPr>
        <w:spacing w:beforeLines="40" w:before="96"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59CA">
        <w:rPr>
          <w:rFonts w:ascii="Times New Roman" w:eastAsiaTheme="minorEastAsia" w:hAnsi="Times New Roman" w:cs="Times New Roman"/>
          <w:b/>
          <w:sz w:val="28"/>
          <w:szCs w:val="28"/>
        </w:rPr>
        <w:t>Пример работы с программой:</w:t>
      </w:r>
    </w:p>
    <w:p w:rsidR="00831DBB" w:rsidRPr="008459CA" w:rsidRDefault="00831DBB" w:rsidP="005C1D42">
      <w:pPr>
        <w:spacing w:beforeLines="40" w:before="96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ab/>
        <w:t xml:space="preserve">В данном случае выбиралось пять диаграмм направленности </w:t>
      </w:r>
      <w:proofErr w:type="spellStart"/>
      <w:r w:rsidRPr="008459CA">
        <w:rPr>
          <w:rFonts w:ascii="Times New Roman" w:hAnsi="Times New Roman" w:cs="Times New Roman"/>
          <w:sz w:val="28"/>
          <w:szCs w:val="28"/>
        </w:rPr>
        <w:t>двухпятенного</w:t>
      </w:r>
      <w:proofErr w:type="spellEnd"/>
      <w:r w:rsidRPr="008459CA">
        <w:rPr>
          <w:rFonts w:ascii="Times New Roman" w:hAnsi="Times New Roman" w:cs="Times New Roman"/>
          <w:sz w:val="28"/>
          <w:szCs w:val="28"/>
        </w:rPr>
        <w:t xml:space="preserve"> уголкового отражателя (см. Рисунок 3).</w:t>
      </w:r>
    </w:p>
    <w:p w:rsidR="00831DBB" w:rsidRPr="008459CA" w:rsidRDefault="00831DBB" w:rsidP="00257926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644E7" wp14:editId="217E0C5D">
            <wp:extent cx="3050478" cy="3372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45" cy="33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BB" w:rsidRPr="008459CA" w:rsidRDefault="00831DBB" w:rsidP="00257926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3 – усредненное изображение пяти диаграмм направленности</w:t>
      </w:r>
    </w:p>
    <w:p w:rsidR="00257926" w:rsidRPr="008459CA" w:rsidRDefault="00257926" w:rsidP="00257926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1DBB" w:rsidRPr="008459CA" w:rsidRDefault="00831DBB" w:rsidP="005C1D42">
      <w:pPr>
        <w:spacing w:beforeLines="40" w:before="96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ab/>
        <w:t>В окне параметры загружается диаграмма направленности контрольного уголкового отражателя с известным значением ЭПР 10</w:t>
      </w:r>
      <w:r w:rsidRPr="008459CA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8459CA">
        <w:rPr>
          <w:rFonts w:ascii="Times New Roman" w:hAnsi="Times New Roman" w:cs="Times New Roman"/>
          <w:sz w:val="28"/>
          <w:szCs w:val="28"/>
        </w:rPr>
        <w:t xml:space="preserve"> млн. м</w:t>
      </w:r>
      <w:r w:rsidRPr="008459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59CA">
        <w:rPr>
          <w:rFonts w:ascii="Times New Roman" w:hAnsi="Times New Roman" w:cs="Times New Roman"/>
          <w:sz w:val="28"/>
          <w:szCs w:val="28"/>
        </w:rPr>
        <w:t xml:space="preserve"> (см. Рисунок 4)</w:t>
      </w:r>
    </w:p>
    <w:p w:rsidR="00831DBB" w:rsidRPr="008459CA" w:rsidRDefault="00831DBB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AD1955" wp14:editId="3AB1D202">
            <wp:extent cx="2993366" cy="3736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226" cy="37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A5" w:rsidRPr="008459CA" w:rsidRDefault="0081749B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4 – загруженная диаграмма направленности эталонного уголкового отражателя</w:t>
      </w:r>
    </w:p>
    <w:p w:rsidR="0081749B" w:rsidRPr="008459CA" w:rsidRDefault="001931CE" w:rsidP="005C1D42">
      <w:pPr>
        <w:spacing w:beforeLines="40" w:before="96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Результат работы программы для всех четырех алгоритмов поиска центра представлен на рисунках 5-9.</w:t>
      </w:r>
    </w:p>
    <w:p w:rsidR="001931CE" w:rsidRPr="008459CA" w:rsidRDefault="001931CE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2616E" wp14:editId="6BF09678">
            <wp:extent cx="5088805" cy="3372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654" cy="33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CE" w:rsidRPr="008459CA" w:rsidRDefault="001931CE" w:rsidP="005C1D42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5 – результат работы программы при использовании метода среднего взвешенного значения</w:t>
      </w:r>
    </w:p>
    <w:p w:rsidR="001931CE" w:rsidRPr="008459CA" w:rsidRDefault="001931CE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C96DD0" wp14:editId="55866D8C">
            <wp:extent cx="5339751" cy="35932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440" cy="35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CE" w:rsidRPr="008459CA" w:rsidRDefault="001931CE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6 – результат работы программы при использовании метода равных сумм</w:t>
      </w:r>
    </w:p>
    <w:p w:rsidR="001931CE" w:rsidRPr="008459CA" w:rsidRDefault="001931CE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57B6A" wp14:editId="35FC4609">
            <wp:extent cx="5106838" cy="347922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61" cy="34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CE" w:rsidRPr="008459CA" w:rsidRDefault="001931CE" w:rsidP="005C1D42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7 – результат работы программы при использовании аппроксимации методом наименьших квадратов</w:t>
      </w:r>
    </w:p>
    <w:p w:rsidR="001931CE" w:rsidRPr="008459CA" w:rsidRDefault="001931CE" w:rsidP="005C1D42">
      <w:pPr>
        <w:spacing w:beforeLines="40" w:before="96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178769" wp14:editId="63B28D33">
            <wp:extent cx="5339366" cy="365528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649" cy="36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CE" w:rsidRPr="008459CA" w:rsidRDefault="001931CE" w:rsidP="005C1D42">
      <w:pPr>
        <w:spacing w:beforeLines="40" w:before="96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9CA">
        <w:rPr>
          <w:rFonts w:ascii="Times New Roman" w:hAnsi="Times New Roman" w:cs="Times New Roman"/>
          <w:sz w:val="28"/>
          <w:szCs w:val="28"/>
        </w:rPr>
        <w:t>Рисунок 8 – результат работы программы при нахождении углового расстояния по максимальному значению интенсивности</w:t>
      </w:r>
    </w:p>
    <w:p w:rsidR="001931CE" w:rsidRDefault="001931CE" w:rsidP="005C1D42">
      <w:pPr>
        <w:spacing w:beforeLines="40" w:before="96" w:after="0" w:line="360" w:lineRule="auto"/>
        <w:jc w:val="center"/>
      </w:pPr>
    </w:p>
    <w:p w:rsidR="005C1D42" w:rsidRDefault="005C1D42">
      <w:pPr>
        <w:spacing w:beforeLines="40" w:before="96" w:after="0" w:line="360" w:lineRule="auto"/>
        <w:jc w:val="center"/>
      </w:pPr>
    </w:p>
    <w:sectPr w:rsidR="005C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C5AA0"/>
    <w:multiLevelType w:val="hybridMultilevel"/>
    <w:tmpl w:val="9592926C"/>
    <w:lvl w:ilvl="0" w:tplc="9BB03B7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9821557"/>
    <w:multiLevelType w:val="hybridMultilevel"/>
    <w:tmpl w:val="59F2ED6E"/>
    <w:lvl w:ilvl="0" w:tplc="C238570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7904B5"/>
    <w:multiLevelType w:val="hybridMultilevel"/>
    <w:tmpl w:val="484E66E2"/>
    <w:lvl w:ilvl="0" w:tplc="FB0C8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14"/>
    <w:rsid w:val="000376F1"/>
    <w:rsid w:val="00042C81"/>
    <w:rsid w:val="00043EE7"/>
    <w:rsid w:val="000A3EE9"/>
    <w:rsid w:val="000C5728"/>
    <w:rsid w:val="001931CE"/>
    <w:rsid w:val="001960AD"/>
    <w:rsid w:val="00257926"/>
    <w:rsid w:val="00293215"/>
    <w:rsid w:val="00322E8B"/>
    <w:rsid w:val="00360076"/>
    <w:rsid w:val="00420A25"/>
    <w:rsid w:val="005C1D42"/>
    <w:rsid w:val="005F7050"/>
    <w:rsid w:val="006B3DCB"/>
    <w:rsid w:val="006F050D"/>
    <w:rsid w:val="007004F9"/>
    <w:rsid w:val="007305AA"/>
    <w:rsid w:val="00781714"/>
    <w:rsid w:val="007D023C"/>
    <w:rsid w:val="0081749B"/>
    <w:rsid w:val="00831DBB"/>
    <w:rsid w:val="008459CA"/>
    <w:rsid w:val="008566C8"/>
    <w:rsid w:val="00943842"/>
    <w:rsid w:val="00997BED"/>
    <w:rsid w:val="009E6B02"/>
    <w:rsid w:val="00A74234"/>
    <w:rsid w:val="00BE0C78"/>
    <w:rsid w:val="00BE4D2A"/>
    <w:rsid w:val="00C751DB"/>
    <w:rsid w:val="00D43817"/>
    <w:rsid w:val="00D76EDA"/>
    <w:rsid w:val="00D85DBB"/>
    <w:rsid w:val="00DF4D55"/>
    <w:rsid w:val="00E32BA5"/>
    <w:rsid w:val="00E801A8"/>
    <w:rsid w:val="00F31262"/>
    <w:rsid w:val="00F75D61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8AD5F2-A03A-4A68-AF30-8BBE0CD2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B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76F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F0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2C74-843B-4E36-BFE3-A7878AD2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</cp:lastModifiedBy>
  <cp:revision>6</cp:revision>
  <dcterms:created xsi:type="dcterms:W3CDTF">2022-06-08T12:43:00Z</dcterms:created>
  <dcterms:modified xsi:type="dcterms:W3CDTF">2022-06-14T06:04:00Z</dcterms:modified>
</cp:coreProperties>
</file>