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ind w:firstLine="0"/>
        <w:jc w:val="left"/>
      </w:pPr>
      <w:r>
        <w:rPr>
          <w:rFonts w:ascii="Times New Roman" w:hAnsi="Times New Roman" w:eastAsia="Times New Roman" w:cs="Times New Roman"/>
          <w:b/>
          <w:i/>
          <w:sz w:val="28"/>
          <w:lang w:val="uk-UA" w:eastAsia="uk-UA"/>
        </w:rPr>
        <w:t>[Ім’я Прізвище],</w:t>
      </w:r>
    </w:p>
    <w:p>
      <w:pPr>
        <w:spacing w:line="240" w:lineRule="auto" w:before="0" w:after="0"/>
        <w:ind w:firstLine="0"/>
        <w:jc w:val="left"/>
      </w:pPr>
      <w:r>
        <w:rPr>
          <w:rFonts w:ascii="Times New Roman" w:hAnsi="Times New Roman" w:eastAsia="Times New Roman" w:cs="Times New Roman"/>
          <w:b w:val="0"/>
          <w:i/>
          <w:sz w:val="28"/>
          <w:lang w:val="uk-UA" w:eastAsia="uk-UA"/>
        </w:rPr>
        <w:t>[науковий ступінь, вчене звання],</w:t>
      </w:r>
    </w:p>
    <w:p>
      <w:pPr>
        <w:spacing w:line="240" w:lineRule="auto" w:before="0" w:after="0"/>
        <w:ind w:firstLine="0"/>
        <w:jc w:val="left"/>
      </w:pPr>
      <w:r>
        <w:rPr>
          <w:rFonts w:ascii="Times New Roman" w:hAnsi="Times New Roman" w:eastAsia="Times New Roman" w:cs="Times New Roman"/>
          <w:b w:val="0"/>
          <w:i/>
          <w:sz w:val="28"/>
          <w:lang w:val="uk-UA" w:eastAsia="uk-UA"/>
        </w:rPr>
        <w:t>[повна назва закладу, місто, Україна]</w:t>
      </w:r>
    </w:p>
    <w:p>
      <w:pPr>
        <w:spacing w:line="240" w:lineRule="auto" w:before="0" w:after="0"/>
        <w:ind w:firstLine="0"/>
        <w:jc w:val="left"/>
        <w:rPr>
          <w:sz w:val="28"/>
          <w:szCs w:val="28"/>
        </w:rPr>
      </w:pPr>
      <w:r>
        <w:rPr>
          <w:rFonts w:ascii="Times New Roman" w:hAnsi="Times New Roman" w:eastAsia="Times New Roman" w:cs="Times New Roman"/>
          <w:b w:val="0"/>
          <w:i w:val="0"/>
          <w:sz w:val="28"/>
        </w:rPr>
      </w:r>
    </w:p>
    <w:p>
      <w:pPr>
        <w:spacing w:line="240" w:lineRule="auto" w:before="0" w:after="0"/>
        <w:ind w:firstLine="0"/>
        <w:jc w:val="center"/>
      </w:pPr>
      <w:r>
        <w:rPr>
          <w:rFonts w:ascii="Times New Roman" w:hAnsi="Times New Roman" w:eastAsia="Times New Roman" w:cs="Times New Roman"/>
          <w:b/>
          <w:i w:val="0"/>
          <w:sz w:val="28"/>
          <w:lang w:val="uk-UA" w:eastAsia="uk-UA"/>
        </w:rPr>
        <w:t>МЕЖІ ДОВІРИ ДО ГЕНЕРАТИВНОГО ШТУЧНОГО ІНТЕЛЕКТУ У ВІЙСЬКОВІЙ ОСВІТІ: РИЗИКИ ХИБНИХ ВІДПОВІДЕЙ, ВИТОКУ ІНФОРМАЦІЇ З ОБМЕЖЕНИМ ДОСТУПОМ І ПРАВИЛА БЕЗПЕЧНОГО ЗАСТОСУВАННЯ</w:t>
      </w:r>
    </w:p>
    <w:p>
      <w:pPr>
        <w:spacing w:line="240" w:lineRule="auto" w:before="0" w:after="0"/>
        <w:ind w:firstLine="0"/>
        <w:jc w:val="left"/>
        <w:rPr>
          <w:sz w:val="28"/>
          <w:szCs w:val="28"/>
        </w:rPr>
      </w:pPr>
      <w:r>
        <w:rPr>
          <w:rFonts w:ascii="Times New Roman" w:hAnsi="Times New Roman" w:eastAsia="Times New Roman" w:cs="Times New Roman"/>
          <w:b w:val="0"/>
          <w:i w:val="0"/>
          <w:sz w:val="28"/>
        </w:rPr>
      </w:r>
    </w:p>
    <w:p>
      <w:pPr>
        <w:spacing w:line="240" w:lineRule="auto" w:before="0" w:after="0"/>
        <w:ind w:firstLine="567"/>
        <w:jc w:val="both"/>
      </w:pPr>
      <w:r>
        <w:rPr>
          <w:rFonts w:ascii="Times New Roman" w:hAnsi="Times New Roman" w:eastAsia="Times New Roman" w:cs="Times New Roman"/>
          <w:b w:val="0"/>
          <w:i w:val="0"/>
          <w:sz w:val="28"/>
          <w:lang w:val="uk-UA" w:eastAsia="uk-UA"/>
        </w:rPr>
        <w:t>Військова освіта дедалі частіше стикається з генеративними мовними моделями не як з темою окремого технічного курсу, а як із засобом, до якого слухач звертається під час підготовки до заняття. Така модель складає зв’язний текст, не відкриваючи картки затвердженого джерела: кожне наступне слово обирається за розподілом, оціненим на навчальній вибірці. Зв’язність викладу тому не засвідчує відповідності статуту, настанові чи конспекту кафедри. Дослідження непідкріпленої генерації показують, що модель може впевнено викласти факт, якого немає в наданих їй матеріалах, і так само впевнено зіслатися на працю, якої не існує [1; 2]. Для освіти це вже описано як поєднання користі на етапі чернетки з ризиком прийняти гладкий текст за перевірене знання [3; 4].</w:t>
      </w:r>
    </w:p>
    <w:p>
      <w:pPr>
        <w:spacing w:line="240" w:lineRule="auto" w:before="0" w:after="0"/>
        <w:ind w:firstLine="567"/>
        <w:jc w:val="both"/>
      </w:pPr>
      <w:r>
        <w:rPr>
          <w:rFonts w:ascii="Times New Roman" w:hAnsi="Times New Roman" w:eastAsia="Times New Roman" w:cs="Times New Roman"/>
          <w:b w:val="0"/>
          <w:i w:val="0"/>
          <w:sz w:val="28"/>
          <w:lang w:val="uk-UA" w:eastAsia="uk-UA"/>
        </w:rPr>
        <w:t>У закладі військової освіти до змістовної помилки додається друга, незалежна від якості відповіді загроза. Запит, у який вставлено фрагмент бойового досвіду, прізвище, позивний, частоту, схему зв’язку чи іншу відомість з обмеженим доступом, обробляється там, де розміщено модель. Якщо це зовнішній сервіс, відомості залишають контур, у якому заклад уповноважений їх обробляти. Хибний факт викладач ще може виправити на занятті. Повернути вже відправлений запит неможливо.</w:t>
      </w:r>
    </w:p>
    <w:p>
      <w:pPr>
        <w:spacing w:line="240" w:lineRule="auto" w:before="0" w:after="0"/>
        <w:ind w:firstLine="567"/>
        <w:jc w:val="both"/>
      </w:pPr>
      <w:r>
        <w:rPr>
          <w:rFonts w:ascii="Times New Roman" w:hAnsi="Times New Roman" w:eastAsia="Times New Roman" w:cs="Times New Roman"/>
          <w:b w:val="0"/>
          <w:i w:val="0"/>
          <w:sz w:val="28"/>
          <w:lang w:val="uk-UA" w:eastAsia="uk-UA"/>
        </w:rPr>
        <w:t>Мета роботи — відділити режими, у яких генеративна модель придатна як допоміжний засіб підготовки, від режимів, у яких її застосування підміняє нормативне джерело або виводить інформацію з обмеженим доступом за межі дозволеної системи. Потрібен не огляд окремої комерційної моделі, а правило рішення, яке кафедра може покласти в локальний порядок ще до появи єдиної відомчої платформи.</w:t>
      </w:r>
    </w:p>
    <w:p>
      <w:pPr>
        <w:spacing w:line="240" w:lineRule="auto" w:before="0" w:after="0"/>
        <w:ind w:firstLine="567"/>
        <w:jc w:val="both"/>
      </w:pPr>
      <w:r>
        <w:rPr>
          <w:rFonts w:ascii="Times New Roman" w:hAnsi="Times New Roman" w:eastAsia="Times New Roman" w:cs="Times New Roman"/>
          <w:b w:val="0"/>
          <w:i w:val="0"/>
          <w:sz w:val="28"/>
          <w:lang w:val="uk-UA" w:eastAsia="uk-UA"/>
        </w:rPr>
        <w:t>Зіставлено п’ять груп положень, які зазвичай обговорюють нарізно. Перша описує механізм непідкріпленої генерації і пояснює, чому правдоподібність не дорівнює перевірюваності [1; 2]. Друга фіксує межі мовних моделей у навчанні: модель здатна підтримати формулювання, але не замінює судження викладача і не повинна отримувати персональні дані через відкритий інтерфейс [3; 4]. Третя пропонує говорити про ризик без заборони технології як такої: рамка NIST вимагає визначити контекст застосування, оцінити ризик і закріпити заходи керування ним [5]. Четверта показує, що європейський регулятор виділяє в освіті не будь-яке використання моделі, а системи, які визначають доступ до навчання або оцінюють його результати [6]. П’ята група — норми України щодо державної таємниці та захисту інформації в інформаційно-комунікаційних системах: вони регулюють не «штучний інтелект» загалом, а допустиме місце і порядок оброблення захищеної інформації [7; 8]. Оновлена у 2024 році стратегія штучного інтелекту НАТО додає до цього вимогу підзвітності людини, поясненності та керованості системи [9].</w:t>
      </w:r>
    </w:p>
    <w:p>
      <w:pPr>
        <w:spacing w:line="240" w:lineRule="auto" w:before="0" w:after="0"/>
        <w:ind w:firstLine="567"/>
        <w:jc w:val="both"/>
      </w:pPr>
      <w:r>
        <w:rPr>
          <w:rFonts w:ascii="Times New Roman" w:hAnsi="Times New Roman" w:eastAsia="Times New Roman" w:cs="Times New Roman"/>
          <w:b w:val="0"/>
          <w:i w:val="0"/>
          <w:sz w:val="28"/>
          <w:lang w:val="uk-UA" w:eastAsia="uk-UA"/>
        </w:rPr>
        <w:t>Вимірювання на вибірці слухачів не проводилося. Частки помилок конкретних моделей не наводяться: вони залежать від версії моделі, мови запиту і типу джерела та швидко втрачають чинність. Вагові коефіцієнти нижче є стартовою шкалою для експертного обговорення, а не результатом підгонки під експеримент.</w:t>
      </w:r>
    </w:p>
    <w:p>
      <w:pPr>
        <w:spacing w:line="240" w:lineRule="auto" w:before="0" w:after="0"/>
        <w:ind w:firstLine="567"/>
        <w:jc w:val="both"/>
      </w:pPr>
      <w:r>
        <w:rPr>
          <w:rFonts w:ascii="Times New Roman" w:hAnsi="Times New Roman" w:eastAsia="Times New Roman" w:cs="Times New Roman"/>
          <w:b w:val="0"/>
          <w:i w:val="0"/>
          <w:sz w:val="28"/>
          <w:lang w:val="uk-UA" w:eastAsia="uk-UA"/>
        </w:rPr>
        <w:t>Режим застосування вважається придатним лише тоді, коли одночасно виконуються три умови. Клас відомостей у запиті та у відповіді сумісний із контуром, у якому працює модель. Твердження, яке претендує на нормативність, можна звірити з абзацом джерела, затвердженого для цього заняття. Оцінюваний результат затверджує людина, відповідальна за заняття. Порушення першої умови не компенсується ретельністю другої: перевірка факту після відправлення запиту не повертає відомості в контур.</w:t>
      </w:r>
    </w:p>
    <w:p>
      <w:pPr>
        <w:spacing w:line="240" w:lineRule="auto" w:before="0" w:after="0"/>
        <w:ind w:firstLine="567"/>
        <w:jc w:val="both"/>
      </w:pPr>
      <w:r>
        <w:rPr>
          <w:rFonts w:ascii="Times New Roman" w:hAnsi="Times New Roman" w:eastAsia="Times New Roman" w:cs="Times New Roman"/>
          <w:b w:val="0"/>
          <w:i w:val="0"/>
          <w:sz w:val="28"/>
          <w:lang w:val="uk-UA" w:eastAsia="uk-UA"/>
        </w:rPr>
        <w:t>Тому контурну відповідність недоцільно включати у зважену суму, де висока перевірюваність могла б перекрити неналежне місце оброблення. Її задано окремим множником k. Він дорівнює 1, якщо модель, журнал запитів і зберігання чернеток перебувають у системі, допущеній для цього класу даних, і дорівнює 0 в іншому разі. Для відкритих навчальних матеріалів зовнішній сервіс може отримати k = 1, якщо запит не містить відомостей з обмеженим доступом і персональних даних слухачів. Для державної таємниці та іншої інформації з обмеженим доступом зовнішній загальнодоступний сервіс отримує k = 0 незалежно від якості відповіді [7; 8].</w:t>
      </w:r>
    </w:p>
    <w:p>
      <w:pPr>
        <w:spacing w:line="240" w:lineRule="auto" w:before="0" w:after="0"/>
        <w:ind w:firstLine="567"/>
        <w:jc w:val="both"/>
      </w:pPr>
      <w:r>
        <w:rPr>
          <w:rFonts w:ascii="Times New Roman" w:hAnsi="Times New Roman" w:eastAsia="Times New Roman" w:cs="Times New Roman"/>
          <w:b w:val="0"/>
          <w:i w:val="0"/>
          <w:sz w:val="28"/>
          <w:lang w:val="uk-UA" w:eastAsia="uk-UA"/>
        </w:rPr>
        <w:t>Змістовну придатність уже всередині дозволеного контуру описано індексом P за формулою (1):</w:t>
      </w:r>
    </w:p>
    <w:p>
      <w:pPr>
        <w:spacing w:line="240" w:lineRule="auto" w:before="0" w:after="0"/>
        <w:ind w:firstLine="0"/>
        <w:jc w:val="center"/>
      </w:pPr>
      <m:oMath>
        <m:r>
          <w:rPr>
            <w:rFonts w:ascii="Cambria Math" w:hAnsi="Cambria Math"/>
            <w:i/>
            <w:sz w:val="28"/>
            <w:szCs w:val="28"/>
          </w:rPr>
          <m:t>P</m:t>
        </m:r>
        <m:r>
          <w:rPr>
            <w:rFonts w:ascii="Cambria Math" w:hAnsi="Cambria Math"/>
            <w:i/>
            <w:sz w:val="28"/>
            <w:szCs w:val="28"/>
          </w:rPr>
          <m:t>=</m:t>
        </m:r>
        <m:sSub>
          <m:sSubPr>
            <m:ctrlPr/>
          </m:sSubPr>
          <m:e>
            <m:r>
              <w:rPr>
                <w:rFonts w:ascii="Cambria Math" w:hAnsi="Cambria Math"/>
                <w:i/>
                <w:sz w:val="28"/>
                <w:szCs w:val="28"/>
              </w:rPr>
              <m:t>w</m:t>
            </m:r>
          </m:e>
          <m:sub>
            <m:r>
              <w:rPr>
                <w:rFonts w:ascii="Cambria Math" w:hAnsi="Cambria Math"/>
                <w:i/>
                <w:sz w:val="28"/>
                <w:szCs w:val="28"/>
              </w:rPr>
              <m:t>v</m:t>
            </m:r>
          </m:sub>
        </m:sSub>
        <m:r>
          <w:rPr>
            <w:rFonts w:ascii="Cambria Math" w:hAnsi="Cambria Math"/>
            <w:i/>
            <w:sz w:val="28"/>
            <w:szCs w:val="28"/>
          </w:rPr>
          <m:t>v</m:t>
        </m:r>
        <m:r>
          <w:rPr>
            <w:rFonts w:ascii="Cambria Math" w:hAnsi="Cambria Math"/>
            <w:i/>
            <w:sz w:val="28"/>
            <w:szCs w:val="28"/>
          </w:rPr>
          <m:t>+</m:t>
        </m:r>
        <m:sSub>
          <m:sSubPr>
            <m:ctrlPr/>
          </m:sSubPr>
          <m:e>
            <m:r>
              <w:rPr>
                <w:rFonts w:ascii="Cambria Math" w:hAnsi="Cambria Math"/>
                <w:i/>
                <w:sz w:val="28"/>
                <w:szCs w:val="28"/>
              </w:rPr>
              <m:t>w</m:t>
            </m:r>
          </m:e>
          <m:sub>
            <m:r>
              <w:rPr>
                <w:rFonts w:ascii="Cambria Math" w:hAnsi="Cambria Math"/>
                <w:i/>
                <w:sz w:val="28"/>
                <w:szCs w:val="28"/>
              </w:rPr>
              <m:t>h</m:t>
            </m:r>
          </m:sub>
        </m:sSub>
        <m:r>
          <w:rPr>
            <w:rFonts w:ascii="Cambria Math" w:hAnsi="Cambria Math"/>
            <w:i/>
            <w:sz w:val="28"/>
            <w:szCs w:val="28"/>
          </w:rPr>
          <m:t>h</m:t>
        </m:r>
        <m:r>
          <w:rPr>
            <w:rFonts w:ascii="Cambria Math" w:hAnsi="Cambria Math"/>
            <w:i/>
            <w:sz w:val="28"/>
            <w:szCs w:val="28"/>
          </w:rPr>
          <m:t>,</m:t>
        </m:r>
        <m:r>
          <w:rPr>
            <w:rFonts w:ascii="Cambria Math" w:hAnsi="Cambria Math"/>
            <w:i/>
            <w:sz w:val="28"/>
            <w:szCs w:val="28"/>
          </w:rPr>
          <m:t> </m:t>
        </m:r>
        <m:sSub>
          <m:sSubPr>
            <m:ctrlPr/>
          </m:sSubPr>
          <m:e>
            <m:r>
              <w:rPr>
                <w:rFonts w:ascii="Cambria Math" w:hAnsi="Cambria Math"/>
                <w:i/>
                <w:sz w:val="28"/>
                <w:szCs w:val="28"/>
              </w:rPr>
              <m:t>w</m:t>
            </m:r>
          </m:e>
          <m:sub>
            <m:r>
              <w:rPr>
                <w:rFonts w:ascii="Cambria Math" w:hAnsi="Cambria Math"/>
                <w:i/>
                <w:sz w:val="28"/>
                <w:szCs w:val="28"/>
              </w:rPr>
              <m:t>v</m:t>
            </m:r>
          </m:sub>
        </m:sSub>
        <m:r>
          <w:rPr>
            <w:rFonts w:ascii="Cambria Math" w:hAnsi="Cambria Math"/>
            <w:i/>
            <w:sz w:val="28"/>
            <w:szCs w:val="28"/>
          </w:rPr>
          <m:t>+</m:t>
        </m:r>
        <m:sSub>
          <m:sSubPr>
            <m:ctrlPr/>
          </m:sSubPr>
          <m:e>
            <m:r>
              <w:rPr>
                <w:rFonts w:ascii="Cambria Math" w:hAnsi="Cambria Math"/>
                <w:i/>
                <w:sz w:val="28"/>
                <w:szCs w:val="28"/>
              </w:rPr>
              <m:t>w</m:t>
            </m:r>
          </m:e>
          <m:sub>
            <m:r>
              <w:rPr>
                <w:rFonts w:ascii="Cambria Math" w:hAnsi="Cambria Math"/>
                <w:i/>
                <w:sz w:val="28"/>
                <w:szCs w:val="28"/>
              </w:rPr>
              <m:t>h</m:t>
            </m:r>
          </m:sub>
        </m:sSub>
        <m:r>
          <w:rPr>
            <w:rFonts w:ascii="Cambria Math" w:hAnsi="Cambria Math"/>
            <w:i/>
            <w:sz w:val="28"/>
            <w:szCs w:val="28"/>
          </w:rPr>
          <m:t>=</m:t>
        </m:r>
        <m:r>
          <w:rPr>
            <w:rFonts w:ascii="Cambria Math" w:hAnsi="Cambria Math"/>
            <w:i/>
            <w:sz w:val="28"/>
            <w:szCs w:val="28"/>
          </w:rPr>
          <m:t>1</m:t>
        </m:r>
      </m:oMath>
      <w:r>
        <w:rPr>
          <w:rFonts w:ascii="Times New Roman" w:hAnsi="Times New Roman" w:eastAsia="Times New Roman" w:cs="Times New Roman"/>
          <w:b w:val="0"/>
          <w:i w:val="0"/>
          <w:sz w:val="28"/>
          <w:lang w:val="uk-UA" w:eastAsia="uk-UA"/>
        </w:rPr>
        <w:t xml:space="preserve">        (1)</w:t>
      </w:r>
    </w:p>
    <w:p>
      <w:pPr>
        <w:spacing w:line="240" w:lineRule="auto" w:before="0" w:after="0"/>
        <w:ind w:firstLine="567"/>
        <w:jc w:val="both"/>
      </w:pPr>
      <w:r>
        <w:rPr>
          <w:rFonts w:ascii="Times New Roman" w:hAnsi="Times New Roman" w:eastAsia="Times New Roman" w:cs="Times New Roman"/>
          <w:b w:val="0"/>
          <w:i w:val="0"/>
          <w:sz w:val="28"/>
          <w:lang w:val="uk-UA" w:eastAsia="uk-UA"/>
        </w:rPr>
        <w:t>У формулі (1) v — частка тверджень відповіді, для яких зазначено місце в затвердженому джерелі; величина лежить у межах від 0 до 1. Величина h дорівнює 1, якщо викладач переглянув результат до його використання в занятті або в оцінюванні, і дорівнює 0, якщо текст моделі перенесено без перегляду. Ваги w з відповідними індексами невід’ємні, а їхня сума дорівнює 1. Латинські літери позначено курсивом, як прийнято для змінних. Як орієнтир для обговорення запропоновано w з індексом v, що дорівнює 0,6, і w з індексом h, що дорівнює 0,4: більшу вагу надано звірянню з джерелом, оскільки підпис викладача без перевірки норми не робить текст нормативним. Ці числа не вимірювалися і підлягають заміні за результатами кафедральної експертизи.</w:t>
      </w:r>
    </w:p>
    <w:p>
      <w:pPr>
        <w:spacing w:line="240" w:lineRule="auto" w:before="0" w:after="0"/>
        <w:ind w:firstLine="567"/>
        <w:jc w:val="both"/>
      </w:pPr>
      <w:r>
        <w:rPr>
          <w:rFonts w:ascii="Times New Roman" w:hAnsi="Times New Roman" w:eastAsia="Times New Roman" w:cs="Times New Roman"/>
          <w:b w:val="0"/>
          <w:i w:val="0"/>
          <w:sz w:val="28"/>
          <w:lang w:val="uk-UA" w:eastAsia="uk-UA"/>
        </w:rPr>
        <w:t>Правило допуску сформульовано так: режим дозволено, якщо k = 1 і P не менше за P з індексом min. Поріг встановлює кафедра окремо для підготовки чернетки, для тексту, який лягає в роздатковий матеріал, і для будь-якого матеріалу, що впливає на оцінку. Єдине числове значення порога тут навмисно не фіксується. Для матеріалу, що впливає на оцінку, поріг має бути вищим, а h не може дорівнювати нулю. Такий розподіл узгоджується з тим, що європейські правила виділяють саме оцінювання результатів навчання як чутливе застосування, а не саме існування мовної моделі в аудиторії [6].</w:t>
      </w:r>
    </w:p>
    <w:p>
      <w:pPr>
        <w:spacing w:line="240" w:lineRule="auto" w:before="0" w:after="0"/>
        <w:ind w:firstLine="567"/>
        <w:jc w:val="both"/>
      </w:pPr>
      <w:r>
        <w:rPr>
          <w:rFonts w:ascii="Times New Roman" w:hAnsi="Times New Roman" w:eastAsia="Times New Roman" w:cs="Times New Roman"/>
          <w:b w:val="0"/>
          <w:i w:val="0"/>
          <w:sz w:val="28"/>
          <w:lang w:val="uk-UA" w:eastAsia="uk-UA"/>
        </w:rPr>
        <w:t>Класифікацію типових дій слухача і викладача, отриману послідовним застосуванням цього правила, наведено в таблиці 1.</w:t>
      </w:r>
    </w:p>
    <w:p>
      <w:pPr>
        <w:spacing w:line="240" w:lineRule="auto" w:before="0" w:after="0"/>
        <w:ind w:firstLine="0"/>
        <w:jc w:val="right"/>
      </w:pPr>
      <w:r>
        <w:rPr>
          <w:rFonts w:ascii="Times New Roman" w:hAnsi="Times New Roman" w:eastAsia="Times New Roman" w:cs="Times New Roman"/>
          <w:b w:val="0"/>
          <w:i/>
          <w:sz w:val="28"/>
          <w:lang w:val="uk-UA" w:eastAsia="uk-UA"/>
        </w:rPr>
        <w:t>Таблиця 1</w:t>
      </w:r>
    </w:p>
    <w:p>
      <w:pPr>
        <w:spacing w:line="240" w:lineRule="auto" w:before="0" w:after="0"/>
        <w:ind w:firstLine="0"/>
        <w:jc w:val="center"/>
      </w:pPr>
      <w:r>
        <w:rPr>
          <w:rFonts w:ascii="Times New Roman" w:hAnsi="Times New Roman" w:eastAsia="Times New Roman" w:cs="Times New Roman"/>
          <w:b w:val="0"/>
          <w:i w:val="0"/>
          <w:sz w:val="28"/>
          <w:lang w:val="uk-UA" w:eastAsia="uk-UA"/>
        </w:rPr>
        <w:t>Режими застосування генеративної моделі у військовій освіті</w:t>
      </w:r>
    </w:p>
    <w:tbl>
      <w:tblPr>
        <w:tblW w:type="dxa" w:w="9639"/>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0"/>
        <w:gridCol w:w="2410"/>
        <w:gridCol w:w="2410"/>
        <w:gridCol w:w="2410"/>
      </w:tblGrid>
      <w:tr>
        <w:tc>
          <w:tcPr>
            <w:tcW w:type="dxa" w:w="2800"/>
            <w:vAlign w:val="center"/>
            <w:shd w:val="clear" w:color="auto" w:fill="F2F2F2"/>
          </w:tcPr>
          <w:p>
            <w:pPr>
              <w:spacing w:line="240" w:lineRule="auto" w:before="40" w:after="40"/>
              <w:ind w:firstLine="0"/>
              <w:jc w:val="center"/>
            </w:pPr>
            <w:r/>
            <w:r>
              <w:rPr>
                <w:rFonts w:ascii="Times New Roman" w:hAnsi="Times New Roman" w:eastAsia="Times New Roman" w:cs="Times New Roman"/>
                <w:b/>
                <w:i w:val="0"/>
                <w:sz w:val="28"/>
                <w:lang w:val="uk-UA" w:eastAsia="uk-UA"/>
              </w:rPr>
              <w:t>Режим</w:t>
            </w:r>
          </w:p>
        </w:tc>
        <w:tc>
          <w:tcPr>
            <w:tcW w:type="dxa" w:w="2300"/>
            <w:vAlign w:val="center"/>
            <w:shd w:val="clear" w:color="auto" w:fill="F2F2F2"/>
          </w:tcPr>
          <w:p>
            <w:pPr>
              <w:spacing w:line="240" w:lineRule="auto" w:before="40" w:after="40"/>
              <w:ind w:firstLine="0"/>
              <w:jc w:val="center"/>
            </w:pPr>
            <w:r/>
            <w:r>
              <w:rPr>
                <w:rFonts w:ascii="Times New Roman" w:hAnsi="Times New Roman" w:eastAsia="Times New Roman" w:cs="Times New Roman"/>
                <w:b/>
                <w:i w:val="0"/>
                <w:sz w:val="28"/>
                <w:lang w:val="uk-UA" w:eastAsia="uk-UA"/>
              </w:rPr>
              <w:t>Клас відомостей</w:t>
            </w:r>
          </w:p>
        </w:tc>
        <w:tc>
          <w:tcPr>
            <w:tcW w:type="dxa" w:w="2139"/>
            <w:vAlign w:val="center"/>
            <w:shd w:val="clear" w:color="auto" w:fill="F2F2F2"/>
          </w:tcPr>
          <w:p>
            <w:pPr>
              <w:spacing w:line="240" w:lineRule="auto" w:before="40" w:after="40"/>
              <w:ind w:firstLine="0"/>
              <w:jc w:val="center"/>
            </w:pPr>
            <w:r/>
            <w:r>
              <w:rPr>
                <w:rFonts w:ascii="Times New Roman" w:hAnsi="Times New Roman" w:eastAsia="Times New Roman" w:cs="Times New Roman"/>
                <w:b/>
                <w:i w:val="0"/>
                <w:sz w:val="28"/>
                <w:lang w:val="uk-UA" w:eastAsia="uk-UA"/>
              </w:rPr>
              <w:t>Контур моделі</w:t>
            </w:r>
          </w:p>
        </w:tc>
        <w:tc>
          <w:tcPr>
            <w:tcW w:type="dxa" w:w="2400"/>
            <w:vAlign w:val="center"/>
            <w:shd w:val="clear" w:color="auto" w:fill="F2F2F2"/>
          </w:tcPr>
          <w:p>
            <w:pPr>
              <w:spacing w:line="240" w:lineRule="auto" w:before="40" w:after="40"/>
              <w:ind w:firstLine="0"/>
              <w:jc w:val="center"/>
            </w:pPr>
            <w:r/>
            <w:r>
              <w:rPr>
                <w:rFonts w:ascii="Times New Roman" w:hAnsi="Times New Roman" w:eastAsia="Times New Roman" w:cs="Times New Roman"/>
                <w:b/>
                <w:i w:val="0"/>
                <w:sz w:val="28"/>
                <w:lang w:val="uk-UA" w:eastAsia="uk-UA"/>
              </w:rPr>
              <w:t>Рішення за правилом допуску</w:t>
            </w:r>
          </w:p>
        </w:tc>
      </w:tr>
      <w:tr>
        <w:tc>
          <w:tcPr>
            <w:tcW w:type="dxa" w:w="28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Мовне редагування чернетки і добір відкритої аналогії без нормативних тверджень</w:t>
            </w:r>
          </w:p>
        </w:tc>
        <w:tc>
          <w:tcPr>
            <w:tcW w:type="dxa" w:w="23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Відкриті навчальні матеріали</w:t>
            </w:r>
          </w:p>
        </w:tc>
        <w:tc>
          <w:tcPr>
            <w:tcW w:type="dxa" w:w="2139"/>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Зовнішній сервіс допустимий</w:t>
            </w:r>
          </w:p>
        </w:tc>
        <w:tc>
          <w:tcPr>
            <w:tcW w:type="dxa" w:w="24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Дозволено після перегляду автором</w:t>
            </w:r>
          </w:p>
        </w:tc>
      </w:tr>
      <w:tr>
        <w:tc>
          <w:tcPr>
            <w:tcW w:type="dxa" w:w="28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План заняття або роздатковий текст із посиланням на статути й настанови</w:t>
            </w:r>
          </w:p>
        </w:tc>
        <w:tc>
          <w:tcPr>
            <w:tcW w:type="dxa" w:w="23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Відкриті та навчальні видання кафедри</w:t>
            </w:r>
          </w:p>
        </w:tc>
        <w:tc>
          <w:tcPr>
            <w:tcW w:type="dxa" w:w="2139"/>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Переважно відомчий</w:t>
            </w:r>
          </w:p>
        </w:tc>
        <w:tc>
          <w:tcPr>
            <w:tcW w:type="dxa" w:w="24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Умовно: кожне нормативне твердження має абзац джерела</w:t>
            </w:r>
          </w:p>
        </w:tc>
      </w:tr>
      <w:tr>
        <w:tc>
          <w:tcPr>
            <w:tcW w:type="dxa" w:w="28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Розбір епізоду з назвами підрозділів, позиціями, частотами, втратами, схемами зв’язку</w:t>
            </w:r>
          </w:p>
        </w:tc>
        <w:tc>
          <w:tcPr>
            <w:tcW w:type="dxa" w:w="23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Інформація з обмеженим доступом</w:t>
            </w:r>
          </w:p>
        </w:tc>
        <w:tc>
          <w:tcPr>
            <w:tcW w:type="dxa" w:w="2139"/>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Лише система, допущена для цього класу</w:t>
            </w:r>
          </w:p>
        </w:tc>
        <w:tc>
          <w:tcPr>
            <w:tcW w:type="dxa" w:w="24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Для зовнішньої моделі заборонено</w:t>
            </w:r>
          </w:p>
        </w:tc>
      </w:tr>
      <w:tr>
        <w:tc>
          <w:tcPr>
            <w:tcW w:type="dxa" w:w="28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Формулювання зауваження до вже ухваленого висновку про слухача</w:t>
            </w:r>
          </w:p>
        </w:tc>
        <w:tc>
          <w:tcPr>
            <w:tcW w:type="dxa" w:w="23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Персональні та оцінні дані</w:t>
            </w:r>
          </w:p>
        </w:tc>
        <w:tc>
          <w:tcPr>
            <w:tcW w:type="dxa" w:w="2139"/>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Відомчий контур</w:t>
            </w:r>
          </w:p>
        </w:tc>
        <w:tc>
          <w:tcPr>
            <w:tcW w:type="dxa" w:w="24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Обмежено: бал визначає викладач, h = 1</w:t>
            </w:r>
          </w:p>
        </w:tc>
      </w:tr>
      <w:tr>
        <w:tc>
          <w:tcPr>
            <w:tcW w:type="dxa" w:w="28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Відповідь на питання «як правильно за статутом» без тексту норми в запиті</w:t>
            </w:r>
          </w:p>
        </w:tc>
        <w:tc>
          <w:tcPr>
            <w:tcW w:type="dxa" w:w="23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Змішаний, джерело не додано</w:t>
            </w:r>
          </w:p>
        </w:tc>
        <w:tc>
          <w:tcPr>
            <w:tcW w:type="dxa" w:w="2139"/>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Будь-який</w:t>
            </w:r>
          </w:p>
        </w:tc>
        <w:tc>
          <w:tcPr>
            <w:tcW w:type="dxa" w:w="2400"/>
            <w:vAlign w:val="center"/>
          </w:tcPr>
          <w:p>
            <w:pPr>
              <w:spacing w:line="240" w:lineRule="auto" w:before="40" w:after="40"/>
              <w:ind w:firstLine="0"/>
              <w:jc w:val="left"/>
            </w:pPr>
            <w:r/>
            <w:r>
              <w:rPr>
                <w:rFonts w:ascii="Times New Roman" w:hAnsi="Times New Roman" w:eastAsia="Times New Roman" w:cs="Times New Roman"/>
                <w:b w:val="0"/>
                <w:i w:val="0"/>
                <w:sz w:val="28"/>
                <w:lang w:val="uk-UA" w:eastAsia="uk-UA"/>
              </w:rPr>
              <w:t>Неприйнятно як джерело норми; можна лишити як перелік питань для звірки</w:t>
            </w:r>
          </w:p>
        </w:tc>
      </w:tr>
    </w:tbl>
    <w:p>
      <w:pPr>
        <w:spacing w:line="240" w:lineRule="auto" w:before="0" w:after="0"/>
        <w:ind w:firstLine="567"/>
        <w:jc w:val="both"/>
      </w:pPr>
      <w:r>
        <w:rPr>
          <w:rFonts w:ascii="Times New Roman" w:hAnsi="Times New Roman" w:eastAsia="Times New Roman" w:cs="Times New Roman"/>
          <w:b w:val="0"/>
          <w:i w:val="0"/>
          <w:sz w:val="28"/>
          <w:lang w:val="uk-UA" w:eastAsia="uk-UA"/>
        </w:rPr>
        <w:t>Перший рядок таблиці 1 утримує вузьку користь моделі. Ідеться про мовне редагування і пошук відкритої аналогії, де немає твердження, яке слухач міг би прийняти за норму. Ризик тут переважно стилістичний, і його знімає перегляд автором. Індекс P у такому режимі спирається на h, а не на пошук абзаца статуту, якого текст не імітує.</w:t>
      </w:r>
    </w:p>
    <w:p>
      <w:pPr>
        <w:spacing w:line="240" w:lineRule="auto" w:before="0" w:after="0"/>
        <w:ind w:firstLine="567"/>
        <w:jc w:val="both"/>
      </w:pPr>
      <w:r>
        <w:rPr>
          <w:rFonts w:ascii="Times New Roman" w:hAnsi="Times New Roman" w:eastAsia="Times New Roman" w:cs="Times New Roman"/>
          <w:b w:val="0"/>
          <w:i w:val="0"/>
          <w:sz w:val="28"/>
          <w:lang w:val="uk-UA" w:eastAsia="uk-UA"/>
        </w:rPr>
        <w:t>Другий рядок є найчастішим місцем підміни. План заняття виглядає професійно саме тоді, коли модель наслідує канцелярит статуту. Таке наслідування не засвідчує, що відтворено чинну норму, а не суміш редакцій, перекладів і чужих доктринальних формулювань. Режим лишається умовним: кожне положення, яке на занятті звучатиме як норма, отримує посилання на абзац джерела кафедри. Без такого посилання v прямує до нуля, і правило допуску не виконується навіть у захищеному контурі.</w:t>
      </w:r>
    </w:p>
    <w:p>
      <w:pPr>
        <w:spacing w:line="240" w:lineRule="auto" w:before="0" w:after="0"/>
        <w:ind w:firstLine="567"/>
        <w:jc w:val="both"/>
      </w:pPr>
      <w:r>
        <w:rPr>
          <w:rFonts w:ascii="Times New Roman" w:hAnsi="Times New Roman" w:eastAsia="Times New Roman" w:cs="Times New Roman"/>
          <w:b w:val="0"/>
          <w:i w:val="0"/>
          <w:sz w:val="28"/>
          <w:lang w:val="uk-UA" w:eastAsia="uk-UA"/>
        </w:rPr>
        <w:t>Третій рядок закритий через клас даних, а не через якість моделі. Назви підрозділів, позиції, частоти, склад втрат і схеми зв’язку не стають безпечним навчальним прикладом для зовнішнього сервісу після прохання «описати у загальних рисах», якщо за цими рисами епізод лишається впізнаваним. Для такого матеріалу поза системою, допущеною для відповідного класу відомостей, k = 0. Звірення фактів після отримання відповіді цього значення не змінює [7; 8].</w:t>
      </w:r>
    </w:p>
    <w:p>
      <w:pPr>
        <w:spacing w:line="240" w:lineRule="auto" w:before="0" w:after="0"/>
        <w:ind w:firstLine="567"/>
        <w:jc w:val="both"/>
      </w:pPr>
      <w:r>
        <w:rPr>
          <w:rFonts w:ascii="Times New Roman" w:hAnsi="Times New Roman" w:eastAsia="Times New Roman" w:cs="Times New Roman"/>
          <w:b w:val="0"/>
          <w:i w:val="0"/>
          <w:sz w:val="28"/>
          <w:lang w:val="uk-UA" w:eastAsia="uk-UA"/>
        </w:rPr>
        <w:t>Четвертий рядок відділяє допомогу у формулюванні зауваження від самого оцінювання. Модель може запропонувати нейтральну фразу для висновку, який викладач уже ухвалив. Вона не визначає бал і не добирає слухачів на програму. Така межа відповідає виділенню оцінювання результатів навчання як чутливого застосування [6] і вимозі людської підзвітності [9]. У формулі (1) це означає обов’язкове h = 1, а не лише високий стилістичний збіг відповіді з очікуваним формулюванням.</w:t>
      </w:r>
    </w:p>
    <w:p>
      <w:pPr>
        <w:spacing w:line="240" w:lineRule="auto" w:before="0" w:after="0"/>
        <w:ind w:firstLine="567"/>
        <w:jc w:val="both"/>
      </w:pPr>
      <w:r>
        <w:rPr>
          <w:rFonts w:ascii="Times New Roman" w:hAnsi="Times New Roman" w:eastAsia="Times New Roman" w:cs="Times New Roman"/>
          <w:b w:val="0"/>
          <w:i w:val="0"/>
          <w:sz w:val="28"/>
          <w:lang w:val="uk-UA" w:eastAsia="uk-UA"/>
        </w:rPr>
        <w:t>П’ятий рядок фіксує поширену самостійну роботу: слухач запитує, «як правильно», і отримує зв’язну відповідь, хоча тексту норми в запиті не було. Таку відповідь не підшивають як джерело і не переносять у конспект як цитату зі статуту. Її допустимо зберегти лише як перелік питань, які потім перевіряють за настановою. У цьому режимі v залишається невизначеним, доки звірку не виконано, тому допуск не надається авансом.</w:t>
      </w:r>
    </w:p>
    <w:p>
      <w:pPr>
        <w:spacing w:line="240" w:lineRule="auto" w:before="0" w:after="0"/>
        <w:ind w:firstLine="567"/>
        <w:jc w:val="both"/>
      </w:pPr>
      <w:r>
        <w:rPr>
          <w:rFonts w:ascii="Times New Roman" w:hAnsi="Times New Roman" w:eastAsia="Times New Roman" w:cs="Times New Roman"/>
          <w:b w:val="0"/>
          <w:i w:val="0"/>
          <w:sz w:val="28"/>
          <w:lang w:val="uk-UA" w:eastAsia="uk-UA"/>
        </w:rPr>
        <w:t>Запропоноване правило не ранжує постачальників моделей і не замінює атестацію відомчої системи. Воно дає кафедрі підставу відхилити конкретну дію ще до появи єдиної платформи. Дія або проходить обидві умови — контурну і змістовну, — або не використовується в підготовці. Рамка керування ризиком тут застосована буквально: контекст задано типом заняття, міру ризику замінено перевірними умовами k і P, а захід керування полягає в забороні режиму, який умов не виконує [5].</w:t>
      </w:r>
    </w:p>
    <w:p>
      <w:pPr>
        <w:spacing w:line="240" w:lineRule="auto" w:before="0" w:after="0"/>
        <w:ind w:firstLine="567"/>
        <w:jc w:val="both"/>
      </w:pPr>
      <w:r>
        <w:rPr>
          <w:rFonts w:ascii="Times New Roman" w:hAnsi="Times New Roman" w:eastAsia="Times New Roman" w:cs="Times New Roman"/>
          <w:b w:val="0"/>
          <w:i w:val="0"/>
          <w:sz w:val="28"/>
          <w:lang w:val="uk-UA" w:eastAsia="uk-UA"/>
        </w:rPr>
        <w:t>Окремо варто застерегти щодо межі самого результату. Індекс P не вимірює «істинність моделі» і не придатний як автоматичний фільтр, який без викладача пропускає або відхиляє текст. Величину v визначає людина, здатна вказати абзац джерела. Якщо цю дію знову доручити генеративній моделі, коло замикається: засіб, чию перевірюваність оцінюють, починає оцінювати сам себе. Тому формула (1) є правилом кафедри, а не алгоритмом самоперевірки сервісу.</w:t>
      </w:r>
    </w:p>
    <w:p>
      <w:pPr>
        <w:spacing w:line="240" w:lineRule="auto" w:before="0" w:after="0"/>
        <w:ind w:firstLine="567"/>
        <w:jc w:val="both"/>
      </w:pPr>
      <w:r>
        <w:rPr>
          <w:rFonts w:ascii="Times New Roman" w:hAnsi="Times New Roman" w:eastAsia="Times New Roman" w:cs="Times New Roman"/>
          <w:b w:val="0"/>
          <w:i w:val="0"/>
          <w:sz w:val="28"/>
          <w:lang w:val="uk-UA" w:eastAsia="uk-UA"/>
        </w:rPr>
        <w:t>Довіра до генеративного штучного інтелекту у військовій освіті є властивістю режиму застосування, а не властивістю моделі. Режим визначають клас відомостей, місце оброблення і факт людського затвердження. Гладкість відповіді не входить до умов допуску.</w:t>
      </w:r>
    </w:p>
    <w:p>
      <w:pPr>
        <w:spacing w:line="240" w:lineRule="auto" w:before="0" w:after="0"/>
        <w:ind w:firstLine="567"/>
        <w:jc w:val="both"/>
      </w:pPr>
      <w:r>
        <w:rPr>
          <w:rFonts w:ascii="Times New Roman" w:hAnsi="Times New Roman" w:eastAsia="Times New Roman" w:cs="Times New Roman"/>
          <w:b w:val="0"/>
          <w:i w:val="0"/>
          <w:sz w:val="28"/>
          <w:lang w:val="uk-UA" w:eastAsia="uk-UA"/>
        </w:rPr>
        <w:t>Індекс P разом із контурним множником k відділяє допоміжну роботу з відкритим текстом від двох неприйнятних підмін: підміни нормативного джерела правдоподібною відповіддю і виведення інформації з обмеженим доступом у зовнішній сервіс. Ваги та поріг навмисно залишено параметрами кафедри. Локальний порядок можна узгодити без удаваної точності коефіцієнтів, яких ця робота не вимірювала.</w:t>
      </w:r>
    </w:p>
    <w:p>
      <w:pPr>
        <w:spacing w:line="240" w:lineRule="auto" w:before="0" w:after="0"/>
        <w:ind w:firstLine="567"/>
        <w:jc w:val="both"/>
      </w:pPr>
      <w:r>
        <w:rPr>
          <w:rFonts w:ascii="Times New Roman" w:hAnsi="Times New Roman" w:eastAsia="Times New Roman" w:cs="Times New Roman"/>
          <w:b w:val="0"/>
          <w:i w:val="0"/>
          <w:sz w:val="28"/>
          <w:lang w:val="uk-UA" w:eastAsia="uk-UA"/>
        </w:rPr>
        <w:t>Практичне значення класифікації полягає в тому, що її можна перенести в методичну вказівку до самостійної роботи: що дозволено виносити у зовнішній сервіс, яке твердження потребує абзаца джерела і яких відомостей у запиті бути не може. Подальше дослідження доцільно присвятити експертному калібруванню порога на типах занять. Для такого калібрування придатні лише відкриті навчальні тексти.</w:t>
      </w:r>
    </w:p>
    <w:p>
      <w:pPr>
        <w:spacing w:line="240" w:lineRule="auto" w:before="0" w:after="0"/>
        <w:ind w:firstLine="0"/>
        <w:jc w:val="left"/>
        <w:rPr>
          <w:sz w:val="28"/>
          <w:szCs w:val="28"/>
        </w:rPr>
      </w:pPr>
      <w:r>
        <w:rPr>
          <w:rFonts w:ascii="Times New Roman" w:hAnsi="Times New Roman" w:eastAsia="Times New Roman" w:cs="Times New Roman"/>
          <w:b w:val="0"/>
          <w:i w:val="0"/>
          <w:sz w:val="28"/>
        </w:rPr>
      </w:r>
    </w:p>
    <w:p>
      <w:pPr>
        <w:spacing w:line="240" w:lineRule="auto" w:before="0" w:after="0"/>
        <w:ind w:firstLine="0"/>
        <w:jc w:val="left"/>
      </w:pPr>
      <w:r>
        <w:rPr>
          <w:rFonts w:ascii="Times New Roman" w:hAnsi="Times New Roman" w:eastAsia="Times New Roman" w:cs="Times New Roman"/>
          <w:b w:val="0"/>
          <w:i w:val="0"/>
          <w:sz w:val="28"/>
          <w:lang w:val="uk-UA" w:eastAsia="uk-UA"/>
        </w:rPr>
        <w:t>Список бібліографічних посилань</w:t>
      </w:r>
    </w:p>
    <w:p>
      <w:pPr>
        <w:spacing w:line="240" w:lineRule="auto" w:before="0" w:after="0"/>
        <w:ind w:left="425" w:hanging="425"/>
        <w:jc w:val="left"/>
      </w:pPr>
      <w:r>
        <w:rPr>
          <w:rFonts w:ascii="Times New Roman" w:hAnsi="Times New Roman" w:eastAsia="Times New Roman" w:cs="Times New Roman"/>
          <w:b w:val="0"/>
          <w:i w:val="0"/>
          <w:sz w:val="28"/>
          <w:lang w:val="uk-UA" w:eastAsia="uk-UA"/>
        </w:rPr>
        <w:t>1. Ji Z., Lee N., Frieske R. et al. Survey of Hallucination in Natural Language Generation. ACM Computing Surveys. 2023. Vol. 55, No. 12. Article 248. DOI: https://doi.org/10.1145/3571730.</w:t>
      </w:r>
    </w:p>
    <w:p>
      <w:pPr>
        <w:spacing w:line="240" w:lineRule="auto" w:before="0" w:after="0"/>
        <w:ind w:left="425" w:hanging="425"/>
        <w:jc w:val="left"/>
      </w:pPr>
      <w:r>
        <w:rPr>
          <w:rFonts w:ascii="Times New Roman" w:hAnsi="Times New Roman" w:eastAsia="Times New Roman" w:cs="Times New Roman"/>
          <w:b w:val="0"/>
          <w:i w:val="0"/>
          <w:sz w:val="28"/>
          <w:lang w:val="uk-UA" w:eastAsia="uk-UA"/>
        </w:rPr>
        <w:t>2. Bender E. M., Gebru T., McMillan-Major A., Shmitchell S. On the Dangers of Stochastic Parrots: Can Language Models Be Too Big? Proceedings of the 2021 ACM Conference on Fairness, Accountability, and Transparency. New York, 2021. P. 610–623. DOI: https://doi.org/10.1145/3442188.3445922.</w:t>
      </w:r>
    </w:p>
    <w:p>
      <w:pPr>
        <w:spacing w:line="240" w:lineRule="auto" w:before="0" w:after="0"/>
        <w:ind w:left="425" w:hanging="425"/>
        <w:jc w:val="left"/>
      </w:pPr>
      <w:r>
        <w:rPr>
          <w:rFonts w:ascii="Times New Roman" w:hAnsi="Times New Roman" w:eastAsia="Times New Roman" w:cs="Times New Roman"/>
          <w:b w:val="0"/>
          <w:i w:val="0"/>
          <w:sz w:val="28"/>
          <w:lang w:val="uk-UA" w:eastAsia="uk-UA"/>
        </w:rPr>
        <w:t>3. Kasneci E., Sessler K., Küchemann S. et al. ChatGPT for Good? On Opportunities and Challenges of Large Language Models for Education. Learning and Individual Differences. 2023. Vol. 103. Article 102274. DOI: https://doi.org/10.1016/j.lindif.2023.102274.</w:t>
      </w:r>
    </w:p>
    <w:p>
      <w:pPr>
        <w:spacing w:line="240" w:lineRule="auto" w:before="0" w:after="0"/>
        <w:ind w:left="425" w:hanging="425"/>
        <w:jc w:val="left"/>
      </w:pPr>
      <w:r>
        <w:rPr>
          <w:rFonts w:ascii="Times New Roman" w:hAnsi="Times New Roman" w:eastAsia="Times New Roman" w:cs="Times New Roman"/>
          <w:b w:val="0"/>
          <w:i w:val="0"/>
          <w:sz w:val="28"/>
          <w:lang w:val="uk-UA" w:eastAsia="uk-UA"/>
        </w:rPr>
        <w:t>4. Miao F., Holmes W. Guidance for generative AI in education and research. Paris : UNESCO, 2023. 44 p. URL: https://unesdoc.unesco.org/ark:/48223/pf0000386693 (date of access: 24.09.2026).</w:t>
      </w:r>
    </w:p>
    <w:p>
      <w:pPr>
        <w:spacing w:line="240" w:lineRule="auto" w:before="0" w:after="0"/>
        <w:ind w:left="425" w:hanging="425"/>
        <w:jc w:val="left"/>
      </w:pPr>
      <w:r>
        <w:rPr>
          <w:rFonts w:ascii="Times New Roman" w:hAnsi="Times New Roman" w:eastAsia="Times New Roman" w:cs="Times New Roman"/>
          <w:b w:val="0"/>
          <w:i w:val="0"/>
          <w:sz w:val="28"/>
          <w:lang w:val="uk-UA" w:eastAsia="uk-UA"/>
        </w:rPr>
        <w:t>5. Artificial Intelligence Risk Management Framework (AI RMF 1.0) : NIST AI 100-1. Gaithersburg : National Institute of Standards and Technology, 2023. DOI: https://doi.org/10.6028/NIST.AI.100-1.</w:t>
      </w:r>
    </w:p>
    <w:p>
      <w:pPr>
        <w:spacing w:line="240" w:lineRule="auto" w:before="0" w:after="0"/>
        <w:ind w:left="425" w:hanging="425"/>
        <w:jc w:val="left"/>
      </w:pPr>
      <w:r>
        <w:rPr>
          <w:rFonts w:ascii="Times New Roman" w:hAnsi="Times New Roman" w:eastAsia="Times New Roman" w:cs="Times New Roman"/>
          <w:b w:val="0"/>
          <w:i w:val="0"/>
          <w:sz w:val="28"/>
          <w:lang w:val="uk-UA" w:eastAsia="uk-UA"/>
        </w:rPr>
        <w:t>6. Regulation (EU) 2024/1689 of the European Parliament and of the Council of 13 June 2024 laying down harmonised rules on artificial intelligence (Artificial Intelligence Act). Official Journal of the European Union. 2024. L 2024/1689.</w:t>
      </w:r>
    </w:p>
    <w:p>
      <w:pPr>
        <w:spacing w:line="240" w:lineRule="auto" w:before="0" w:after="0"/>
        <w:ind w:left="425" w:hanging="425"/>
        <w:jc w:val="left"/>
      </w:pPr>
      <w:r>
        <w:rPr>
          <w:rFonts w:ascii="Times New Roman" w:hAnsi="Times New Roman" w:eastAsia="Times New Roman" w:cs="Times New Roman"/>
          <w:b w:val="0"/>
          <w:i w:val="0"/>
          <w:sz w:val="28"/>
          <w:lang w:val="uk-UA" w:eastAsia="uk-UA"/>
        </w:rPr>
        <w:t>7. Про державну таємницю : Закон України від 21.01.1994 р. № 3855-XII. URL: https://zakon.rada.gov.ua/laws/show/3855-12 (дата звернення: 24.09.2026).</w:t>
      </w:r>
    </w:p>
    <w:p>
      <w:pPr>
        <w:spacing w:line="240" w:lineRule="auto" w:before="0" w:after="0"/>
        <w:ind w:left="425" w:hanging="425"/>
        <w:jc w:val="left"/>
      </w:pPr>
      <w:r>
        <w:rPr>
          <w:rFonts w:ascii="Times New Roman" w:hAnsi="Times New Roman" w:eastAsia="Times New Roman" w:cs="Times New Roman"/>
          <w:b w:val="0"/>
          <w:i w:val="0"/>
          <w:sz w:val="28"/>
          <w:lang w:val="uk-UA" w:eastAsia="uk-UA"/>
        </w:rPr>
        <w:t>8. Про захист інформації в інформаційно-комунікаційних системах : Закон України від 05.07.1994 р. № 80/94-ВР. URL: https://zakon.rada.gov.ua/laws/show/80/94-%D0%B2%D1%80 (дата звернення: 24.09.2026).</w:t>
      </w:r>
    </w:p>
    <w:p>
      <w:pPr>
        <w:spacing w:line="240" w:lineRule="auto" w:before="0" w:after="0"/>
        <w:ind w:left="425" w:hanging="425"/>
        <w:jc w:val="left"/>
      </w:pPr>
      <w:r>
        <w:rPr>
          <w:rFonts w:ascii="Times New Roman" w:hAnsi="Times New Roman" w:eastAsia="Times New Roman" w:cs="Times New Roman"/>
          <w:b w:val="0"/>
          <w:i w:val="0"/>
          <w:sz w:val="28"/>
          <w:lang w:val="uk-UA" w:eastAsia="uk-UA"/>
        </w:rPr>
        <w:t>9. Summary of NATO’s revised Artificial Intelligence (AI) strategy : official text of 10 July 2024. URL: https://www.nato.int/en/about-us/official-texts-and-resources/official-texts/2024/07/10/summary-of-natos-revised-artificial-intelligence-ai-strategy (date of access: 24.09.2026).</w:t>
      </w:r>
    </w:p>
    <w:sectPr w:rsidR="00FC693F" w:rsidRPr="0006063C" w:rsidSect="00034616">
      <w:pgSz w:w="11906" w:h="16838"/>
      <w:pgMar w:top="1134" w:right="850" w:bottom="1134"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doNotHyphenateCap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